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42026_090816.xml.htm"/>
      <w:bookmarkStart w:id="1" w:name="ksform408042026_0908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Kolbeck Roland Wilhelm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ACLARIS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701 LEE ROAD, SUITE 103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Aclaris Therapeutics, Inc.</w:t>
              </w:r>
            </w:hyperlink>
            <w:r>
              <w:rPr/>
              <w:t xml:space="preserve"> [ </w:t>
            </w:r>
            <w:r>
              <w:rPr>
                <w:rFonts w:ascii="Times;serif" w:hAnsi="Times;serif"/>
                <w:color w:val="0000FF"/>
                <w:sz w:val="24"/>
                <w:shd w:fill="FFFFFF" w:val="clear"/>
              </w:rPr>
              <w:t>ACRS</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36,375</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36,375</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12,385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23,990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36,375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109,125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reported represents the withholding of shares by the issuer to satisfy the Reporting Person's tax withholding obligations in connection with the vesting and settlement of restricted stock units described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these restricted stock units vest in four equal installments on the first, second, third and fourth anniversaries of August 1, 2025, subject to the Continuous Service (as defined in the Plan) of the Reporting Person as of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Rothman,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6327" TargetMode="External"/><Relationship Id="rId5" Type="http://schemas.openxmlformats.org/officeDocument/2006/relationships/hyperlink" Target="http://www.sec.gov/cgi-bin/browse-edgar?action=getcompany&amp;CIK=00015577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3739</Characters>
  <CharactersWithSpaces>4340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