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ACLARIS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12,723,026.00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12,723,026.00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12,723,026.00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12,723,026.00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12,723,026.00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12,723,026.00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12,723,026.00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12,723,026.00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12,723,026.00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12,723,026.00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12,723,026.00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12,723,026.00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ACLARIS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LEE ROAD, SUITE 103, WAYNE, PA, 19087.</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as of June 30, 2026 and is incorporated by reference. The Fund directly holds 12,723,026 shares of the Issuer's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percentages of the shares of common stock of the Issuer beneficially owned by such Reporting Person as of June 30, 2026 and is incorporated by reference. The percentage set forth in each row 11 is based upon 139,824,273 shares of common stock outstanding as of June 30, 2026, as reported in the Issuer's Quarterly Report on Form 10-Q filed with the Securities and Exchange Commission (the "SEC") on August 6, 2026.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 filed on April 7,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1779</Words>
  <Characters>9060</Characters>
  <CharactersWithSpaces>10772</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