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SCHEDULE 14A INFORMATION</w:t>
      </w:r>
    </w:p>
    <w:p>
      <w:pPr>
        <w:jc w:val="center"/>
        <w:spacing w:after="0" w:line="229" w:lineRule="auto"/>
        <w:rPr>
          <w:sz w:val="20"/>
          <w:szCs w:val="20"/>
          <w:color w:val="auto"/>
        </w:rPr>
      </w:pPr>
      <w:r>
        <w:rPr>
          <w:rFonts w:ascii="Arial" w:cs="Arial" w:eastAsia="Arial" w:hAnsi="Arial"/>
          <w:sz w:val="16"/>
          <w:szCs w:val="16"/>
          <w:color w:val="auto"/>
        </w:rPr>
        <w:t>Proxy Statement Pursuant to Section 14(a) of the Securities Exchange Act of 1934</w:t>
      </w:r>
    </w:p>
    <w:p>
      <w:pPr>
        <w:jc w:val="center"/>
        <w:spacing w:after="0"/>
        <w:rPr>
          <w:sz w:val="20"/>
          <w:szCs w:val="20"/>
          <w:color w:val="auto"/>
        </w:rPr>
      </w:pPr>
      <w:r>
        <w:rPr>
          <w:rFonts w:ascii="Arial" w:cs="Arial" w:eastAsia="Arial" w:hAnsi="Arial"/>
          <w:sz w:val="18"/>
          <w:szCs w:val="18"/>
          <w:color w:val="auto"/>
        </w:rPr>
        <w:t>(Amendment No.__)</w:t>
      </w:r>
    </w:p>
    <w:p>
      <w:pPr>
        <w:sectPr>
          <w:pgSz w:w="11900" w:h="16838" w:orient="portrait"/>
          <w:cols w:equalWidth="0" w:num="1">
            <w:col w:w="9060"/>
          </w:cols>
          <w:pgMar w:left="1420" w:top="380" w:right="1419" w:bottom="1440" w:gutter="0" w:footer="0" w:header="0"/>
        </w:sectPr>
      </w:pPr>
    </w:p>
    <w:p>
      <w:pPr>
        <w:spacing w:after="0" w:line="16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Filed by the Registrant</w:t>
      </w:r>
    </w:p>
    <w:p>
      <w:pPr>
        <w:ind w:left="12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0" w:lineRule="exact"/>
        <w:rPr>
          <w:sz w:val="24"/>
          <w:szCs w:val="24"/>
          <w:color w:val="auto"/>
        </w:rPr>
      </w:pPr>
    </w:p>
    <w:p>
      <w:pPr>
        <w:sectPr>
          <w:pgSz w:w="11900" w:h="16838" w:orient="portrait"/>
          <w:cols w:equalWidth="0" w:num="2">
            <w:col w:w="3080" w:space="420"/>
            <w:col w:w="5560"/>
          </w:cols>
          <w:pgMar w:left="1420" w:top="380" w:right="1419" w:bottom="1440" w:gutter="0" w:footer="0" w:header="0"/>
          <w:type w:val="continuous"/>
        </w:sectPr>
      </w:pPr>
    </w:p>
    <w:p>
      <w:pPr>
        <w:spacing w:after="0" w:line="26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69" w:lineRule="exact"/>
        <w:rPr>
          <w:sz w:val="24"/>
          <w:szCs w:val="24"/>
          <w:color w:val="auto"/>
        </w:rPr>
      </w:pPr>
    </w:p>
    <w:p>
      <w:pPr>
        <w:ind w:left="760" w:hanging="64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120" w:right="2440"/>
        <w:spacing w:after="0" w:line="176" w:lineRule="exact"/>
        <w:tabs>
          <w:tab w:leader="none" w:pos="75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760" w:hanging="640"/>
        <w:spacing w:after="0" w:line="203" w:lineRule="auto"/>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760" w:hanging="64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6"/>
          <w:szCs w:val="36"/>
          <w:b w:val="1"/>
          <w:bCs w:val="1"/>
          <w:u w:val="single" w:color="auto"/>
          <w:color w:val="auto"/>
        </w:rPr>
        <w:t>Aclaris Therapeutics, Inc.</w:t>
      </w: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55829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5" w:lineRule="exact"/>
        <w:rPr>
          <w:sz w:val="24"/>
          <w:szCs w:val="24"/>
          <w:color w:val="auto"/>
        </w:rPr>
      </w:pPr>
    </w:p>
    <w:p>
      <w:pPr>
        <w:ind w:left="820" w:hanging="817"/>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right="2780" w:firstLine="3"/>
        <w:spacing w:after="0" w:line="423" w:lineRule="auto"/>
        <w:tabs>
          <w:tab w:leader="none" w:pos="8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 Title of each class of securities to which transaction applies:</w:t>
      </w:r>
    </w:p>
    <w:p>
      <w:pPr>
        <w:spacing w:after="0" w:line="1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5582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55829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192"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5582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582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5829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176" w:lineRule="exact"/>
        <w:rPr>
          <w:sz w:val="24"/>
          <w:szCs w:val="24"/>
          <w:color w:val="auto"/>
        </w:rPr>
      </w:pPr>
    </w:p>
    <w:p>
      <w:pPr>
        <w:ind w:left="820" w:hanging="817"/>
        <w:spacing w:after="0"/>
        <w:tabs>
          <w:tab w:leader="none" w:pos="8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jc w:val="both"/>
        <w:ind w:firstLine="3"/>
        <w:spacing w:after="0" w:line="218" w:lineRule="auto"/>
        <w:tabs>
          <w:tab w:leader="none" w:pos="81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582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582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5829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582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752475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80" w:right="1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ACLARIS THERAPEUTICS, INC.</w:t>
      </w:r>
    </w:p>
    <w:p>
      <w:pPr>
        <w:jc w:val="center"/>
        <w:spacing w:after="0" w:line="203" w:lineRule="auto"/>
        <w:rPr>
          <w:sz w:val="20"/>
          <w:szCs w:val="20"/>
          <w:color w:val="auto"/>
        </w:rPr>
      </w:pPr>
      <w:r>
        <w:rPr>
          <w:rFonts w:ascii="Arial" w:cs="Arial" w:eastAsia="Arial" w:hAnsi="Arial"/>
          <w:sz w:val="18"/>
          <w:szCs w:val="18"/>
          <w:color w:val="auto"/>
        </w:rPr>
        <w:t>101 Lindenwood Drive, Suite 400</w:t>
      </w:r>
    </w:p>
    <w:p>
      <w:pPr>
        <w:jc w:val="center"/>
        <w:spacing w:after="0"/>
        <w:rPr>
          <w:sz w:val="20"/>
          <w:szCs w:val="20"/>
          <w:color w:val="auto"/>
        </w:rPr>
      </w:pPr>
      <w:r>
        <w:rPr>
          <w:rFonts w:ascii="Arial" w:cs="Arial" w:eastAsia="Arial" w:hAnsi="Arial"/>
          <w:sz w:val="18"/>
          <w:szCs w:val="18"/>
          <w:color w:val="auto"/>
        </w:rPr>
        <w:t>Malvern, Pennsylvania 19355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29, 2016</w:t>
      </w:r>
    </w:p>
    <w:p>
      <w:pPr>
        <w:spacing w:after="0"/>
        <w:rPr>
          <w:sz w:val="20"/>
          <w:szCs w:val="20"/>
          <w:color w:val="auto"/>
        </w:rPr>
      </w:pPr>
      <w:r>
        <w:rPr>
          <w:rFonts w:ascii="Arial" w:cs="Arial" w:eastAsia="Arial" w:hAnsi="Arial"/>
          <w:sz w:val="18"/>
          <w:szCs w:val="18"/>
          <w:color w:val="auto"/>
        </w:rPr>
        <w:t>Dear Stockholder:</w:t>
      </w:r>
    </w:p>
    <w:p>
      <w:pPr>
        <w:spacing w:after="0" w:line="165" w:lineRule="exact"/>
        <w:rPr>
          <w:sz w:val="20"/>
          <w:szCs w:val="20"/>
          <w:color w:val="auto"/>
        </w:rPr>
      </w:pPr>
    </w:p>
    <w:p>
      <w:pPr>
        <w:ind w:right="160" w:firstLine="648"/>
        <w:spacing w:after="0" w:line="239" w:lineRule="auto"/>
        <w:rPr>
          <w:sz w:val="20"/>
          <w:szCs w:val="20"/>
          <w:color w:val="auto"/>
        </w:rPr>
      </w:pPr>
      <w:r>
        <w:rPr>
          <w:rFonts w:ascii="Arial" w:cs="Arial" w:eastAsia="Arial" w:hAnsi="Arial"/>
          <w:sz w:val="17"/>
          <w:szCs w:val="17"/>
          <w:color w:val="auto"/>
        </w:rPr>
        <w:t xml:space="preserve">You are cordially invited to attend the Annual Meeting of Stockholders of </w:t>
      </w:r>
      <w:r>
        <w:rPr>
          <w:rFonts w:ascii="Arial" w:cs="Arial" w:eastAsia="Arial" w:hAnsi="Arial"/>
          <w:sz w:val="17"/>
          <w:szCs w:val="17"/>
          <w:b w:val="1"/>
          <w:bCs w:val="1"/>
          <w:color w:val="auto"/>
        </w:rPr>
        <w:t>Aclaris Therapeutics, Inc.</w:t>
      </w:r>
      <w:r>
        <w:rPr>
          <w:rFonts w:ascii="Arial" w:cs="Arial" w:eastAsia="Arial" w:hAnsi="Arial"/>
          <w:sz w:val="17"/>
          <w:szCs w:val="17"/>
          <w:color w:val="auto"/>
        </w:rPr>
        <w:t>, a Delaware corporation (the “Company”). The meeting will be held on Wednesday, June 29, 2016 at 9:00a.m. local time at The Desmond Hotel, One Liberty Boulevard, Malvern, Pennsylvania 19355 for the following purposes:</w:t>
      </w:r>
    </w:p>
    <w:p>
      <w:pPr>
        <w:spacing w:after="0" w:line="163" w:lineRule="exact"/>
        <w:rPr>
          <w:sz w:val="20"/>
          <w:szCs w:val="20"/>
          <w:color w:val="auto"/>
        </w:rPr>
      </w:pPr>
    </w:p>
    <w:p>
      <w:pPr>
        <w:ind w:left="680" w:hanging="353"/>
        <w:spacing w:after="0"/>
        <w:tabs>
          <w:tab w:leader="none" w:pos="6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To elect the two nominees for director named herein to hold office until the 2019 Annual Meeting of Stockholders.</w:t>
      </w:r>
    </w:p>
    <w:p>
      <w:pPr>
        <w:spacing w:after="0" w:line="207" w:lineRule="exact"/>
        <w:rPr>
          <w:rFonts w:ascii="Arial" w:cs="Arial" w:eastAsia="Arial" w:hAnsi="Arial"/>
          <w:sz w:val="16"/>
          <w:szCs w:val="16"/>
          <w:b w:val="1"/>
          <w:bCs w:val="1"/>
          <w:color w:val="auto"/>
        </w:rPr>
      </w:pPr>
    </w:p>
    <w:p>
      <w:pPr>
        <w:ind w:left="660" w:hanging="333"/>
        <w:spacing w:after="0" w:line="258" w:lineRule="auto"/>
        <w:tabs>
          <w:tab w:leader="none" w:pos="687"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To ratify the selection by the Audit Committee of the Board of Directors of PricewaterhouseCoopers LLP as the independent registered public accounting firm of the Company for its fiscal year ending December 31, 2016.</w:t>
      </w:r>
    </w:p>
    <w:p>
      <w:pPr>
        <w:spacing w:after="0" w:line="146" w:lineRule="exact"/>
        <w:rPr>
          <w:rFonts w:ascii="Arial" w:cs="Arial" w:eastAsia="Arial" w:hAnsi="Arial"/>
          <w:sz w:val="17"/>
          <w:szCs w:val="17"/>
          <w:b w:val="1"/>
          <w:bCs w:val="1"/>
          <w:color w:val="auto"/>
        </w:rPr>
      </w:pPr>
    </w:p>
    <w:p>
      <w:pPr>
        <w:ind w:left="680" w:hanging="353"/>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conduct any other business properly brought before the meeting.</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record date for the Annual Meeting is May 16, 2016.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576326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3260" cy="565785"/>
                    </a:xfrm>
                    <a:prstGeom prst="rect">
                      <a:avLst/>
                    </a:prstGeom>
                    <a:noFill/>
                  </pic:spPr>
                </pic:pic>
              </a:graphicData>
            </a:graphic>
          </wp:anchor>
        </w:drawing>
      </w:r>
    </w:p>
    <w:p>
      <w:pPr>
        <w:spacing w:after="0" w:line="219" w:lineRule="exact"/>
        <w:rPr>
          <w:sz w:val="20"/>
          <w:szCs w:val="20"/>
          <w:color w:val="auto"/>
        </w:rPr>
      </w:pPr>
    </w:p>
    <w:p>
      <w:pPr>
        <w:jc w:val="center"/>
        <w:ind w:left="1440" w:right="160"/>
        <w:spacing w:after="0" w:line="251"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Stockholders’ Meeting to Be Held on June 29, 2016 at 9:00 a.m. at The Desmond Hotel, One Liberty Boulevard, Malvern, Pennsylvania 19355.</w:t>
      </w:r>
    </w:p>
    <w:p>
      <w:pPr>
        <w:jc w:val="center"/>
        <w:ind w:right="-19"/>
        <w:spacing w:after="0" w:line="222" w:lineRule="auto"/>
        <w:rPr>
          <w:sz w:val="20"/>
          <w:szCs w:val="20"/>
          <w:color w:val="auto"/>
        </w:rPr>
      </w:pPr>
      <w:r>
        <w:rPr>
          <w:rFonts w:ascii="Arial" w:cs="Arial" w:eastAsia="Arial" w:hAnsi="Arial"/>
          <w:sz w:val="18"/>
          <w:szCs w:val="18"/>
          <w:color w:val="auto"/>
        </w:rPr>
        <w:t>The letter to stockholders, proxy statement and annual report to stockholders</w:t>
      </w:r>
    </w:p>
    <w:p>
      <w:pPr>
        <w:jc w:val="center"/>
        <w:ind w:right="-19"/>
        <w:spacing w:after="0"/>
        <w:rPr>
          <w:sz w:val="20"/>
          <w:szCs w:val="20"/>
          <w:color w:val="auto"/>
        </w:rPr>
      </w:pPr>
      <w:r>
        <w:rPr>
          <w:rFonts w:ascii="Arial" w:cs="Arial" w:eastAsia="Arial" w:hAnsi="Arial"/>
          <w:sz w:val="18"/>
          <w:szCs w:val="18"/>
          <w:color w:val="auto"/>
        </w:rPr>
        <w:t xml:space="preserve">are available at: </w:t>
      </w:r>
      <w:r>
        <w:rPr>
          <w:rFonts w:ascii="Arial" w:cs="Arial" w:eastAsia="Arial" w:hAnsi="Arial"/>
          <w:sz w:val="18"/>
          <w:szCs w:val="18"/>
          <w:b w:val="1"/>
          <w:bCs w:val="1"/>
          <w:u w:val="single" w:color="auto"/>
          <w:color w:val="auto"/>
        </w:rPr>
        <w:t>https://materials.proxyvote.com/00461U</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1629410"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Kamil Ali-Jackson</w:t>
      </w:r>
    </w:p>
    <w:p>
      <w:pPr>
        <w:spacing w:after="0"/>
        <w:rPr>
          <w:sz w:val="20"/>
          <w:szCs w:val="20"/>
          <w:color w:val="auto"/>
        </w:rPr>
      </w:pPr>
      <w:r>
        <w:rPr>
          <w:rFonts w:ascii="Arial" w:cs="Arial" w:eastAsia="Arial" w:hAnsi="Arial"/>
          <w:sz w:val="18"/>
          <w:szCs w:val="18"/>
          <w:color w:val="auto"/>
        </w:rPr>
        <w:t>Secretary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rPr>
          <w:sz w:val="20"/>
          <w:szCs w:val="20"/>
          <w:color w:val="auto"/>
        </w:rPr>
      </w:pPr>
      <w:r>
        <w:rPr>
          <w:rFonts w:ascii="Arial" w:cs="Arial" w:eastAsia="Arial" w:hAnsi="Arial"/>
          <w:sz w:val="18"/>
          <w:szCs w:val="18"/>
          <w:color w:val="auto"/>
        </w:rPr>
        <w:t>May 20, 2016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2" w:right="1419" w:bottom="1440" w:gutter="0" w:footer="0" w:header="0"/>
        </w:sectPr>
      </w:pPr>
    </w:p>
    <w:bookmarkStart w:id="2" w:name="page3"/>
    <w:bookmarkEnd w:id="2"/>
    <w:p>
      <w:pPr>
        <w:jc w:val="both"/>
        <w:spacing w:after="0" w:line="225" w:lineRule="auto"/>
        <w:rPr>
          <w:sz w:val="20"/>
          <w:szCs w:val="20"/>
          <w:color w:val="auto"/>
        </w:rPr>
      </w:pPr>
      <w:r>
        <w:rPr>
          <w:rFonts w:ascii="Arial" w:cs="Arial" w:eastAsia="Arial" w:hAnsi="Arial"/>
          <w:sz w:val="17"/>
          <w:szCs w:val="17"/>
          <w:b w:val="1"/>
          <w:bCs w:val="1"/>
          <w:color w:val="auto"/>
        </w:rPr>
        <w:t>You are cordially invited to attend the meeting in person. Whether or not you expect to attend the meeting, please complete, date, sign and return the enclosed proxy, or vote over the telephone or on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-804545</wp:posOffset>
            </wp:positionV>
            <wp:extent cx="5758815" cy="810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8815"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20"/>
          </w:cols>
          <w:pgMar w:left="1440" w:top="472" w:right="1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ACLARIS THERAPEUTICS, INC.</w:t>
      </w:r>
    </w:p>
    <w:p>
      <w:pPr>
        <w:jc w:val="center"/>
        <w:spacing w:after="0" w:line="203" w:lineRule="auto"/>
        <w:rPr>
          <w:sz w:val="20"/>
          <w:szCs w:val="20"/>
          <w:color w:val="auto"/>
        </w:rPr>
      </w:pPr>
      <w:r>
        <w:rPr>
          <w:rFonts w:ascii="Arial" w:cs="Arial" w:eastAsia="Arial" w:hAnsi="Arial"/>
          <w:sz w:val="18"/>
          <w:szCs w:val="18"/>
          <w:color w:val="auto"/>
        </w:rPr>
        <w:t>101 Lindenwood Drive, Suite 400</w:t>
      </w:r>
    </w:p>
    <w:p>
      <w:pPr>
        <w:jc w:val="center"/>
        <w:spacing w:after="0"/>
        <w:rPr>
          <w:sz w:val="20"/>
          <w:szCs w:val="20"/>
          <w:color w:val="auto"/>
        </w:rPr>
      </w:pPr>
      <w:r>
        <w:rPr>
          <w:rFonts w:ascii="Arial" w:cs="Arial" w:eastAsia="Arial" w:hAnsi="Arial"/>
          <w:sz w:val="18"/>
          <w:szCs w:val="18"/>
          <w:color w:val="auto"/>
        </w:rPr>
        <w:t>Malvern, Pennsylvania 19355</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jc w:val="center"/>
        <w:spacing w:after="0"/>
        <w:rPr>
          <w:sz w:val="20"/>
          <w:szCs w:val="20"/>
          <w:color w:val="auto"/>
        </w:rPr>
      </w:pPr>
      <w:r>
        <w:rPr>
          <w:rFonts w:ascii="Arial" w:cs="Arial" w:eastAsia="Arial" w:hAnsi="Arial"/>
          <w:sz w:val="18"/>
          <w:szCs w:val="18"/>
          <w:b w:val="1"/>
          <w:bCs w:val="1"/>
          <w:color w:val="auto"/>
        </w:rPr>
        <w:t>FOR THE 2016 ANNUAL MEETING OF STOCKHOLDERS</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June 29, 2016</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have sent you these proxy materials because the Board of Directors (the “Board”) of Aclaris Therapeutics, Inc. (sometimes referred to as the “Company” or “Aclaris”) is soliciting your proxy to vote at the 2016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intend to mail these proxy materials on or about May 20, 2016 to all stockholders of record entitled to vote at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meeting will be held on Wednesday, June 29, 2016 at 9:00 a.m. local time at The Desmond Hotel, One Liberty Boulevard, Malvern, Pennsylvania 19355. Directions to the annual meeting may be found at www.desmondgv.com. Information on how to vote in person at the annual meeting is discussed below.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Only stockholders of record at the close of business on May 16, 2016 will be entitled to vote at the annual meeting. On this record date, there were 20,316,923 shares of common stock outstanding and entitled to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Record: Shares Registered in Your Name</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If at the close of business on May 16, 2016 your shares were registered directly in your name with Aclaris Therapeutics, Inc.’s transfer agent, Broadridge Corporate Issuer Solutions, Inc., then you are a stockholder of record. As a stockholder of record, you may vote in person at the meeting or vote by proxy. Whether or not you plan to attend the meeting, we urge you to fill out and return the enclosed proxy card or vote by proxy over the telephone or on the Internet as instructed below to ensure your vote is counted.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Shares Registered in the Name of a Broker or Bank</w:t>
      </w:r>
    </w:p>
    <w:p>
      <w:pPr>
        <w:spacing w:after="0" w:line="18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If at the close of business on May 16, 2016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in person at the meeting unless you request and obtain a valid proxy from your broker or other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447" w:right="1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What am I voting 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are two matters scheduled for a vote:</w:t>
      </w:r>
    </w:p>
    <w:p>
      <w:pPr>
        <w:spacing w:after="0" w:line="169" w:lineRule="exact"/>
        <w:rPr>
          <w:sz w:val="20"/>
          <w:szCs w:val="20"/>
          <w:color w:val="auto"/>
        </w:rPr>
      </w:pPr>
    </w:p>
    <w:p>
      <w:pPr>
        <w:ind w:left="560" w:hanging="233"/>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two directors; and</w:t>
      </w:r>
    </w:p>
    <w:p>
      <w:pPr>
        <w:ind w:left="400" w:hanging="73"/>
        <w:spacing w:after="0" w:line="226"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selection by the Audit Committee of the Board of Directors of PricewaterhouseCoopers LLP as independent registered public accounting firm of the Company for its fiscal year ending December 31,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You may either vote “For” all the nominees to the Board or you may “Withhold” your vote for any nominee you specify. For each of the other matters to be voted on, you may vote “For” or “Against” or abstain from voting.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fairly simple: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Record: Shares Registered in Your Name</w:t>
      </w:r>
    </w:p>
    <w:p>
      <w:pPr>
        <w:spacing w:after="0" w:line="18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If you are a stockholder of record, you may vote in person at the annual meeting, vote by proxy using the enclosed proxy card, vote by proxy over the telephone or vote by proxy on the Internet. Whether or not you plan to attend the meeting, we urge you to vote by proxy to ensure your vote is counted. You may still attend the meeting and vote in person even if you have already voted by proxy.</w:t>
      </w:r>
    </w:p>
    <w:p>
      <w:pPr>
        <w:spacing w:after="0" w:line="147" w:lineRule="exact"/>
        <w:rPr>
          <w:sz w:val="20"/>
          <w:szCs w:val="20"/>
          <w:color w:val="auto"/>
        </w:rPr>
      </w:pPr>
    </w:p>
    <w:p>
      <w:pPr>
        <w:ind w:left="420" w:hanging="93"/>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in person, come to the annual meeting and we will give you a ballot when you arrive.</w:t>
      </w:r>
    </w:p>
    <w:p>
      <w:pPr>
        <w:jc w:val="both"/>
        <w:ind w:left="400" w:hanging="73"/>
        <w:spacing w:after="0" w:line="203"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company number and control number from the enclosed proxy card. Your telephone vote must be received by 11:59 p.m. Eastern Time on June 28, 2016 to be counted.</w:t>
      </w:r>
    </w:p>
    <w:p>
      <w:pPr>
        <w:spacing w:after="0" w:line="1" w:lineRule="exact"/>
        <w:rPr>
          <w:rFonts w:ascii="Arial" w:cs="Arial" w:eastAsia="Arial" w:hAnsi="Arial"/>
          <w:sz w:val="18"/>
          <w:szCs w:val="18"/>
          <w:color w:val="auto"/>
        </w:rPr>
      </w:pPr>
    </w:p>
    <w:p>
      <w:pPr>
        <w:jc w:val="both"/>
        <w:ind w:left="400" w:hanging="73"/>
        <w:spacing w:after="0" w:line="203"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the Internet, go to www.proxyvote.com to complete an electronic proxy card. You will be asked to provide the company number and control number from the enclosed proxy card. Your Internet vote must be received by 11:59 p.m. Eastern Time on June 28, 2016 to be counted.</w:t>
      </w:r>
    </w:p>
    <w:p>
      <w:pPr>
        <w:spacing w:after="0" w:line="1" w:lineRule="exact"/>
        <w:rPr>
          <w:rFonts w:ascii="Arial" w:cs="Arial" w:eastAsia="Arial" w:hAnsi="Arial"/>
          <w:sz w:val="18"/>
          <w:szCs w:val="18"/>
          <w:color w:val="auto"/>
        </w:rPr>
      </w:pPr>
    </w:p>
    <w:p>
      <w:pPr>
        <w:jc w:val="both"/>
        <w:ind w:left="400" w:hanging="73"/>
        <w:spacing w:after="0" w:line="218"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Shares Registered in the Name of Broker or Bank</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If you are a beneficial owner of shares registered in the name of your broker, bank, or other agent, you should have received a voting instruction form with these proxy materials from that organization rather than from Aclaris Therapeutics, Inc. Simply complete and mail the voting instruction form to ensure that your vote is counted. Alternatively, you may vote by telephone or on the Internet as instructed by your broker or bank. To vote in person at the annual meeting, you must obtain a valid proxy from your broker, bank or other agent. Follow the instructions from your broker or bank included with these proxy materials, or contact your broker or bank to request a proxy form.</w:t>
      </w:r>
    </w:p>
    <w:p>
      <w:pPr>
        <w:spacing w:after="0" w:line="175" w:lineRule="exact"/>
        <w:rPr>
          <w:sz w:val="20"/>
          <w:szCs w:val="20"/>
          <w:color w:val="auto"/>
        </w:rPr>
      </w:pPr>
    </w:p>
    <w:p>
      <w:pPr>
        <w:jc w:val="both"/>
        <w:ind w:left="20" w:right="20"/>
        <w:spacing w:after="0" w:line="220" w:lineRule="auto"/>
        <w:rPr>
          <w:sz w:val="20"/>
          <w:szCs w:val="20"/>
          <w:color w:val="auto"/>
        </w:rPr>
      </w:pPr>
      <w:r>
        <w:rPr>
          <w:rFonts w:ascii="Arial" w:cs="Arial" w:eastAsia="Arial" w:hAnsi="Arial"/>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-471805</wp:posOffset>
            </wp:positionV>
            <wp:extent cx="5758815" cy="475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8815" cy="47561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many votes do I have?</w:t>
      </w:r>
    </w:p>
    <w:p>
      <w:pPr>
        <w:spacing w:after="0" w:line="18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On each matter to be voted upon, you have one vote for each share of common stock you own at the close of business on May 16,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do not vote?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8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If you are a stockholder of record and do not vote by telephone, on the Internet, by completing your proxy card or in person at the annual meeting, your shares will not be voted.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If you are a beneficial owner and do not instruct your broker, bank, or other agent how to vote your shares, the question of whether your broker or nominee will still be able to vote your shares depends on whether the particular proposal is deemed to be a “routine” matter. Brokers and nominees can use their discretion to vote “uninstructed” shares with respect to matters that are considered to be “routine,” but not with respect to “non-routine” matters. Under the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Proposal 1 without your instruction, but may vote your shares on Proposal 2 even in the absence of your instruction.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or otherwise vote but do not make specific choices?</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both nominees for director and “For” the ratification of PricewaterhouseCoopers LLP as our registered public accounting firm for the fiscal year ending December 31, 2016. 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w:t>
      </w:r>
      <w:r>
        <w:rPr>
          <w:rFonts w:ascii="Arial" w:cs="Arial" w:eastAsia="Arial" w:hAnsi="Arial"/>
          <w:sz w:val="18"/>
          <w:szCs w:val="18"/>
          <w:b w:val="1"/>
          <w:bCs w:val="1"/>
          <w:color w:val="auto"/>
        </w:rPr>
        <w:t>.</w:t>
      </w:r>
      <w:r>
        <w:rPr>
          <w:rFonts w:ascii="Arial" w:cs="Arial" w:eastAsia="Arial" w:hAnsi="Arial"/>
          <w:sz w:val="18"/>
          <w:szCs w:val="18"/>
          <w:color w:val="auto"/>
        </w:rPr>
        <w:t xml:space="preserve"> We may also reimburse brokerage firms, banks and other agents for the cost of forwarding proxy materials to beneficial owners.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Record: Shares Registered in Your Name</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38" w:lineRule="exact"/>
        <w:rPr>
          <w:sz w:val="20"/>
          <w:szCs w:val="20"/>
          <w:color w:val="auto"/>
        </w:rPr>
      </w:pP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grant a subsequent proxy by telephone or on the Internet.</w:t>
      </w: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6" w:name="page7"/>
    <w:bookmarkEnd w:id="6"/>
    <w:p>
      <w:pPr>
        <w:ind w:left="400" w:hanging="73"/>
        <w:spacing w:after="0" w:line="212"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Aclaris Therapeutics, Inc.’s Secretary at 101 Lindenwood Drive, Suite 400, Malvern, Pennsylvania 19355.</w:t>
      </w:r>
    </w:p>
    <w:p>
      <w:pPr>
        <w:spacing w:after="0" w:line="1" w:lineRule="exact"/>
        <w:rPr>
          <w:rFonts w:ascii="Arial" w:cs="Arial" w:eastAsia="Arial" w:hAnsi="Arial"/>
          <w:sz w:val="18"/>
          <w:szCs w:val="18"/>
          <w:color w:val="auto"/>
        </w:rPr>
      </w:pPr>
    </w:p>
    <w:p>
      <w:pPr>
        <w:ind w:left="400" w:hanging="73"/>
        <w:spacing w:after="0" w:line="22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attend the annual meeting and vote in person. Simply attending the meeting will not, by itself, revoke your proxy.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Shares Registered in the Name of Broker or Bank</w:t>
      </w:r>
    </w:p>
    <w:p>
      <w:pPr>
        <w:spacing w:after="0" w:line="18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If your shares are held by your broker or bank as a nominee or agent, you should follow the instructions provided by your broker or bank.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January 20, 2017, to our Corporate Secretary at 101 Lindenwood Drive, Suite 400, Malvern, Pennsylvania 19355. If you wish to nominate an individual for election at, or bring business other than through a stockholder proposal before, the 2017 Annual Meeting of Stockholders, you must deliver your notice to our Corporate Secretary at the address above between March 1, 2017 and March 31, 2017; provided, however that if next year's annual meeting is advanced more than 30 days prior to or delayed by more than 30 days after June 29, 2017, your proposal must be submitted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Your notice to the Corporate Secretary must set forth information specified in our amended and restated bylaws, including your name and address and the class and number of shares of our stock that you beneficially own.</w:t>
      </w:r>
    </w:p>
    <w:p>
      <w:pPr>
        <w:spacing w:after="0" w:line="16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w:t>
      </w:r>
    </w:p>
    <w:p>
      <w:pPr>
        <w:spacing w:after="0" w:line="1" w:lineRule="exact"/>
        <w:rPr>
          <w:sz w:val="20"/>
          <w:szCs w:val="20"/>
          <w:color w:val="auto"/>
        </w:rPr>
      </w:pPr>
    </w:p>
    <w:p>
      <w:pPr>
        <w:jc w:val="both"/>
        <w:ind w:firstLine="3"/>
        <w:spacing w:after="0" w:line="220" w:lineRule="auto"/>
        <w:tabs>
          <w:tab w:leader="none" w:pos="20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6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more information, and for more detailed requirements, please refer to our amended and restated bylaws, filed as Exhibit 3.2 to our Current Report on Form 8-K, filed with the Securities and Exchange Commission (the “SEC”) on October 13, 2015.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the proposal to elect directors, votes “For,” “Withhold” and broker non-votes and, with respect to the proposal to ratify the selection of PricewaterhouseCoopers LLP as our independent registered public accounting firm for the fiscal year ending December 31, 2016, votes “For,” “Against” and abstentions. Broker non-votes have no effect and will not be counted towards the vote total for any proposal.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What are “broker non-votes”?</w:t>
      </w:r>
    </w:p>
    <w:p>
      <w:pPr>
        <w:spacing w:after="0" w:line="18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election of directors, the two nominees receiving the most “For” votes from the holders of shares present in person or represented by proxy and entitled to vote on the election of directors will be elected. Only votes “For” or “Withheld” will affect the outcome.</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be approved, Proposal No. 2, ratification of the selection of PricewaterhouseCoopers LLP as our independent registered public accounting firm for the fiscal year ending December 31, 2016, must receive “For” votes from the holders of a majority of shares present in person or represented by proxy and entitled to vote on the matter. If you mark your proxy to “Abstain” from voting, it will have the same effect as an “Against” vote. Broker non-votes will have no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 quorum of stockholders is necessary to hold a valid meeting. A quorum will be present if stockholders holding at least a majority of the outstanding shares entitled to vote are present at the meeting in person or represented by proxy. At the close of business on the record date, there were 20,316,923 shares outstanding and entitled to vote. Thus, the holders of 20,316,923 shares must be present in person or represented by proxy at the meeting to have a quorum.</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Your shares will be counted towards the quorum only if you submit a valid proxy by telephone, internet or proxy card (or one is submitted on your behalf by your broker, bank or other nominee) or if you vote in person at the meeting. Abstentions and broker non-votes will be counted towards the quorum requirement. If there is no quorum, the holders of a majority of shares present at the meeting in person or represented by proxy may adjourn the meeting to another date.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189" w:lineRule="exact"/>
        <w:rPr>
          <w:sz w:val="20"/>
          <w:szCs w:val="20"/>
          <w:color w:val="auto"/>
        </w:rPr>
      </w:pPr>
    </w:p>
    <w:p>
      <w:pPr>
        <w:ind w:right="2580"/>
        <w:spacing w:after="0" w:line="235" w:lineRule="auto"/>
        <w:rPr>
          <w:sz w:val="20"/>
          <w:szCs w:val="20"/>
          <w:color w:val="auto"/>
        </w:rPr>
      </w:pPr>
      <w:r>
        <w:rPr>
          <w:rFonts w:ascii="Arial" w:cs="Arial" w:eastAsia="Arial" w:hAnsi="Arial"/>
          <w:sz w:val="18"/>
          <w:szCs w:val="18"/>
          <w:color w:val="auto"/>
        </w:rPr>
        <w:t>The letter to stockholders, proxy statement and annual report to stockholders are available at https://materials.proxyvote.com/00461U</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Proposal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19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6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Board presently has six members. There are two directors in the class whose term of office expires in 2016. Each of the nominees listed below is currently a director of the Company who was previously elected by the stockholders. If elected at the annual meeting, each of these nominees would serve until the 2019 annual meeting and until his successor has been duly elected and qualified, or, if sooner, until the director’s death, resignation or removal. It is our policy to invite and encourage directors and nominees for director to attend the Annual Meeting. We elected directors by written consent of our stockholders during 2015 and therefore did not hold an annual meeting.</w:t>
      </w:r>
    </w:p>
    <w:p>
      <w:pPr>
        <w:spacing w:after="0" w:line="16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Directors are elected by a plurality of the votes of the holders of shares present in person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nominee becomes unavailable for election as a result of an unexpected occurrence, shares that would have been voted for that nominee may instead be voted for the election of a substitute nominee proposed by our Board. Each person nominated for election has agreed to serve if elected, and we have no reason to believe that any nominee will be unable to serve.</w:t>
      </w:r>
    </w:p>
    <w:p>
      <w:pPr>
        <w:spacing w:after="0" w:line="16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Nominating and Corporate Governance Committee of our Board seeks to assemble a board that, as a whole, possesses the appropriate balance of professional and industry knowledge, financial expertise and high-level management experience necessary to oversee and direct our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w:t>
      </w:r>
    </w:p>
    <w:p>
      <w:pPr>
        <w:spacing w:after="0" w:line="16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biographies below include information, as of the date of this proxy statement, regarding the specific and particular experience, qualifications, attributes or skills of each nominee that led the Nominating and Corporate Governance Committee to recommend that person as a nominee for director. However, each member of the committee may have a variety of reasons why he believes a particular person would be an appropriate nominee for the Board, and these views may differ from the views of other members.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for a Three-year Term Expiring at the 2019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Walker, age 46</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Neal Walker co-founded our company and has served as President and Chief Executive Officer and a member of our Board since our inception in July 2012. Dr. Walker co-founded NeXeption, LLC, a biopharmaceutical assets management company, in August 2012. Between July 2011 and July 2012, Dr. Walker served as a consultant to a number of pharmaceutical companies. Dr. Walker co-founded and served as President and Chief Executive Officer and a member of the board of directors of Vicept Therapeutics, Inc., a dermatology-focused specialty pharmaceutical company, from 2009 until its acquisition by Allergan, Inc. in July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Alderya Therapeutics, Inc, a publicly held biotechnology company, as well as several private biotechnology companies. Dr. Walker received his M.B.A. degree from The Wharton School, University of Pennsylvania, his Doctor of Osteopathic Medicine degree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9" w:name="page10"/>
    <w:bookmarkEnd w:id="9"/>
    <w:p>
      <w:pPr>
        <w:jc w:val="both"/>
        <w:spacing w:after="0" w:line="232" w:lineRule="auto"/>
        <w:rPr>
          <w:sz w:val="20"/>
          <w:szCs w:val="20"/>
          <w:color w:val="auto"/>
        </w:rPr>
      </w:pPr>
      <w:r>
        <w:rPr>
          <w:rFonts w:ascii="Arial" w:cs="Arial" w:eastAsia="Arial" w:hAnsi="Arial"/>
          <w:sz w:val="17"/>
          <w:szCs w:val="17"/>
          <w:color w:val="auto"/>
        </w:rPr>
        <w:t>the Philadelphia College of Osteopathic Medicine and a B.A. degree in Biology from Lehigh University. Dr. Walker's experience as a board-certified dermatologist and the founder of our company and other pharmaceutical companies, his background in clinical and product development in dermatology and other fields, and his knowledge of the pharmaceutical industry contributed to the conclusion of our Board that he should serve as a director of our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Albert Cha, M.D., Ph.D., age 44</w:t>
      </w:r>
    </w:p>
    <w:p>
      <w:pPr>
        <w:spacing w:after="0" w:line="18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Albert Cha, M.D., Ph.D. has served as a member of our Board since August 2012. In 2000, Dr. Cha joined Vivo Capital, a healthcare investment firm, where he has served in various positions, and he currently serves as a managing partner. Dr. Cha currently serves as a member of the boards of directors of several privately held biotechnology and medical device companies. Dr. Cha holds B.S. and M.S. degrees in Electrical Engineering from Stanford University and an M.D. degree and Ph.D. degree in Neuroscience from the University of California at Los Angeles. Our Board believes that Dr. Cha's substantial experience with companies in the healthcare sector and his financial and business experience qualify him to serve as a director of our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jc w:val="center"/>
        <w:spacing w:after="0"/>
        <w:rPr>
          <w:sz w:val="20"/>
          <w:szCs w:val="20"/>
          <w:color w:val="auto"/>
        </w:rPr>
      </w:pPr>
      <w:r>
        <w:rPr>
          <w:rFonts w:ascii="Arial" w:cs="Arial" w:eastAsia="Arial" w:hAnsi="Arial"/>
          <w:sz w:val="18"/>
          <w:szCs w:val="18"/>
          <w:b w:val="1"/>
          <w:bCs w:val="1"/>
          <w:color w:val="auto"/>
        </w:rPr>
        <w:t>A Vote In Favor Of Each Named Nominee.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2017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Anand Mehra, M.D., age 40</w:t>
      </w:r>
    </w:p>
    <w:p>
      <w:pPr>
        <w:spacing w:after="0" w:line="18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Anand Mehra, M.D. has served as a member of our Board since September 2014. Dr. Mehra joined Sofinnova Ventures, a venture capital firm, in 2007 and currently serves as a general partner. Prior to joining Sofinnova, Dr. Mehra worked in J.P. Morgan's private equity and venture capital group, and before that, Dr. Mehra was a consultant in McKinsey &amp; Company's pharmaceutical practice. Dr. Mehra currently serves on the boards of directors of the publicly held companies Spark Therapeutics, Inc., Aerie Pharmaceuticals, Inc. and Marinus Pharmaceuticals, Inc., as well as several private companies. Dr. Mehra received his B.A. degree in political philosophy from the University of Virginia and an M.D. degree from Columbia University's College of Physicians and Surgeons. Our Board believes that Dr. Mehra is qualified to serve on our Board because of his extensive experience in the life sciences industry, his service on the boards of directors of other public life sciences companies and his extensive leadership experience.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A. Tullman, age 50</w:t>
      </w:r>
    </w:p>
    <w:p>
      <w:pPr>
        <w:spacing w:after="0" w:line="189"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Stephen A. Tullman has served as Chairman of our Board since August 2012. Mr. Tullman co-founded NeXeption, Inc. in May 2011 and NeXeption, LLC in August 2012 and currently serves as the managing member of NeXeption, LLC and certain of its affiliates. He previously served as Chairman, President and Chief Executive Officer of Ceptaris Therapeutics, Inc., a biopharmaceutical company, from May 2011 until its acquisition by Actelion US Holdings Company, a subsidiary of Actelion Ltd, in September 2013. Mr. Tullman served as Chairman of Vicept Therapeutics, Inc. from 2009 until its acquisition by Allergan, Inc. in July 2011. In 2005, Mr. Tullman co-founded Ception Therapeutics, Inc. and served as its President and Chief Executive Officer until its acquisition by Cephalon, Inc. in 2010. In 2003, Mr. Tullman co-founded Trigenesis Therapeutics, Inc., where he served as its Chief Business Officer (acquired by Dr. Reddy's Laboratories Inc.) Mr. Tullman began his career at SmithKline Beecham, a pharmaceutical company, where he held positions of increasing responsibility in finance, sales, marketing, and research and development. Mr. Tullman currently serves as the chairman of the board of directors of Ralexar Therapeutics, Inc., a specialty dermatology company, and on the boards of directors of several other privately held companies. Mr. Tullman received a B.S. degree in Accounting from Rutgers University. Our Board believes that Mr. Tullman's leadership, executive, managerial and business experience with several life sciences companies qualify him to serve as a director of our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2018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Bierly, age 60</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Richard A. Bierly was appointed to our Board as of the date of October 6, 2015. From March 2014 until April 2016, Mr. Bierly served as the chief financial officer of Medivation, Inc., a publicly traded biopharmaceutical company. Mr. Bierly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0" w:name="page11"/>
    <w:bookmarkEnd w:id="10"/>
    <w:p>
      <w:pPr>
        <w:jc w:val="both"/>
        <w:spacing w:after="0" w:line="221" w:lineRule="auto"/>
        <w:rPr>
          <w:sz w:val="20"/>
          <w:szCs w:val="20"/>
          <w:color w:val="auto"/>
        </w:rPr>
      </w:pPr>
      <w:r>
        <w:rPr>
          <w:rFonts w:ascii="Arial" w:cs="Arial" w:eastAsia="Arial" w:hAnsi="Arial"/>
          <w:sz w:val="17"/>
          <w:szCs w:val="17"/>
          <w:color w:val="auto"/>
        </w:rPr>
        <w:t>will retire from Medivation in July 2016, after which he will remain a consultant until September 2016. Mr. Bierly served as an executive director in Ernst &amp; Young LLP's Financial Accounting Advisory Services practice for life sciences and other clients from September 2013 to March 2014, where he provided advisory services in connection with finance function transformations. From 1999 to 2012, he served in several leadership roles at Johnson &amp; Johnson, including from August 2010 to 2012 as vice president, global finance services, where he was responsible for a New Jersey-based shared services center providing financial accounting services to Johnson &amp; Johnson’s U.S.-based operating companies. At Johnson &amp; Johnson, Mr. Bierly also served as vice president, finance of Centocor, Inc., and as vice president, finance, of Ortho Biotech LP, both subsidiaries of Johnson &amp; Johnson. Mr. Bierly received his Bachelor of Business Administration degree from Pennsylvania State University and is a certified public accountant in Pennsylvania (inactive) and New Jersey (inactive). Our Board believes that Mr. Bierly's financial acumen and substantial biotechnology industry experience qualify him to serve as a director of our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Molineaux, age 50</w:t>
      </w:r>
    </w:p>
    <w:p>
      <w:pPr>
        <w:spacing w:after="0" w:line="18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Christopher Molineaux has served as a member of our Board since January 2014. Since 2009, Mr. Molineaux has served as President and Chief Executive Officer of Pennsylvania Bio, a pharmaceutical and biotech industry advocacy organization. Prior to joining Pennsylvania Bio, Mr. Molineaux served as worldwide Vice President of pharmaceutical communication and public affairs for Johnson &amp; Johnson. Mr. Molineaux previously served as Vice President for Public Affairs at the Pharmaceutical Research and Manufacturers Association. He holds a B.A. degree from the College of the Holy Cross. Our Board believes that Mr. Molineaux's substantial pharmaceutical and biotechnology industry experience qualifies him to serve as a director of our company.</w:t>
      </w:r>
    </w:p>
    <w:p>
      <w:pPr>
        <w:spacing w:after="0" w:line="112"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auto"/>
        </w:rPr>
        <w:t>information regarding the board of directors and corporate governance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As required under the NASDAQ Stock Market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6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our company, senior management and independent auditors, the Board has affirmatively determined that four of our six directors are independent directors within the meaning of the applicable NASDAQ listing standards: Messrs. Molineaux and Bierly and Drs. Cha and Mehra. In making these determinations, the Board found that none of these directors or nominees for director had a material or other disqualifying relationship with our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Mr. Tullman is the Chairman of the Board and has authority, among other things, to call and preside over Board meetings, including meetings of the independent directors, to set meeting agendas and to determine materials to be distributed to the Board. Accordingly, the Chairman of the Board has substantial ability to shape the work of the Board. The Company believes that separating the positions of Chairman and Chief Executive Officer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The Company believes that this separation can enhance the effectiveness of the Board as a whole.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1" w:name="page12"/>
    <w:bookmarkEnd w:id="11"/>
    <w:p>
      <w:pPr>
        <w:jc w:val="both"/>
        <w:spacing w:after="0" w:line="221" w:lineRule="auto"/>
        <w:rPr>
          <w:sz w:val="20"/>
          <w:szCs w:val="20"/>
          <w:color w:val="auto"/>
        </w:rPr>
      </w:pPr>
      <w:r>
        <w:rPr>
          <w:rFonts w:ascii="Arial" w:cs="Arial" w:eastAsia="Arial" w:hAnsi="Arial"/>
          <w:sz w:val="17"/>
          <w:szCs w:val="17"/>
          <w:color w:val="auto"/>
        </w:rPr>
        <w:t>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Our nominating and corporate governance committee monitors the effectiveness of our corporate governance principles, including whether they are successful in preventing illegal or improper liability-creating conduct. Our Compensation Committee assesses and monitors whether any of our compensation policies and programs has the potential to encourage excessive risk-taking. It is the responsibility of the committee chairs to report findings regarding material risk exposures to the Board as quickly as possible. The Board has delegated to the Chairman of the Board the responsibility of coordinating between the Board and management with regard to the determination and implementation of responses to any problematic risk management issues.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Board met four times during 2015. Each Board member attended 75% or more of the aggregate number of meetings of the Board and of the committees on which he served, held during the portion of 2015 for which he was a director or committee member.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an Audit Committee, a Compensation Committee and a Nominating and Corporate Governance</w:t>
      </w:r>
    </w:p>
    <w:p>
      <w:pPr>
        <w:ind w:right="100"/>
        <w:spacing w:after="0" w:line="214" w:lineRule="auto"/>
        <w:rPr>
          <w:sz w:val="20"/>
          <w:szCs w:val="20"/>
          <w:color w:val="auto"/>
        </w:rPr>
      </w:pPr>
      <w:r>
        <w:rPr>
          <w:rFonts w:ascii="Arial" w:cs="Arial" w:eastAsia="Arial" w:hAnsi="Arial"/>
          <w:sz w:val="18"/>
          <w:szCs w:val="18"/>
          <w:color w:val="auto"/>
        </w:rPr>
        <w:t>Committee. The following table provides membership and meeting information for 2015 for each of these committees. The Board has determined that each member of each committee meets the applicable NASDAQ rules and regulations regarding “independence” and that each member is free of any relationship that would impair his individual exercise of independent judgment with regard to the Company.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Nominating and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Audit</w:t>
            </w:r>
          </w:p>
        </w:tc>
        <w:tc>
          <w:tcPr>
            <w:tcW w:w="24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24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00" w:type="dxa"/>
            <w:vAlign w:val="bottom"/>
            <w:tcBorders>
              <w:bottom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Governance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Richard A. Bierly</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200" w:type="dxa"/>
            <w:vAlign w:val="bottom"/>
            <w:gridSpan w:val="2"/>
          </w:tcPr>
          <w:p>
            <w:pPr>
              <w:spacing w:after="0" w:line="176" w:lineRule="exact"/>
              <w:rPr>
                <w:sz w:val="20"/>
                <w:szCs w:val="20"/>
                <w:color w:val="auto"/>
              </w:rPr>
            </w:pPr>
            <w:r>
              <w:rPr>
                <w:rFonts w:ascii="Arial" w:cs="Arial" w:eastAsia="Arial" w:hAnsi="Arial"/>
                <w:sz w:val="18"/>
                <w:szCs w:val="18"/>
                <w:color w:val="auto"/>
              </w:rPr>
              <w:t>Albert Cha, M.D., Ph.D.</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24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Anand Mehra, M.D.</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Christopher Molineaux</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meetings in 2015</w:t>
            </w:r>
          </w:p>
        </w:tc>
        <w:tc>
          <w:tcPr>
            <w:tcW w:w="15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79"/>
              </w:rPr>
              <w:t>3</w:t>
            </w:r>
          </w:p>
        </w:tc>
        <w:tc>
          <w:tcPr>
            <w:tcW w:w="15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79"/>
              </w:rPr>
              <w:t>4</w:t>
            </w:r>
          </w:p>
        </w:tc>
        <w:tc>
          <w:tcPr>
            <w:tcW w:w="154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40" w:hanging="73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Committee Chairman</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Below is a description of each of these committees of the Board. Each of the committees has authority to engage legal counsel or other experts or consultants, as it deems appropriate to carry out its responsibilities.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Audit Committee of the Board was established by the Board in accordance with Section 3(a)(58)(A) of the Securities Exchange Act of 1934, as amended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6"/>
          <w:szCs w:val="16"/>
          <w:color w:val="auto"/>
        </w:rPr>
        <w:t>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4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Audit Committee is composed of three directors: Mr. Bierly, Mr. Molineaux and Dr. Mehra. The Audit Committee met three times during 2015. The Board has adopted a written Audit Committee charter that is available to stockholders on the Company’s website at www.aclaristx.com.</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and under Rule 10A-3 under the Exchange Act).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has also determined that Mr. Bierly qualifies as an “audit committee financial expert,” as defined in applicable SEC rules. The Board made a qualitative assessment of Mr. Bierly’s level of knowledge and experience based on a number of factors, including his formal education and experience as a chief financial officer for public reporting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 (1)</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The Audit Committee has reviewed and discussed the audited financial statements for the fiscal year ended December 31, 2015 with management of the Company. The Audit Committee has discussed with the independent registered public accounting firm the matters required to be discussed by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as adopted by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Mr. Richard Bierly</w:t>
      </w:r>
    </w:p>
    <w:p>
      <w:pPr>
        <w:spacing w:after="0" w:line="203" w:lineRule="auto"/>
        <w:rPr>
          <w:sz w:val="20"/>
          <w:szCs w:val="20"/>
          <w:color w:val="auto"/>
        </w:rPr>
      </w:pPr>
      <w:r>
        <w:rPr>
          <w:rFonts w:ascii="Arial" w:cs="Arial" w:eastAsia="Arial" w:hAnsi="Arial"/>
          <w:sz w:val="18"/>
          <w:szCs w:val="18"/>
          <w:color w:val="auto"/>
        </w:rPr>
        <w:t>Mr. Christopher Molineaux</w:t>
      </w:r>
    </w:p>
    <w:p>
      <w:pPr>
        <w:spacing w:after="0"/>
        <w:rPr>
          <w:sz w:val="20"/>
          <w:szCs w:val="20"/>
          <w:color w:val="auto"/>
        </w:rPr>
      </w:pPr>
      <w:r>
        <w:rPr>
          <w:rFonts w:ascii="Arial" w:cs="Arial" w:eastAsia="Arial" w:hAnsi="Arial"/>
          <w:sz w:val="18"/>
          <w:szCs w:val="18"/>
          <w:color w:val="auto"/>
        </w:rPr>
        <w:t>Dr. Anand Mehra</w:t>
      </w:r>
    </w:p>
    <w:p>
      <w:pPr>
        <w:spacing w:after="0" w:line="169"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6"/>
          <w:szCs w:val="16"/>
          <w:color w:val="auto"/>
        </w:rPr>
        <w:t>(1)The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Compensation Committee is composed of two directors: Dr. Cha and Mr. Molineaux. All members of the Company’s Compensation Committee are independent (as independence is currently defined in Rule 5605(d)(2) of the NASDAQ listing standards). The Compensation Committee met four times during 2015. The Board has adopted a written Compensation Committee charter that is available to stockholders on the Company’s website at www.aclaristx.com.</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of the Board acts on behalf of the Board to review, adopt and oversee the Company’s compensation strategy, policies, plans and programs, including:</w:t>
      </w:r>
    </w:p>
    <w:p>
      <w:pPr>
        <w:spacing w:after="0" w:line="162" w:lineRule="exact"/>
        <w:rPr>
          <w:sz w:val="20"/>
          <w:szCs w:val="20"/>
          <w:color w:val="auto"/>
        </w:rPr>
      </w:pPr>
    </w:p>
    <w:p>
      <w:pPr>
        <w:ind w:left="320"/>
        <w:spacing w:after="0" w:line="207" w:lineRule="auto"/>
        <w:rPr>
          <w:sz w:val="20"/>
          <w:szCs w:val="20"/>
          <w:color w:val="auto"/>
        </w:rPr>
      </w:pPr>
      <w:r>
        <w:rPr>
          <w:rFonts w:ascii="Arial" w:cs="Arial" w:eastAsia="Arial" w:hAnsi="Arial"/>
          <w:sz w:val="18"/>
          <w:szCs w:val="18"/>
          <w:color w:val="auto"/>
        </w:rPr>
        <w:t>·establishment of corporate and individual performance objectives relevant to the compensation of the Company’s executive officers and members of senior management and evaluation of performance in light of these stated objectives; ·review and approval of the compensation and other terms of employment or service, including severance and change-in-control arrangements, of the Company’s Chief Executive Officer and the other executive officers; · compensation of the Company’s non-employee directors; and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·administration of the Company’s equity compensation plans and other similar plan and programs.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Compensation Committee Processes and Procedures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Typically, the Compensation Committee meets quarterly and with greater frequency if necessary. The agenda for each meeting is usually developed by the Chairman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7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During 2015, after taking into consideration the six factors prescribed by the SEC and NASDAQ, the Compensation Committee engaged Compensia, Inc., a compensation consulting firm, as a compensation consultant. The Compensation Committee has assessed Compensia’s independence and determined that Compensia had no conflicts of interest in connection with its provisions of services to the Compensation Committee. Specifically, the Compensation Committee engaged Compensia to suggest a peer company group composed of public companies comparable to us and conduct an executive compensation assessment analyzing the current cash and equity compensation of our executive officers, directors and other senior management against compensation for similarly situated executives at our peer group companies. Our management did not have the ability to direct Compensia’s work.</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Historically, the Compensation Committee has made most of the significant adjustments to annual compensation, determined bonus and equity awards and established new performance objectives at one or more meetings held during the first quarter of the year.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to be comparable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Nominating and Corporate Governance Committee of the Board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4" w:name="page15"/>
    <w:bookmarkEnd w:id="14"/>
    <w:p>
      <w:pPr>
        <w:jc w:val="both"/>
        <w:spacing w:after="0" w:line="258" w:lineRule="auto"/>
        <w:rPr>
          <w:sz w:val="20"/>
          <w:szCs w:val="20"/>
          <w:color w:val="auto"/>
        </w:rPr>
      </w:pPr>
      <w:r>
        <w:rPr>
          <w:rFonts w:ascii="Arial" w:cs="Arial" w:eastAsia="Arial" w:hAnsi="Arial"/>
          <w:sz w:val="17"/>
          <w:szCs w:val="17"/>
          <w:color w:val="auto"/>
        </w:rPr>
        <w:t>recommendations to the Board regarding the membership of the committees of the Board, assessing the performance of management and the Board, and developing a set of corporate governance principles for the Company.</w:t>
      </w:r>
    </w:p>
    <w:p>
      <w:pPr>
        <w:spacing w:after="0" w:line="14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Nominating and Corporate Governance Committee is composed of two directors: Dr. Cha and Mr. Molineaux. All members of the Nominating and Corporate Governance Committee are independent (as independence is currently defined in Rule 5605(a)(2) of the NASDAQ listing standards). The Nominating and Corporate Governance Committee met three times during 2015. The Board has adopted a written Nominating and Corporate Governance Committee charter that is available to stockholders on the Company’s website and www.aclarixtx.com.</w:t>
      </w:r>
    </w:p>
    <w:p>
      <w:pPr>
        <w:spacing w:after="0" w:line="16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w:t>
      </w:r>
    </w:p>
    <w:p>
      <w:pPr>
        <w:spacing w:after="0" w:line="163"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6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in care of our Corporate Secretary at 101 Lindenwood Drive, Suite 400, Malvern, Pennsylvania 19355. Any such recommendation should be delivered at least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Board has adopted a formal process by which stockholders may communicate with the Board or any of its directors. Stockholders who wish to communicate with the Board may do so by sending written communications addressed to our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5" w:name="page16"/>
    <w:bookmarkEnd w:id="15"/>
    <w:p>
      <w:pPr>
        <w:jc w:val="both"/>
        <w:spacing w:after="0" w:line="235" w:lineRule="auto"/>
        <w:rPr>
          <w:sz w:val="20"/>
          <w:szCs w:val="20"/>
          <w:color w:val="auto"/>
        </w:rPr>
      </w:pPr>
      <w:r>
        <w:rPr>
          <w:rFonts w:ascii="Arial" w:cs="Arial" w:eastAsia="Arial" w:hAnsi="Arial"/>
          <w:sz w:val="18"/>
          <w:szCs w:val="18"/>
          <w:color w:val="auto"/>
        </w:rPr>
        <w:t>Corporate Secretary at 101 Lindenwood Drive, Suite 400, Malvern, Pennsylvania 19355. Each communication must set forth:</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name and address of the stockholder on whose behalf the communication is sent; and</w:t>
      </w:r>
    </w:p>
    <w:p>
      <w:pPr>
        <w:ind w:left="380" w:hanging="53"/>
        <w:spacing w:after="0" w:line="226" w:lineRule="auto"/>
        <w:rPr>
          <w:sz w:val="20"/>
          <w:szCs w:val="20"/>
          <w:color w:val="auto"/>
        </w:rPr>
      </w:pPr>
      <w:r>
        <w:rPr>
          <w:rFonts w:ascii="Arial" w:cs="Arial" w:eastAsia="Arial" w:hAnsi="Arial"/>
          <w:sz w:val="18"/>
          <w:szCs w:val="18"/>
          <w:color w:val="auto"/>
        </w:rPr>
        <w:t>·the number and class of shares of the Company that are owned beneficially by such stockholder as of the date of the communication.</w:t>
      </w:r>
    </w:p>
    <w:p>
      <w:pPr>
        <w:spacing w:after="0" w:line="16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Secretary will review each communication. The Secretary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have adopted the Aclaris Therapeutics, Inc. Code of Business Conduct and Ethics that applies to all officers, directors and employees. The Code of Business Conduct and Ethics is available on our website at www.aclaristx.com. If we make any substantive amendments to the Code of Business Conduct and Ethics or grant any waiver from a provision of the Code of Business Conduct and Ethics to any executive officer or director, we will promptly disclose the nature of the amendment or waiver on our website.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Proposal 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Ratification of Selection of Independent Registered Public Accounting Firm</w:t>
      </w:r>
    </w:p>
    <w:p>
      <w:pPr>
        <w:spacing w:after="0" w:line="15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Audit Committee of the Board has selected Pricewaterhouse Coopers LLP as the Company’s independent registered public accounting firm for the fiscal year ending December 31, 2016 and has further directed that management submit the selection of its independent registered public accounting firm for ratification by the stockholders at the annual meeting. Pricewaterhouse Coopers LLP has audited the Company’s financial statements beginning with the year ended December 31, 201[3][4]</w:t>
      </w:r>
      <w:r>
        <w:rPr>
          <w:rFonts w:ascii="Arial" w:cs="Arial" w:eastAsia="Arial" w:hAnsi="Arial"/>
          <w:sz w:val="18"/>
          <w:szCs w:val="18"/>
          <w:b w:val="1"/>
          <w:bCs w:val="1"/>
          <w:i w:val="1"/>
          <w:iCs w:val="1"/>
          <w:color w:val="auto"/>
        </w:rPr>
        <w:t>[ß NTD: To be confirmed]</w:t>
      </w:r>
      <w:r>
        <w:rPr>
          <w:rFonts w:ascii="Arial" w:cs="Arial" w:eastAsia="Arial" w:hAnsi="Arial"/>
          <w:sz w:val="18"/>
          <w:szCs w:val="18"/>
          <w:color w:val="auto"/>
        </w:rPr>
        <w:t>. Representatives of Pricewaterhouse Coopers LLP are expected to be present at the annual meeting. They will have an opportunity to make a statement if they so desire and will be available to respond to appropriate questions.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Neither the Company’s amended and restated bylaws nor other governing documents or law require stockholder ratification of the selection of Pricewaterhouse Coopers LLP as the Company’s independent registered public accounting firm. However, the Audit Committee of the Board is submitting the selection of Pricewaterhouse 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affirmative vote of the holders of a majority of the shares present in person or represented by proxy and entitled to vote on the matter at the annual meeting will be required to ratify the selection of Pricewaterhouse Coopers LLP.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represents aggregate fees billed to us for the fiscal years ended December 31, 2015 and 2014 by Pricewaterhouse Coopers LLP, our principal accountant.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Fiscal Year Ended December 31,</w:t>
            </w:r>
          </w:p>
        </w:tc>
      </w:tr>
      <w:tr>
        <w:trPr>
          <w:trHeight w:val="223"/>
        </w:trPr>
        <w:tc>
          <w:tcPr>
            <w:tcW w:w="3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19"/>
                <w:szCs w:val="19"/>
                <w:color w:val="auto"/>
              </w:rPr>
            </w:pPr>
          </w:p>
        </w:tc>
      </w:tr>
      <w:tr>
        <w:trPr>
          <w:trHeight w:val="250"/>
        </w:trPr>
        <w:tc>
          <w:tcPr>
            <w:tcW w:w="33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16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Audit Fees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885,540 $</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40,558</w:t>
            </w: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fees billed or incurred by PricewaterhouseCoopers LLP for professional services rendered in connection with the annual audit of our financial statements for the year ended December 31, 2015 include the review of quarterly financial statements included in our quarterly reports on Form 10-Q, the consents issued for our registration statements, and the statements included in our filings with the SEC for our initial public offering of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jc w:val="center"/>
        <w:spacing w:after="0"/>
        <w:rPr>
          <w:sz w:val="20"/>
          <w:szCs w:val="20"/>
          <w:color w:val="auto"/>
        </w:rPr>
      </w:pPr>
      <w:r>
        <w:rPr>
          <w:rFonts w:ascii="Arial" w:cs="Arial" w:eastAsia="Arial" w:hAnsi="Arial"/>
          <w:sz w:val="18"/>
          <w:szCs w:val="18"/>
          <w:b w:val="1"/>
          <w:bCs w:val="1"/>
          <w:color w:val="auto"/>
        </w:rPr>
        <w:t>A Vote in Favor of Proposal 2</w:t>
      </w:r>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Management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executive officers.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gridSpan w:val="3"/>
          </w:tcPr>
          <w:p>
            <w:pPr>
              <w:ind w:left="1340"/>
              <w:spacing w:after="0"/>
              <w:rPr>
                <w:sz w:val="20"/>
                <w:szCs w:val="20"/>
                <w:color w:val="auto"/>
              </w:rPr>
            </w:pPr>
            <w:r>
              <w:rPr>
                <w:rFonts w:ascii="Arial" w:cs="Arial" w:eastAsia="Arial" w:hAnsi="Arial"/>
                <w:sz w:val="16"/>
                <w:szCs w:val="16"/>
                <w:b w:val="1"/>
                <w:bCs w:val="1"/>
                <w:color w:val="auto"/>
              </w:rPr>
              <w:t>Name</w:t>
            </w:r>
          </w:p>
        </w:tc>
        <w:tc>
          <w:tcPr>
            <w:tcW w:w="5060" w:type="dxa"/>
            <w:vAlign w:val="bottom"/>
          </w:tcPr>
          <w:p>
            <w:pPr>
              <w:ind w:left="2240"/>
              <w:spacing w:after="0"/>
              <w:rPr>
                <w:sz w:val="20"/>
                <w:szCs w:val="20"/>
                <w:color w:val="auto"/>
              </w:rPr>
            </w:pPr>
            <w:r>
              <w:rPr>
                <w:rFonts w:ascii="Arial" w:cs="Arial" w:eastAsia="Arial" w:hAnsi="Arial"/>
                <w:sz w:val="16"/>
                <w:szCs w:val="16"/>
                <w:b w:val="1"/>
                <w:bCs w:val="1"/>
                <w:color w:val="auto"/>
              </w:rPr>
              <w:t>Position</w:t>
            </w:r>
          </w:p>
        </w:tc>
      </w:tr>
      <w:tr>
        <w:trPr>
          <w:trHeight w:val="226"/>
        </w:trPr>
        <w:tc>
          <w:tcPr>
            <w:tcW w:w="3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Neal Walker (1)</w:t>
            </w:r>
          </w:p>
        </w:tc>
        <w:tc>
          <w:tcPr>
            <w:tcW w:w="220" w:type="dxa"/>
            <w:vAlign w:val="bottom"/>
            <w:tcBorders>
              <w:top w:val="single" w:sz="8" w:color="CCEEFF"/>
            </w:tcBorders>
            <w:shd w:val="clear" w:color="auto" w:fill="CCEEFF"/>
          </w:tcPr>
          <w:p>
            <w:pPr>
              <w:spacing w:after="0"/>
              <w:rPr>
                <w:sz w:val="19"/>
                <w:szCs w:val="19"/>
                <w:color w:val="auto"/>
              </w:rPr>
            </w:pPr>
          </w:p>
        </w:tc>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Christopher Powala (2)</w:t>
            </w:r>
          </w:p>
        </w:tc>
        <w:tc>
          <w:tcPr>
            <w:tcW w:w="506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30"/>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Stuart Shanler, M.D. (2)</w:t>
            </w: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Scientific Officer</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Kamil Ali-Jackson (1)</w:t>
            </w:r>
          </w:p>
        </w:tc>
        <w:tc>
          <w:tcPr>
            <w:tcW w:w="5060" w:type="dxa"/>
            <w:vAlign w:val="bottom"/>
          </w:tcPr>
          <w:p>
            <w:pPr>
              <w:ind w:left="20"/>
              <w:spacing w:after="0"/>
              <w:rPr>
                <w:sz w:val="20"/>
                <w:szCs w:val="20"/>
                <w:color w:val="auto"/>
              </w:rPr>
            </w:pPr>
            <w:r>
              <w:rPr>
                <w:rFonts w:ascii="Arial" w:cs="Arial" w:eastAsia="Arial" w:hAnsi="Arial"/>
                <w:sz w:val="18"/>
                <w:szCs w:val="18"/>
                <w:color w:val="auto"/>
              </w:rPr>
              <w:t>Chief Legal Officer</w:t>
            </w:r>
          </w:p>
        </w:tc>
      </w:tr>
      <w:tr>
        <w:trPr>
          <w:trHeight w:val="230"/>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Frank Ruffo (1)</w:t>
            </w: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108"/>
        </w:trPr>
        <w:tc>
          <w:tcPr>
            <w:tcW w:w="22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60" w:type="dxa"/>
            <w:vAlign w:val="bottom"/>
          </w:tcPr>
          <w:p>
            <w:pPr>
              <w:spacing w:after="0"/>
              <w:rPr>
                <w:sz w:val="9"/>
                <w:szCs w:val="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(1)This executive officer is a member of another company that has a wholly owned subsidiary that leases office space to us.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“Certain Relationships and Related Party Transactions - Subleases”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(2)This executive officer provides part-time services to another company under common control with us. Under a services</w:t>
      </w:r>
    </w:p>
    <w:p>
      <w:pPr>
        <w:spacing w:after="0" w:line="8" w:lineRule="exact"/>
        <w:rPr>
          <w:sz w:val="20"/>
          <w:szCs w:val="20"/>
          <w:color w:val="auto"/>
        </w:rPr>
      </w:pPr>
    </w:p>
    <w:p>
      <w:pPr>
        <w:ind w:left="220" w:right="460"/>
        <w:spacing w:after="0" w:line="218" w:lineRule="auto"/>
        <w:rPr>
          <w:sz w:val="20"/>
          <w:szCs w:val="20"/>
          <w:color w:val="auto"/>
        </w:rPr>
      </w:pPr>
      <w:r>
        <w:rPr>
          <w:rFonts w:ascii="Arial" w:cs="Arial" w:eastAsia="Arial" w:hAnsi="Arial"/>
          <w:sz w:val="18"/>
          <w:szCs w:val="18"/>
          <w:color w:val="auto"/>
        </w:rPr>
        <w:t>agreement with NST Consulting, LLC, we are reimbursed by NST Consulting, LLC for the services provided by the executive officer to the other company. See “Certain Relationships and Related Party Transactions — Services Agreements”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sets forth certain information with respect to our executive officers who are not also directors. Information with respect to Mr. Walker is set forth above under Proposal 1, Election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Powala, age 56</w:t>
      </w:r>
    </w:p>
    <w:p>
      <w:pPr>
        <w:spacing w:after="0" w:line="189"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Christopher Powala co-founded our company and has served as our Chief Operating Officer since our inception in July 2012. Since January 2014, Mr. Powala has served part-time as a regulatory consultant at Ralexar Therapeutics, Inc. (formerly Alexar Therapeutics, Inc.), a specialty dermatology company. Between July 2011 and July 2012, Mr. Powala served as a consultant to a number of pharmaceutical companies. Mr. Powala co-founded and served as Chief Operating Officer of Vicept Therapeutics, Inc. from 2009 until its acquisition by Allergan, Inc. in July 2011. Prior to joining Vicept Therapeutics, Inc., from 2008 to 2009, he served as Vice President, Clinical Operations &amp; Global Regulatory Affairs for Vital Therapies, Inc., a biotechnology company. From 1993 to 2008, Mr. Powala was with CollaGenex Pharmaceuticals, Inc, a dermatology-focused specialty pharmaceutical company, where he served as Vice President, Drug Development and Regulatory Affairs. Previously, Mr. Powala also held various positions in product development and regulatory affairs at Wyeth Laboratories, Inc. Mr. Powala received his bachelor's degree in Biology from State University of New York-Regents College.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Stuart Shanler, M.D., age 55</w:t>
      </w:r>
    </w:p>
    <w:p>
      <w:pPr>
        <w:spacing w:after="0" w:line="18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Stuart Shanler, M.D. co-founded our company and has served as our Chief Scientific Officer since our inception in July 2012. Since January 2014, Dr. Shanler has served part-time as a medical and clinical development consultant at Ralexar Therapeutics, Inc., a specialty dermatology company. Between July 2011 and July 2012, Dr. Shanler served as a consultant to a number of pharmaceutical companies. Dr. Shanler co-invented a topical rosacea drug for, and co-founded and served as Chief Scientific Officer of, Vicept Therapeutics, Inc. from 2009 until its acquisition by Allergan, Inc. in July 2011. Previously, Dr. Shanler was a dermatologic surgeon in private practice. Dr. Shanler is a board-certified dermatologist and received his M.D. degree from Albany Medical College of Union University and received B.S. degrees in Biology and the Biological Basis of Behavior from the University of Pennsylvania.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Kamil Ali-Jackson, age 57</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Kamil Ali-Jackson co-founded our company and has served as our Chief Legal Officer since our inception in July 2012. Ms. Ali-Jackson also serves as Chief Compliance Officer and Secretary. In addition, since May 2011, Ms. Ali-Jackson has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18" w:name="page19"/>
    <w:bookmarkEnd w:id="18"/>
    <w:p>
      <w:pPr>
        <w:jc w:val="both"/>
        <w:spacing w:after="0" w:line="222" w:lineRule="auto"/>
        <w:rPr>
          <w:sz w:val="20"/>
          <w:szCs w:val="20"/>
          <w:color w:val="auto"/>
        </w:rPr>
      </w:pPr>
      <w:r>
        <w:rPr>
          <w:rFonts w:ascii="Arial" w:cs="Arial" w:eastAsia="Arial" w:hAnsi="Arial"/>
          <w:sz w:val="17"/>
          <w:szCs w:val="17"/>
          <w:color w:val="auto"/>
        </w:rPr>
        <w:t>served as the Chief Legal Officer of NeXeption, Inc. and certain of its affiliates. From January 2014 to December 2015, Ms. Ali-Jackson served part-time as the Chief Legal Officer of Ralexar Therapeutics, Inc., a specialty dermatology company. From May 2011 until its acquisition by Actelion US Holdings Company, a subsidiary of Actelion Ltd., in September 2013, Ms. Ali-Jackson served as Chief Legal Officer, Chief Compliance Officer and Secretary of Ceptaris Therapeutics, Inc., a biotechnology company. From October 2010 to September 2011, she was a consultant to a private specialty pharmaceutical company. From 2006 to May 2010, she served as General Counsel and Secretary of Ception Therapeutics, Inc., a biotechnology company that was acquired by Cephalon, Inc. Previously, Ms. Ali-Jackson served as legal counsel and a licensing business executive for a number of pharmaceutical companies, including Merck &amp; Co., Inc., Dr. Reddy's Laboratories Inc. and Endo Pharmaceuticals, Inc. Ms. Ali-Jackson received her J.D. degree from Harvard Law School and A.B. degree in Politics from Princeton University.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Ruffo, age 50</w:t>
      </w:r>
    </w:p>
    <w:p>
      <w:pPr>
        <w:spacing w:after="0" w:line="18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Frank Ruffo co-founded our company and has served as our Chief Financial Officer since our inception in July 2012. From January 2014 to December 2015, Mr. Ruffo served part-time as a financial consultant at Ralexar Therapeutics, Inc., a specialty dermatology company. Mr. Ruffo also served part-time as the Chief Financial Officer of VenatoRx Pharmaceuticals Inc., a pharmaceutical company, from October 2011 to November 2014 and the Chief Financial Officer of BioLeap, Inc. from January 2010 to January 2013. Prior to joining our company, Mr. Ruffo co-founded and served as Chief Financial Officer of Vicept Therapeutics, Inc. from 2009 until its acquisition by Allergan, Inc. in July 2011. Prior to joining Vicept Therapeutics, Inc., from 1996 to 2008, Mr. Ruffo served as the Vice President, Finance and Controller of CollaGenex Pharmaceuticals, Inc. He is a certified public accountant in Pennsylvania (inactive since 2008). Mr. Ruffo received his B.S. degree in Accounting from LaSalle University.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Security Ownership of</w:t>
      </w:r>
    </w:p>
    <w:p>
      <w:pPr>
        <w:jc w:val="center"/>
        <w:spacing w:after="0"/>
        <w:rPr>
          <w:sz w:val="20"/>
          <w:szCs w:val="20"/>
          <w:color w:val="auto"/>
        </w:rPr>
      </w:pPr>
      <w:r>
        <w:rPr>
          <w:rFonts w:ascii="Arial" w:cs="Arial" w:eastAsia="Arial" w:hAnsi="Arial"/>
          <w:sz w:val="22"/>
          <w:szCs w:val="22"/>
          <w:b w:val="1"/>
          <w:bCs w:val="1"/>
          <w:color w:val="auto"/>
        </w:rPr>
        <w:t>Certain Beneficial Owners and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ownership of our common stock as of February 1, 2016 by:</w:t>
      </w:r>
    </w:p>
    <w:p>
      <w:pPr>
        <w:spacing w:after="0" w:line="8" w:lineRule="exact"/>
        <w:rPr>
          <w:sz w:val="20"/>
          <w:szCs w:val="20"/>
          <w:color w:val="auto"/>
        </w:rPr>
      </w:pPr>
    </w:p>
    <w:p>
      <w:pPr>
        <w:jc w:val="both"/>
        <w:ind w:firstLine="3"/>
        <w:spacing w:after="0" w:line="214" w:lineRule="auto"/>
        <w:tabs>
          <w:tab w:leader="none" w:pos="2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director; (ii) each of the executive officers listed in the Summary Compensation Table; (iii) all currently serving executive officers and directors as a group; and (iv) all those known by us to be beneficial owners of more than five percent of our common stock. Except as otherwise noted below, the address for persons listed in the table is c/o Aclaris Therapeutics, Inc., 101 Lindenwood Drive, Malvern, Pennsylvania 19355.</w:t>
      </w:r>
    </w:p>
    <w:p>
      <w:pPr>
        <w:sectPr>
          <w:pgSz w:w="11900" w:h="16838" w:orient="portrait"/>
          <w:cols w:equalWidth="0" w:num="1">
            <w:col w:w="9060"/>
          </w:cols>
          <w:pgMar w:left="1420" w:top="26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Beneficial Owner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59676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96765" cy="120015"/>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8"/>
          <w:szCs w:val="18"/>
          <w:i w:val="1"/>
          <w:iCs w:val="1"/>
          <w:color w:val="auto"/>
        </w:rPr>
        <w:t>5% Stockholders:</w:t>
      </w:r>
    </w:p>
    <w:p>
      <w:pPr>
        <w:spacing w:after="0"/>
        <w:rPr>
          <w:sz w:val="20"/>
          <w:szCs w:val="20"/>
          <w:color w:val="auto"/>
        </w:rPr>
      </w:pPr>
      <w:r>
        <w:rPr>
          <w:rFonts w:ascii="Arial" w:cs="Arial" w:eastAsia="Arial" w:hAnsi="Arial"/>
          <w:sz w:val="18"/>
          <w:szCs w:val="18"/>
          <w:color w:val="auto"/>
        </w:rPr>
        <w:t>Vivo Ventures Fund VII, LP. (2)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FMR LLC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9676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 Capital Management, LLC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Sofinnova Venture Partners VIII, L.P.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9676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Franklin Advisers, Inc. (6)</w:t>
      </w:r>
    </w:p>
    <w:p>
      <w:pPr>
        <w:spacing w:after="0" w:line="216" w:lineRule="auto"/>
        <w:rPr>
          <w:sz w:val="20"/>
          <w:szCs w:val="20"/>
          <w:color w:val="auto"/>
        </w:rPr>
      </w:pPr>
      <w:r>
        <w:rPr>
          <w:rFonts w:ascii="Arial" w:cs="Arial" w:eastAsia="Arial" w:hAnsi="Arial"/>
          <w:sz w:val="18"/>
          <w:szCs w:val="18"/>
          <w:i w:val="1"/>
          <w:i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4596765" cy="111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Neal Walker (7)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Christopher Powala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9676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Stuart Shanler, M.D.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A. Tullman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9676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Albert Cha, M.D., Ph.D.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Molineaux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9676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Anand Mehra, M.D.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Bierly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9676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All current directors and executive officers as a group (10 persons)</w:t>
      </w:r>
    </w:p>
    <w:p>
      <w:pPr>
        <w:ind w:left="1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2" w:lineRule="exact"/>
        <w:rPr>
          <w:sz w:val="20"/>
          <w:szCs w:val="20"/>
          <w:color w:val="auto"/>
        </w:rPr>
      </w:pPr>
    </w:p>
    <w:p>
      <w:pPr>
        <w:ind w:left="360" w:hanging="357"/>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 of</w:t>
            </w:r>
          </w:p>
        </w:tc>
      </w:tr>
      <w:tr>
        <w:trPr>
          <w:trHeight w:val="149"/>
        </w:trPr>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49"/>
        </w:trPr>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Pr>
          <w:p>
            <w:pPr>
              <w:spacing w:after="0"/>
              <w:rPr>
                <w:sz w:val="14"/>
                <w:szCs w:val="14"/>
                <w:color w:val="auto"/>
              </w:rPr>
            </w:pPr>
          </w:p>
        </w:tc>
      </w:tr>
      <w:tr>
        <w:trPr>
          <w:trHeight w:val="371"/>
        </w:trPr>
        <w:tc>
          <w:tcPr>
            <w:tcW w:w="820" w:type="dxa"/>
            <w:vAlign w:val="bottom"/>
          </w:tcPr>
          <w:p>
            <w:pPr>
              <w:jc w:val="right"/>
              <w:spacing w:after="0"/>
              <w:rPr>
                <w:sz w:val="20"/>
                <w:szCs w:val="20"/>
                <w:color w:val="auto"/>
              </w:rPr>
            </w:pPr>
            <w:r>
              <w:rPr>
                <w:rFonts w:ascii="Arial" w:cs="Arial" w:eastAsia="Arial" w:hAnsi="Arial"/>
                <w:sz w:val="18"/>
                <w:szCs w:val="18"/>
                <w:color w:val="auto"/>
                <w:w w:val="94"/>
              </w:rPr>
              <w:t>4,191,397</w:t>
            </w: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20.8 %</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w w:val="94"/>
              </w:rPr>
              <w:t>3,804,279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w w:val="94"/>
              </w:rPr>
              <w:t>2,564,553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w w:val="94"/>
              </w:rPr>
              <w:t>2,289,480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w w:val="94"/>
              </w:rPr>
              <w:t>1,654,894</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p>
        </w:tc>
      </w:tr>
      <w:tr>
        <w:trPr>
          <w:trHeight w:val="377"/>
        </w:trPr>
        <w:tc>
          <w:tcPr>
            <w:tcW w:w="820" w:type="dxa"/>
            <w:vAlign w:val="bottom"/>
          </w:tcPr>
          <w:p>
            <w:pPr>
              <w:jc w:val="right"/>
              <w:spacing w:after="0"/>
              <w:rPr>
                <w:sz w:val="20"/>
                <w:szCs w:val="20"/>
                <w:color w:val="auto"/>
              </w:rPr>
            </w:pPr>
            <w:r>
              <w:rPr>
                <w:rFonts w:ascii="Arial" w:cs="Arial" w:eastAsia="Arial" w:hAnsi="Arial"/>
                <w:sz w:val="18"/>
                <w:szCs w:val="18"/>
                <w:color w:val="auto"/>
                <w:w w:val="94"/>
              </w:rPr>
              <w:t>1,158,914</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384,241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379,628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w w:val="94"/>
              </w:rPr>
              <w:t>1,000,694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w w:val="94"/>
              </w:rPr>
              <w:t>4,191,397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17,616</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w w:val="94"/>
              </w:rPr>
              <w:t>2,289,480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r>
      <w:tr>
        <w:trPr>
          <w:trHeight w:val="257"/>
        </w:trPr>
        <w:tc>
          <w:tcPr>
            <w:tcW w:w="820" w:type="dxa"/>
            <w:vAlign w:val="bottom"/>
          </w:tcPr>
          <w:p>
            <w:pPr>
              <w:jc w:val="right"/>
              <w:spacing w:after="0"/>
              <w:rPr>
                <w:sz w:val="20"/>
                <w:szCs w:val="20"/>
                <w:color w:val="auto"/>
              </w:rPr>
            </w:pPr>
            <w:r>
              <w:rPr>
                <w:rFonts w:ascii="Arial" w:cs="Arial" w:eastAsia="Arial" w:hAnsi="Arial"/>
                <w:sz w:val="18"/>
                <w:szCs w:val="18"/>
                <w:color w:val="auto"/>
              </w:rPr>
              <w:t>2,472</w:t>
            </w: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4"/>
              </w:rPr>
              <w:t>9,759,184</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24"/>
                <w:szCs w:val="24"/>
                <w:color w:val="auto"/>
              </w:rPr>
            </w:pPr>
          </w:p>
        </w:tc>
      </w:tr>
    </w:tbl>
    <w:p>
      <w:pPr>
        <w:spacing w:after="0" w:line="485" w:lineRule="exact"/>
        <w:rPr>
          <w:sz w:val="20"/>
          <w:szCs w:val="20"/>
          <w:color w:val="auto"/>
        </w:rPr>
      </w:pPr>
    </w:p>
    <w:p>
      <w:pPr>
        <w:sectPr>
          <w:pgSz w:w="11900" w:h="16838" w:orient="portrait"/>
          <w:cols w:equalWidth="0" w:num="2">
            <w:col w:w="4820" w:space="420"/>
            <w:col w:w="3820"/>
          </w:cols>
          <w:pgMar w:left="1420" w:top="261" w:right="1419" w:bottom="1440" w:gutter="0" w:footer="0" w:header="0"/>
          <w:type w:val="continuous"/>
        </w:sectPr>
      </w:pPr>
    </w:p>
    <w:p>
      <w:pPr>
        <w:jc w:val="both"/>
        <w:ind w:left="220" w:hanging="215"/>
        <w:spacing w:after="0" w:line="229" w:lineRule="auto"/>
        <w:rPr>
          <w:sz w:val="20"/>
          <w:szCs w:val="20"/>
          <w:color w:val="auto"/>
        </w:rPr>
      </w:pPr>
      <w:r>
        <w:rPr>
          <w:rFonts w:ascii="Arial" w:cs="Arial" w:eastAsia="Arial" w:hAnsi="Arial"/>
          <w:sz w:val="17"/>
          <w:szCs w:val="17"/>
          <w:color w:val="auto"/>
        </w:rPr>
        <w:t>(1)This table is based upon information supplied by officers, directors and principal stockholders and Schedules 13D and 13G if any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20,157,503 shares outstanding on February 1, 2016, adjusted as required by rules promulgated by the SEC.</w:t>
      </w:r>
    </w:p>
    <w:p>
      <w:pPr>
        <w:spacing w:after="0" w:line="161" w:lineRule="exact"/>
        <w:rPr>
          <w:sz w:val="20"/>
          <w:szCs w:val="20"/>
          <w:color w:val="auto"/>
        </w:rPr>
      </w:pPr>
    </w:p>
    <w:p>
      <w:pPr>
        <w:jc w:val="both"/>
        <w:ind w:left="220" w:hanging="215"/>
        <w:spacing w:after="0" w:line="226" w:lineRule="auto"/>
        <w:rPr>
          <w:sz w:val="20"/>
          <w:szCs w:val="20"/>
          <w:color w:val="auto"/>
        </w:rPr>
      </w:pPr>
      <w:r>
        <w:rPr>
          <w:rFonts w:ascii="Arial" w:cs="Arial" w:eastAsia="Arial" w:hAnsi="Arial"/>
          <w:sz w:val="17"/>
          <w:szCs w:val="17"/>
          <w:color w:val="auto"/>
        </w:rPr>
        <w:t>(2)This information has been obtained from a Schedule 13D filed on October 20, 2015 by Vivo Ventures Fund VII, L.P. (“Vivo VII”), Vivo Ventures VII Affiliates Fund, L.P. (“Vivo VII Affiliates”) and Vivo Ventures VII, LLC (“Vivo VII LLC”). Vivo VII LLC is the sole general partner of each of Vivo VII and Vivo VII Affiliates. The managing members of Vivo VII LLC are Drs. Albert Cha (a member of our Board), Edgar Engleman and Frank Kung, each of whom may be deemed to have shared voting and dispositive power over the shares listed in the table. The principal business address of these persons and entities is 575 High Street, Suite 201, Palo Alto, California 94301.</w:t>
      </w:r>
    </w:p>
    <w:p>
      <w:pPr>
        <w:spacing w:after="0" w:line="165" w:lineRule="exact"/>
        <w:rPr>
          <w:sz w:val="20"/>
          <w:szCs w:val="20"/>
          <w:color w:val="auto"/>
        </w:rPr>
      </w:pPr>
    </w:p>
    <w:p>
      <w:pPr>
        <w:jc w:val="both"/>
        <w:ind w:left="220" w:hanging="215"/>
        <w:spacing w:after="0" w:line="219" w:lineRule="auto"/>
        <w:rPr>
          <w:sz w:val="20"/>
          <w:szCs w:val="20"/>
          <w:color w:val="auto"/>
        </w:rPr>
      </w:pPr>
      <w:r>
        <w:rPr>
          <w:rFonts w:ascii="Arial" w:cs="Arial" w:eastAsia="Arial" w:hAnsi="Arial"/>
          <w:sz w:val="18"/>
          <w:szCs w:val="18"/>
          <w:color w:val="auto"/>
        </w:rPr>
        <w:t>(3)This information has been obtained from a Schedule 13G filed on October 14, 2015 by FMR LLC. Edward C. Johnson 3d is a Director and the Chairman of FMR LLC and Abigail P. Johnson is a Director, the Vice Chairman, the Chief Executive Officer and the President of FMR LLC. The principal business address of FMR LLC is 245 Summer Street, Boston, Massachusetts 02210.</w:t>
      </w:r>
    </w:p>
    <w:p>
      <w:pPr>
        <w:spacing w:after="0" w:line="163" w:lineRule="exact"/>
        <w:rPr>
          <w:sz w:val="20"/>
          <w:szCs w:val="20"/>
          <w:color w:val="auto"/>
        </w:rPr>
      </w:pPr>
    </w:p>
    <w:p>
      <w:pPr>
        <w:jc w:val="both"/>
        <w:ind w:left="220" w:hanging="215"/>
        <w:spacing w:after="0" w:line="232" w:lineRule="auto"/>
        <w:rPr>
          <w:sz w:val="20"/>
          <w:szCs w:val="20"/>
          <w:color w:val="auto"/>
        </w:rPr>
      </w:pPr>
      <w:r>
        <w:rPr>
          <w:rFonts w:ascii="Arial" w:cs="Arial" w:eastAsia="Arial" w:hAnsi="Arial"/>
          <w:sz w:val="17"/>
          <w:szCs w:val="17"/>
          <w:color w:val="auto"/>
        </w:rPr>
        <w:t>(4)This information has been obtained from a Schedule 13G/A filed on February 16, 2016 by Peter Kolchinsky, RA Capital Management, LLC (“Capital”), and RA Capital Healthcare Fund, L.P. (the “Fund”). Each of Capital and Mr. Kolchinsky share voting and investment power with respect to all of the reported shares, and the Fund shares voting and investment power with respect to 2,146,914 shares. Capital is the general partner of the Fund. Mr. Kolchinsky is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61" w:right="1419" w:bottom="1440" w:gutter="0" w:footer="0" w:header="0"/>
          <w:type w:val="continuous"/>
        </w:sectPr>
      </w:pPr>
    </w:p>
    <w:bookmarkStart w:id="20" w:name="page21"/>
    <w:bookmarkEnd w:id="20"/>
    <w:p>
      <w:pPr>
        <w:jc w:val="both"/>
        <w:ind w:left="320"/>
        <w:spacing w:after="0" w:line="219" w:lineRule="auto"/>
        <w:rPr>
          <w:sz w:val="20"/>
          <w:szCs w:val="20"/>
          <w:color w:val="auto"/>
        </w:rPr>
      </w:pPr>
      <w:r>
        <w:rPr>
          <w:rFonts w:ascii="Arial" w:cs="Arial" w:eastAsia="Arial" w:hAnsi="Arial"/>
          <w:sz w:val="18"/>
          <w:szCs w:val="18"/>
          <w:color w:val="auto"/>
        </w:rPr>
        <w:t>the manager of Capital. As the investment adviser to the Fund, Capital may be deemed a beneficial owner of the shares owned by the Fund. As the manager of Capital, Mr. Kolchinsky may be deemed a beneficial owner of the shares beneficially owned by Capital. The address of these persons and entities is 20 Park Plaza, Suite 1200, Boston, Massachusetts 02116.</w:t>
      </w:r>
    </w:p>
    <w:p>
      <w:pPr>
        <w:spacing w:after="0" w:line="163" w:lineRule="exact"/>
        <w:rPr>
          <w:sz w:val="20"/>
          <w:szCs w:val="20"/>
          <w:color w:val="auto"/>
        </w:rPr>
      </w:pPr>
    </w:p>
    <w:p>
      <w:pPr>
        <w:jc w:val="both"/>
        <w:ind w:left="220" w:hanging="215"/>
        <w:spacing w:after="0" w:line="212" w:lineRule="auto"/>
        <w:rPr>
          <w:sz w:val="20"/>
          <w:szCs w:val="20"/>
          <w:color w:val="auto"/>
        </w:rPr>
      </w:pPr>
      <w:r>
        <w:rPr>
          <w:rFonts w:ascii="Arial" w:cs="Arial" w:eastAsia="Arial" w:hAnsi="Arial"/>
          <w:sz w:val="18"/>
          <w:szCs w:val="18"/>
          <w:color w:val="auto"/>
        </w:rPr>
        <w:t>(5)This information has been obtained from a Schedule 13D filed on October 16, 2015 by Sofinnova Venture Partners VIII, L.P., a Delaware limited partnership (“SVP VIII”), Sofinnova Management VIII, L.L.C., a Delaware limited liability company (“SM VIII”), Srinivas Akkaraju, Michael F. Powell, James I. Healy and Anand Mehra. SM VIII is the general partner of SVP VIII, and Drs. Mehra (a member of our Board), Healy, Powell and Akkaraju, the managing members of SM VIII, may be deemed to have shared voting and dispositive power with respect to such shares. The address of these persons and entities is c/o Sofinnova Ventures, Inc., 3000 Sand Hill Road, Bldg. 4, Suite 250, Menlo Park, California 94025.</w:t>
      </w:r>
    </w:p>
    <w:p>
      <w:pPr>
        <w:spacing w:after="0" w:line="165" w:lineRule="exact"/>
        <w:rPr>
          <w:sz w:val="20"/>
          <w:szCs w:val="20"/>
          <w:color w:val="auto"/>
        </w:rPr>
      </w:pPr>
    </w:p>
    <w:p>
      <w:pPr>
        <w:jc w:val="both"/>
        <w:ind w:left="220" w:hanging="215"/>
        <w:spacing w:after="0" w:line="249" w:lineRule="auto"/>
        <w:rPr>
          <w:sz w:val="20"/>
          <w:szCs w:val="20"/>
          <w:color w:val="auto"/>
        </w:rPr>
      </w:pPr>
      <w:r>
        <w:rPr>
          <w:rFonts w:ascii="Arial" w:cs="Arial" w:eastAsia="Arial" w:hAnsi="Arial"/>
          <w:sz w:val="16"/>
          <w:szCs w:val="16"/>
          <w:color w:val="auto"/>
        </w:rPr>
        <w:t>(6)This information has been obtained from a Schedule 13G filed on February 3, 2016 by Franklin Resources, Inc., Charles B. Johnson, Rupert H. Johnson, Jr. and Franklin Advisers, Inc. Messrs. Charles B. Johnson and Rupert H. Johnson are the principal shareholders of Franklin Resources, Inc, and may be deemed a beneficial owner of the shares beneficially owned by that entity. The address of these persons and entities is One Franklin Parkway, San Mateo, California 94403-1906.</w:t>
      </w:r>
    </w:p>
    <w:p>
      <w:pPr>
        <w:spacing w:after="0" w:line="155" w:lineRule="exact"/>
        <w:rPr>
          <w:sz w:val="20"/>
          <w:szCs w:val="20"/>
          <w:color w:val="auto"/>
        </w:rPr>
      </w:pPr>
    </w:p>
    <w:p>
      <w:pPr>
        <w:jc w:val="both"/>
        <w:ind w:left="220" w:hanging="215"/>
        <w:spacing w:after="0" w:line="219" w:lineRule="auto"/>
        <w:rPr>
          <w:sz w:val="20"/>
          <w:szCs w:val="20"/>
          <w:color w:val="auto"/>
        </w:rPr>
      </w:pPr>
      <w:r>
        <w:rPr>
          <w:rFonts w:ascii="Arial" w:cs="Arial" w:eastAsia="Arial" w:hAnsi="Arial"/>
          <w:sz w:val="18"/>
          <w:szCs w:val="18"/>
          <w:color w:val="auto"/>
        </w:rPr>
        <w:t>(7)Consists of (a) 785,507 shares of common stock and (b) 373,407 shares of common stock underlying options that are immediately exercisable. Does not include shares of common stock held by NeXeption, LLC, of which Dr. Walker is a member but does not have sole or shared voting or dispositive power over the shares of our common stock held by that entity.</w:t>
      </w:r>
    </w:p>
    <w:p>
      <w:pPr>
        <w:spacing w:after="0" w:line="163" w:lineRule="exact"/>
        <w:rPr>
          <w:sz w:val="20"/>
          <w:szCs w:val="20"/>
          <w:color w:val="auto"/>
        </w:rPr>
      </w:pPr>
    </w:p>
    <w:p>
      <w:pPr>
        <w:jc w:val="both"/>
        <w:ind w:left="220" w:hanging="215"/>
        <w:spacing w:after="0" w:line="224" w:lineRule="auto"/>
        <w:rPr>
          <w:sz w:val="20"/>
          <w:szCs w:val="20"/>
          <w:color w:val="auto"/>
        </w:rPr>
      </w:pPr>
      <w:r>
        <w:rPr>
          <w:rFonts w:ascii="Arial" w:cs="Arial" w:eastAsia="Arial" w:hAnsi="Arial"/>
          <w:sz w:val="18"/>
          <w:szCs w:val="18"/>
          <w:color w:val="auto"/>
        </w:rPr>
        <w:t>(8)Consists of (a) 130,434 shares of common stock held directly by Mr. Powala, (b) 130,434 shares of common stock held by the Christopher V. Powala Aclaris Irrevocable Trust, of which Mr. Powala serves as the trustee, and (c) 123,373 shares of common stock underlying options that are immediately exercisable.</w:t>
      </w:r>
    </w:p>
    <w:p>
      <w:pPr>
        <w:spacing w:after="0" w:line="163" w:lineRule="exact"/>
        <w:rPr>
          <w:sz w:val="20"/>
          <w:szCs w:val="20"/>
          <w:color w:val="auto"/>
        </w:rPr>
      </w:pPr>
    </w:p>
    <w:p>
      <w:pPr>
        <w:jc w:val="both"/>
        <w:ind w:left="220" w:hanging="215"/>
        <w:spacing w:after="0" w:line="235" w:lineRule="auto"/>
        <w:rPr>
          <w:sz w:val="20"/>
          <w:szCs w:val="20"/>
          <w:color w:val="auto"/>
        </w:rPr>
      </w:pPr>
      <w:r>
        <w:rPr>
          <w:rFonts w:ascii="Arial" w:cs="Arial" w:eastAsia="Arial" w:hAnsi="Arial"/>
          <w:sz w:val="18"/>
          <w:szCs w:val="18"/>
          <w:color w:val="auto"/>
        </w:rPr>
        <w:t>(9)Consists of (a) 260,869 shares of common stock and (b) 118,759 shares of common stock underlying options that are immediately exercisable.</w:t>
      </w:r>
    </w:p>
    <w:p>
      <w:pPr>
        <w:spacing w:after="0" w:line="162" w:lineRule="exact"/>
        <w:rPr>
          <w:sz w:val="20"/>
          <w:szCs w:val="20"/>
          <w:color w:val="auto"/>
        </w:rPr>
      </w:pPr>
    </w:p>
    <w:p>
      <w:pPr>
        <w:jc w:val="both"/>
        <w:ind w:left="320" w:hanging="317"/>
        <w:spacing w:after="0" w:line="232"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(a) 394,014 shares of common stock held by the 2007 Irrevocable Trust of Stephen A. Tullman, of which Mr. Tullman's wife serves as the trustee, (b) 521,739 shares of common stock held by NeXeption, LLC, of which Mr. Tullman is the Manager and, accordingly, may be deemed to share voting and dispositive power, and (c) 84,941 shares of common stock underlying options that are immediately exercisable.</w:t>
      </w:r>
    </w:p>
    <w:p>
      <w:pPr>
        <w:spacing w:after="0" w:line="162" w:lineRule="exact"/>
        <w:rPr>
          <w:rFonts w:ascii="Arial" w:cs="Arial" w:eastAsia="Arial" w:hAnsi="Arial"/>
          <w:sz w:val="17"/>
          <w:szCs w:val="17"/>
          <w:color w:val="auto"/>
        </w:rPr>
      </w:pPr>
    </w:p>
    <w:p>
      <w:pPr>
        <w:ind w:left="360" w:hanging="357"/>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17,616 shares of common stock underlying options that are immediately exercisable.</w:t>
      </w:r>
    </w:p>
    <w:p>
      <w:pPr>
        <w:spacing w:after="0" w:line="184"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2,472 shares of common stock underlying options that are exercisable within 60 days of February 1, 2016.</w:t>
      </w:r>
    </w:p>
    <w:p>
      <w:pPr>
        <w:spacing w:after="0" w:line="207" w:lineRule="exact"/>
        <w:rPr>
          <w:rFonts w:ascii="Arial" w:cs="Arial" w:eastAsia="Arial" w:hAnsi="Arial"/>
          <w:sz w:val="16"/>
          <w:szCs w:val="16"/>
          <w:color w:val="auto"/>
        </w:rPr>
      </w:pPr>
    </w:p>
    <w:p>
      <w:pPr>
        <w:ind w:left="320" w:hanging="317"/>
        <w:spacing w:after="0" w:line="25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(a) 10,380,612 shares of common stock and (b) 911,056 shares of common stock underlying options that are exercisable within 60 days of February 1,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9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common stock and other equity securities. Officers, directors and more than 10% stockholders are required by SEC regulation to furnish us with copies of all Section 16(a) forms they file.</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To our knowledge, based solely upon a review of Forms 3 and 4 and amendments thereto furnished to us and written representations provided to us by all of our directors and executive officers and certain of our more than 10% stockholders, we believe that during the year ended December 31, 2015, our directors, executive officers and more than 10% stockholders complied with all applicable Section 16(a) filing requirements.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15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For the year ended December 31, 2015, our Chief Executive Officer and our two other most highly compensated executive officers were:</w:t>
      </w:r>
    </w:p>
    <w:p>
      <w:pPr>
        <w:spacing w:after="0" w:line="38" w:lineRule="exact"/>
        <w:rPr>
          <w:sz w:val="20"/>
          <w:szCs w:val="20"/>
          <w:color w:val="auto"/>
        </w:rPr>
      </w:pPr>
    </w:p>
    <w:p>
      <w:pPr>
        <w:ind w:left="440" w:hanging="113"/>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Neal Walker, our President and Chief Executive Officer;</w:t>
      </w:r>
    </w:p>
    <w:p>
      <w:pPr>
        <w:ind w:left="440" w:hanging="113"/>
        <w:spacing w:after="0" w:line="203"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Christopher Powala, our Chief Operating Officer; and</w:t>
      </w:r>
    </w:p>
    <w:p>
      <w:pPr>
        <w:ind w:left="460" w:hanging="13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Stuart Shanler, our Chief Scientific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these executive officers in this proxy statement as our named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following table presents the compensation awarded to, earned by or paid to each of our named executive officers for the years ended December 31, 2015 and 2014. Under a services agreement, we provided the part-time services of Mr. Powala and Dr. Shanler to Ralexar Therapeutics, Inc., a company under common control with us, and NST Consulting, LLC reimbursed us for these services based on the percentage of time the named executive officer spent on matters related to Ralexar. The salary amounts set forth in the table below represent the total salary earned by the named executive officer during the indicated year, including amounts reimbursed by NST Consulting, LLC to us. For more information regarding our services agreement with NST Consulting, LLC, see “Certain Relationships and Related Party Transactions — Services Agreements.”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Stock</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Non-Equity Incentive Plan</w:t>
            </w:r>
          </w:p>
        </w:tc>
        <w:tc>
          <w:tcPr>
            <w:tcW w:w="128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Pr>
          <w:p>
            <w:pPr>
              <w:spacing w:after="0"/>
              <w:rPr>
                <w:sz w:val="11"/>
                <w:szCs w:val="11"/>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6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4"/>
                <w:szCs w:val="14"/>
                <w:b w:val="1"/>
                <w:bCs w:val="1"/>
                <w:color w:val="auto"/>
              </w:rPr>
              <w:t>Awards</w:t>
            </w:r>
          </w:p>
        </w:tc>
        <w:tc>
          <w:tcPr>
            <w:tcW w:w="19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2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Awards ($)(1)</w:t>
            </w:r>
          </w:p>
        </w:tc>
        <w:tc>
          <w:tcPr>
            <w:tcW w:w="7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($)(1)</w:t>
            </w:r>
          </w:p>
        </w:tc>
        <w:tc>
          <w:tcPr>
            <w:tcW w:w="19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9"/>
              </w:rPr>
              <w:t>($)(2)</w:t>
            </w: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9"/>
              </w:rPr>
              <w:t>($)(3)</w:t>
            </w:r>
          </w:p>
        </w:tc>
        <w:tc>
          <w:tcPr>
            <w:tcW w:w="7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0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Neal Walker</w:t>
            </w:r>
          </w:p>
        </w:tc>
        <w:tc>
          <w:tcPr>
            <w:tcW w:w="40" w:type="dxa"/>
            <w:vAlign w:val="bottom"/>
            <w:tcBorders>
              <w:top w:val="single" w:sz="8" w:color="CCEEFF"/>
            </w:tcBorders>
            <w:vMerge w:val="restart"/>
            <w:shd w:val="clear" w:color="auto" w:fill="CCEEFF"/>
          </w:tcPr>
          <w:p>
            <w:pPr>
              <w:spacing w:after="0"/>
              <w:rPr>
                <w:sz w:val="11"/>
                <w:szCs w:val="11"/>
                <w:color w:val="auto"/>
              </w:rPr>
            </w:pPr>
          </w:p>
        </w:tc>
        <w:tc>
          <w:tcPr>
            <w:tcW w:w="42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2015</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344,999</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4,707,527</w:t>
            </w:r>
          </w:p>
        </w:tc>
        <w:tc>
          <w:tcPr>
            <w:tcW w:w="74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4"/>
                <w:szCs w:val="14"/>
                <w:color w:val="auto"/>
              </w:rPr>
              <w:t>335,556</w:t>
            </w:r>
          </w:p>
        </w:tc>
        <w:tc>
          <w:tcPr>
            <w:tcW w:w="19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138,000</w:t>
            </w: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11,120</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5,537,202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100" w:type="dxa"/>
            <w:vAlign w:val="bottom"/>
            <w:vMerge w:val="restart"/>
            <w:shd w:val="clear" w:color="auto" w:fill="CCEEFF"/>
          </w:tcPr>
          <w:p>
            <w:pPr>
              <w:ind w:left="180"/>
              <w:spacing w:after="0" w:line="135" w:lineRule="exact"/>
              <w:rPr>
                <w:sz w:val="20"/>
                <w:szCs w:val="20"/>
                <w:color w:val="auto"/>
              </w:rPr>
            </w:pPr>
            <w:r>
              <w:rPr>
                <w:rFonts w:ascii="Arial" w:cs="Arial" w:eastAsia="Arial" w:hAnsi="Arial"/>
                <w:sz w:val="14"/>
                <w:szCs w:val="14"/>
                <w:color w:val="auto"/>
              </w:rPr>
              <w:t>President and Chief Executive</w:t>
            </w:r>
          </w:p>
        </w:tc>
        <w:tc>
          <w:tcPr>
            <w:tcW w:w="40" w:type="dxa"/>
            <w:vAlign w:val="bottom"/>
            <w:vMerge w:val="continue"/>
            <w:shd w:val="clear" w:color="auto" w:fill="CCEEFF"/>
          </w:tcPr>
          <w:p>
            <w:pPr>
              <w:spacing w:after="0"/>
              <w:rPr>
                <w:sz w:val="2"/>
                <w:szCs w:val="2"/>
                <w:color w:val="auto"/>
              </w:rPr>
            </w:pPr>
          </w:p>
        </w:tc>
        <w:tc>
          <w:tcPr>
            <w:tcW w:w="420" w:type="dxa"/>
            <w:vAlign w:val="bottom"/>
            <w:gridSpan w:val="2"/>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vMerge w:val="continue"/>
            <w:shd w:val="clear" w:color="auto" w:fill="CCEEFF"/>
          </w:tcPr>
          <w:p>
            <w:pPr>
              <w:spacing w:after="0"/>
              <w:rPr>
                <w:sz w:val="2"/>
                <w:szCs w:val="2"/>
                <w:color w:val="auto"/>
              </w:rPr>
            </w:pPr>
          </w:p>
        </w:tc>
        <w:tc>
          <w:tcPr>
            <w:tcW w:w="1020" w:type="dxa"/>
            <w:vAlign w:val="bottom"/>
            <w:vMerge w:val="continue"/>
            <w:shd w:val="clear" w:color="auto" w:fill="CCEEFF"/>
          </w:tcPr>
          <w:p>
            <w:pPr>
              <w:spacing w:after="0"/>
              <w:rPr>
                <w:sz w:val="2"/>
                <w:szCs w:val="2"/>
                <w:color w:val="auto"/>
              </w:rPr>
            </w:pPr>
          </w:p>
        </w:tc>
        <w:tc>
          <w:tcPr>
            <w:tcW w:w="740" w:type="dxa"/>
            <w:vAlign w:val="bottom"/>
            <w:vMerge w:val="continue"/>
            <w:shd w:val="clear" w:color="auto" w:fill="CCEEFF"/>
          </w:tcPr>
          <w:p>
            <w:pPr>
              <w:spacing w:after="0"/>
              <w:rPr>
                <w:sz w:val="2"/>
                <w:szCs w:val="2"/>
                <w:color w:val="auto"/>
              </w:rPr>
            </w:pPr>
          </w:p>
        </w:tc>
        <w:tc>
          <w:tcPr>
            <w:tcW w:w="1900" w:type="dxa"/>
            <w:vAlign w:val="bottom"/>
            <w:vMerge w:val="continue"/>
            <w:shd w:val="clear" w:color="auto" w:fill="CCEEFF"/>
          </w:tcPr>
          <w:p>
            <w:pPr>
              <w:spacing w:after="0"/>
              <w:rPr>
                <w:sz w:val="2"/>
                <w:szCs w:val="2"/>
                <w:color w:val="auto"/>
              </w:rPr>
            </w:pPr>
          </w:p>
        </w:tc>
        <w:tc>
          <w:tcPr>
            <w:tcW w:w="1280" w:type="dxa"/>
            <w:vAlign w:val="bottom"/>
            <w:vMerge w:val="continue"/>
            <w:shd w:val="clear" w:color="auto" w:fill="CCEEFF"/>
          </w:tcPr>
          <w:p>
            <w:pPr>
              <w:spacing w:after="0"/>
              <w:rPr>
                <w:sz w:val="2"/>
                <w:szCs w:val="2"/>
                <w:color w:val="auto"/>
              </w:rPr>
            </w:pPr>
          </w:p>
        </w:tc>
        <w:tc>
          <w:tcPr>
            <w:tcW w:w="74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100" w:type="dxa"/>
            <w:vAlign w:val="bottom"/>
            <w:vMerge w:val="continue"/>
            <w:shd w:val="clear" w:color="auto" w:fill="CCEEFF"/>
          </w:tcPr>
          <w:p>
            <w:pPr>
              <w:spacing w:after="0"/>
              <w:rPr>
                <w:sz w:val="9"/>
                <w:szCs w:val="9"/>
                <w:color w:val="auto"/>
              </w:rPr>
            </w:pPr>
          </w:p>
        </w:tc>
        <w:tc>
          <w:tcPr>
            <w:tcW w:w="4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339,900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241,420</w:t>
            </w:r>
          </w:p>
        </w:tc>
        <w:tc>
          <w:tcPr>
            <w:tcW w:w="74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9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101,970</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10,968</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694,258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Officer</w:t>
            </w:r>
          </w:p>
        </w:tc>
        <w:tc>
          <w:tcPr>
            <w:tcW w:w="4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90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Christopher Powala</w:t>
            </w: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0"/>
              </w:rPr>
              <w:t>305,271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1,838,108</w:t>
            </w:r>
          </w:p>
        </w:tc>
        <w:tc>
          <w:tcPr>
            <w:tcW w:w="740" w:type="dxa"/>
            <w:vAlign w:val="bottom"/>
          </w:tcPr>
          <w:p>
            <w:pPr>
              <w:ind w:left="140"/>
              <w:spacing w:after="0" w:line="149" w:lineRule="exact"/>
              <w:rPr>
                <w:sz w:val="20"/>
                <w:szCs w:val="20"/>
                <w:color w:val="auto"/>
              </w:rPr>
            </w:pPr>
            <w:r>
              <w:rPr>
                <w:rFonts w:ascii="Arial" w:cs="Arial" w:eastAsia="Arial" w:hAnsi="Arial"/>
                <w:sz w:val="14"/>
                <w:szCs w:val="14"/>
                <w:color w:val="auto"/>
              </w:rPr>
              <w:t>186,420</w:t>
            </w:r>
          </w:p>
        </w:tc>
        <w:tc>
          <w:tcPr>
            <w:tcW w:w="19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91,581</w:t>
            </w: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11,948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2,433,328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180"/>
              <w:spacing w:after="0"/>
              <w:rPr>
                <w:sz w:val="20"/>
                <w:szCs w:val="20"/>
                <w:color w:val="auto"/>
              </w:rPr>
            </w:pPr>
            <w:r>
              <w:rPr>
                <w:rFonts w:ascii="Arial" w:cs="Arial" w:eastAsia="Arial" w:hAnsi="Arial"/>
                <w:sz w:val="14"/>
                <w:szCs w:val="14"/>
                <w:color w:val="auto"/>
              </w:rPr>
              <w:t>Chief Operating Officer</w:t>
            </w:r>
          </w:p>
        </w:tc>
        <w:tc>
          <w:tcPr>
            <w:tcW w:w="460" w:type="dxa"/>
            <w:vAlign w:val="bottom"/>
            <w:gridSpan w:val="3"/>
          </w:tcPr>
          <w:p>
            <w:pPr>
              <w:jc w:val="right"/>
              <w:ind w:right="4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300,760</w:t>
            </w:r>
          </w:p>
        </w:tc>
        <w:tc>
          <w:tcPr>
            <w:tcW w:w="1020" w:type="dxa"/>
            <w:vAlign w:val="bottom"/>
          </w:tcPr>
          <w:p>
            <w:pPr>
              <w:jc w:val="right"/>
              <w:spacing w:after="0"/>
              <w:rPr>
                <w:sz w:val="20"/>
                <w:szCs w:val="20"/>
                <w:color w:val="auto"/>
              </w:rPr>
            </w:pPr>
            <w:r>
              <w:rPr>
                <w:rFonts w:ascii="Arial" w:cs="Arial" w:eastAsia="Arial" w:hAnsi="Arial"/>
                <w:sz w:val="14"/>
                <w:szCs w:val="14"/>
                <w:color w:val="auto"/>
              </w:rPr>
              <w:t>79,875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90,228</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11,708</w:t>
            </w:r>
          </w:p>
        </w:tc>
        <w:tc>
          <w:tcPr>
            <w:tcW w:w="740" w:type="dxa"/>
            <w:vAlign w:val="bottom"/>
          </w:tcPr>
          <w:p>
            <w:pPr>
              <w:jc w:val="right"/>
              <w:spacing w:after="0"/>
              <w:rPr>
                <w:sz w:val="20"/>
                <w:szCs w:val="20"/>
                <w:color w:val="auto"/>
              </w:rPr>
            </w:pPr>
            <w:r>
              <w:rPr>
                <w:rFonts w:ascii="Arial" w:cs="Arial" w:eastAsia="Arial" w:hAnsi="Arial"/>
                <w:sz w:val="14"/>
                <w:szCs w:val="14"/>
                <w:color w:val="auto"/>
              </w:rPr>
              <w:t>482,571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Stuart Shanler</w:t>
            </w:r>
          </w:p>
        </w:tc>
        <w:tc>
          <w:tcPr>
            <w:tcW w:w="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287,499</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1,710,920</w:t>
            </w:r>
          </w:p>
        </w:tc>
        <w:tc>
          <w:tcPr>
            <w:tcW w:w="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166,344</w:t>
            </w:r>
          </w:p>
        </w:tc>
        <w:tc>
          <w:tcPr>
            <w:tcW w:w="19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86,250</w:t>
            </w:r>
          </w:p>
        </w:tc>
        <w:tc>
          <w:tcPr>
            <w:tcW w:w="1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45,278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2,296,291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Chief Scientific Officer</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283,250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77,602</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84,975</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45,188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491,015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right="100" w:hanging="215"/>
        <w:spacing w:after="0" w:line="226" w:lineRule="auto"/>
        <w:rPr>
          <w:sz w:val="20"/>
          <w:szCs w:val="20"/>
          <w:color w:val="auto"/>
        </w:rPr>
      </w:pPr>
      <w:r>
        <w:rPr>
          <w:rFonts w:ascii="Arial" w:cs="Arial" w:eastAsia="Arial" w:hAnsi="Arial"/>
          <w:sz w:val="17"/>
          <w:szCs w:val="17"/>
          <w:color w:val="auto"/>
        </w:rPr>
        <w:t xml:space="preserve">(1)The amounts reflect the full grant date fair value for awards granted during the indicated year. The grant date fair value was computed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Unlike the calculations contained in our financial statements, this calculation does not give effect to any estimate of forfeitures related to service-based vesting, but assumes that the executive will perform the requisite service for the award to vest in full. The assumptions we used in valuing options and stock awards are described in Note 8 to our audited financial statements included in our Annual Report on Form 10-K for the fiscal year ended December 31, 2015.</w:t>
      </w:r>
    </w:p>
    <w:p>
      <w:pPr>
        <w:spacing w:after="0" w:line="165" w:lineRule="exact"/>
        <w:rPr>
          <w:sz w:val="20"/>
          <w:szCs w:val="20"/>
          <w:color w:val="auto"/>
        </w:rPr>
      </w:pPr>
    </w:p>
    <w:p>
      <w:pPr>
        <w:ind w:left="220" w:right="20" w:hanging="215"/>
        <w:spacing w:after="0" w:line="258" w:lineRule="auto"/>
        <w:rPr>
          <w:sz w:val="20"/>
          <w:szCs w:val="20"/>
          <w:color w:val="auto"/>
        </w:rPr>
      </w:pPr>
      <w:r>
        <w:rPr>
          <w:rFonts w:ascii="Arial" w:cs="Arial" w:eastAsia="Arial" w:hAnsi="Arial"/>
          <w:sz w:val="17"/>
          <w:szCs w:val="17"/>
          <w:color w:val="auto"/>
        </w:rPr>
        <w:t>(2)The amounts reflect the portion of each officer’s target bonus paid based on the achievement of our corporate goals, which for 2015 are discussed further below under “—Narrative to Summary Compensation Table—Annual Bonus.”</w:t>
      </w:r>
    </w:p>
    <w:p>
      <w:pPr>
        <w:spacing w:after="0" w:line="147" w:lineRule="exact"/>
        <w:rPr>
          <w:sz w:val="20"/>
          <w:szCs w:val="20"/>
          <w:color w:val="auto"/>
        </w:rPr>
      </w:pPr>
    </w:p>
    <w:p>
      <w:pPr>
        <w:ind w:left="220" w:right="100" w:hanging="215"/>
        <w:spacing w:after="0" w:line="224" w:lineRule="auto"/>
        <w:rPr>
          <w:sz w:val="20"/>
          <w:szCs w:val="20"/>
          <w:color w:val="auto"/>
        </w:rPr>
      </w:pPr>
      <w:r>
        <w:rPr>
          <w:rFonts w:ascii="Arial" w:cs="Arial" w:eastAsia="Arial" w:hAnsi="Arial"/>
          <w:sz w:val="18"/>
          <w:szCs w:val="18"/>
          <w:color w:val="auto"/>
        </w:rPr>
        <w:t>(3)In 2014 and 2015, we reimbursed Dr. Shanler an amount of $33,600 for corporate housing expenses that he incurred. The other amounts shown in the “All Other Compensation” column primarily consist of company matching contributions to the officer’s 401(k) plan account.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23" w:name="page24"/>
    <w:bookmarkEnd w:id="23"/>
    <w:p>
      <w:pPr>
        <w:jc w:val="both"/>
        <w:spacing w:after="0" w:line="237" w:lineRule="auto"/>
        <w:rPr>
          <w:sz w:val="20"/>
          <w:szCs w:val="20"/>
          <w:color w:val="auto"/>
        </w:rPr>
      </w:pPr>
      <w:r>
        <w:rPr>
          <w:rFonts w:ascii="Arial" w:cs="Arial" w:eastAsia="Arial" w:hAnsi="Arial"/>
          <w:sz w:val="16"/>
          <w:szCs w:val="16"/>
          <w:color w:val="auto"/>
        </w:rPr>
        <w:t>The Compensation Committee of our Board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executive officer. Our Compensation Committee, without members of management present, discusses and ultimately approves the compensation of our executive officers. Prior to 2015, our Compensation Committee had not engaged a compensation consultant or adopted a peer group of companies for purposes of determining executive compensation. In August 2015, the Compensation Committee retained Compensia, Inc., a compensation consulting firm, to evaluate and make recommendations with respect to our executive compensation program.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jc w:val="both"/>
        <w:spacing w:after="0" w:line="226" w:lineRule="auto"/>
        <w:rPr>
          <w:sz w:val="20"/>
          <w:szCs w:val="20"/>
          <w:color w:val="auto"/>
        </w:rPr>
      </w:pPr>
      <w:r>
        <w:rPr>
          <w:rFonts w:ascii="Arial" w:cs="Arial" w:eastAsia="Arial" w:hAnsi="Arial"/>
          <w:sz w:val="18"/>
          <w:szCs w:val="18"/>
          <w:color w:val="auto"/>
        </w:rPr>
        <w:t>The following table presents the base salaries for each of our named executive officers for 2016, 2015 and 2014. The base salaries for 2016 became effective on January 1, 2016 for all of our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3"/>
          </w:tcPr>
          <w:p>
            <w:pPr>
              <w:ind w:left="120"/>
              <w:spacing w:after="0"/>
              <w:rPr>
                <w:sz w:val="20"/>
                <w:szCs w:val="20"/>
                <w:color w:val="auto"/>
              </w:rPr>
            </w:pPr>
            <w:r>
              <w:rPr>
                <w:rFonts w:ascii="Arial" w:cs="Arial" w:eastAsia="Arial" w:hAnsi="Arial"/>
                <w:sz w:val="18"/>
                <w:szCs w:val="18"/>
                <w:b w:val="1"/>
                <w:bCs w:val="1"/>
                <w:color w:val="auto"/>
              </w:rPr>
              <w:t>Name</w:t>
            </w:r>
          </w:p>
        </w:tc>
        <w:tc>
          <w:tcPr>
            <w:tcW w:w="28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 xml:space="preserve">2016 Base Salary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2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8"/>
              </w:rPr>
              <w:t xml:space="preserve">2015 Base Salary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p>
        </w:tc>
        <w:tc>
          <w:tcPr>
            <w:tcW w:w="2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9"/>
              </w:rPr>
              <w:t xml:space="preserve">2014 Base Salary </w:t>
            </w: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w:t>
            </w: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Neal Walker</w:t>
            </w:r>
          </w:p>
        </w:tc>
        <w:tc>
          <w:tcPr>
            <w:tcW w:w="2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420,000</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344,999</w:t>
            </w:r>
          </w:p>
        </w:tc>
        <w:tc>
          <w:tcPr>
            <w:tcW w:w="2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339,900</w:t>
            </w:r>
          </w:p>
        </w:tc>
      </w:tr>
      <w:tr>
        <w:trPr>
          <w:trHeight w:val="216"/>
        </w:trPr>
        <w:tc>
          <w:tcPr>
            <w:tcW w:w="2080" w:type="dxa"/>
            <w:vAlign w:val="bottom"/>
            <w:gridSpan w:val="3"/>
          </w:tcPr>
          <w:p>
            <w:pPr>
              <w:ind w:left="120"/>
              <w:spacing w:after="0"/>
              <w:rPr>
                <w:sz w:val="20"/>
                <w:szCs w:val="20"/>
                <w:color w:val="auto"/>
              </w:rPr>
            </w:pPr>
            <w:r>
              <w:rPr>
                <w:rFonts w:ascii="Arial" w:cs="Arial" w:eastAsia="Arial" w:hAnsi="Arial"/>
                <w:sz w:val="18"/>
                <w:szCs w:val="18"/>
                <w:color w:val="auto"/>
              </w:rPr>
              <w:t>Christopher Powala</w:t>
            </w:r>
          </w:p>
        </w:tc>
        <w:tc>
          <w:tcPr>
            <w:tcW w:w="2820" w:type="dxa"/>
            <w:vAlign w:val="bottom"/>
            <w:gridSpan w:val="3"/>
          </w:tcPr>
          <w:p>
            <w:pPr>
              <w:jc w:val="right"/>
              <w:ind w:right="400"/>
              <w:spacing w:after="0"/>
              <w:rPr>
                <w:sz w:val="20"/>
                <w:szCs w:val="20"/>
                <w:color w:val="auto"/>
              </w:rPr>
            </w:pPr>
            <w:r>
              <w:rPr>
                <w:rFonts w:ascii="Arial" w:cs="Arial" w:eastAsia="Arial" w:hAnsi="Arial"/>
                <w:sz w:val="18"/>
                <w:szCs w:val="18"/>
                <w:color w:val="auto"/>
              </w:rPr>
              <w:t>345,000</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305,271</w:t>
            </w: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300,760</w:t>
            </w:r>
          </w:p>
        </w:tc>
      </w:tr>
      <w:tr>
        <w:trPr>
          <w:trHeight w:val="216"/>
        </w:trPr>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Stuart Shanler</w:t>
            </w:r>
          </w:p>
        </w:tc>
        <w:tc>
          <w:tcPr>
            <w:tcW w:w="2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330,000</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287,499</w:t>
            </w:r>
          </w:p>
        </w:tc>
        <w:tc>
          <w:tcPr>
            <w:tcW w:w="2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283,250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14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seek to motivate and reward our executives for achievements relative to our corporate goals and expectations for each fiscal year. For each of 2015 and 2014, the target bonus was 30% of each named executive officer's base salary. For 2016, the target bonus for Dr. Walker is 50% of his base salary and the target bonus for each of Mr. Powala and Dr. Shanler is 35% of each of their respective base salaries.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2015, bonuses were awarded based on our achievement of specified corporate goals, including our clinical development and capital raising activities. Based on the level of achievement, our Compensation Committee awarded Dr. Walker 133% of his target bonus for 2015 and awarded Mr. Powala and Dr. Shanler 100% of their target bonuses for 2015. These actual bonus amounts are reflected in the “Non-Equity Incentive Plan Compensation” column of the Summary Compensation Table above</w:t>
      </w:r>
      <w:r>
        <w:rPr>
          <w:rFonts w:ascii="Arial" w:cs="Arial" w:eastAsia="Arial" w:hAnsi="Arial"/>
          <w:sz w:val="21"/>
          <w:szCs w:val="2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4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Our 2012 equity compensation plan (the “2012 Plan”) authorized us to make grants to eligible recipients of non-qualified stock options, incentive stock options and restricted stock awards. All of our awards under this plan were in the form of stock options. Effective upon the consummation of our initial public offering in October 2015, no further options or stock awards may be granted under our 2012 Plan, but all outstanding stock awards will continue to be governed by their existing terms. In connection with the initial public offering, our Board adopted, and our stockholders approved, the 2015 Equity Incentive Plan (the “2015 Plan”). The 2015 Plan provides for the grant of incentive stock options within the meaning of Section 422 of the Internal Revenue Code (the “Code”) to our employees and our parent and subsidiary corporations’ employees, and for the grant of nonstatutory stock options, restricted stock awards, restricted stock unit awards, stock appreciation rights, performance stock awards and other forms of stock compensation to our employees, including officers, consultants and directors. Our 2015 Plan also provides for the grant of performance cash awards to our employees, consultants and directors. We have issued stock options and restricted stock units from the 2015 Plan.</w:t>
      </w:r>
    </w:p>
    <w:p>
      <w:pPr>
        <w:spacing w:after="0" w:line="12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award stock options on the date the Compensation Committee approves the grant. We set the option exercise price and grant date fair value based on our per-share valuation on the date of grant. The shares underlying options granted under our 2012 Plan typically vest 25% one year from the date of grant and the remaining shares vest in 36 equal monthly installments thereafter. Under our 2015 Plan, restricted stock units and shares underlying stock options typically vest in four annual increments.</w:t>
      </w:r>
    </w:p>
    <w:p>
      <w:pPr>
        <w:spacing w:after="0" w:line="1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September 2015, our Compensation Committee awarded options to Dr. Walker, Mr. Powala and Dr. Shanler to purchase 211,019 shares, 69,636 shares and 66,471 shares of our common stock, respectively. Each of these options has an exercise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18"/>
          <w:szCs w:val="18"/>
          <w:color w:val="auto"/>
        </w:rPr>
        <w:t>price of $10.66 per share. In December 2015, our Compensation Committee approved additional option grants to Dr. Walker, Mr. Powala and Dr. Shanler to purchase 137,335 shares, 58,516 shares and 53,833 shares of our common stock, respectively. Each of these options has an exercise price of $28.68 per share. In December 2015, our Compensation Committee also approved restricted stock unit awards to Dr. Walker, Mr. Powala and Dr. Shanler in the amount of 11,700 shares, 6,500 shares and 5,800 shares of our common stock, respectively</w:t>
      </w:r>
      <w:r>
        <w:rPr>
          <w:rFonts w:ascii="Arial" w:cs="Arial" w:eastAsia="Arial" w:hAnsi="Arial"/>
          <w:sz w:val="21"/>
          <w:szCs w:val="2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Please see “—Potential Payments upon Termination of Employment or upon Change in Control” below for information regarding the employment and severance agreements for each of our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End of 2015</w:t>
      </w:r>
    </w:p>
    <w:p>
      <w:pPr>
        <w:spacing w:after="0" w:line="14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following table provides information about outstanding stock options and restricted stock units held by each of our named executive officers at December 31, 2015. None of our named executive officers held other stock awards at the end of 2015.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ind w:left="5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80" w:type="dxa"/>
            <w:vAlign w:val="bottom"/>
            <w:tcBorders>
              <w:top w:val="single" w:sz="8" w:color="auto"/>
            </w:tcBorders>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6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Options (#)</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vMerge w:val="restart"/>
          </w:tcPr>
          <w:p>
            <w:pPr>
              <w:jc w:val="center"/>
              <w:ind w:right="213"/>
              <w:spacing w:after="0"/>
              <w:rPr>
                <w:sz w:val="20"/>
                <w:szCs w:val="20"/>
                <w:color w:val="auto"/>
              </w:rPr>
            </w:pPr>
            <w:r>
              <w:rPr>
                <w:rFonts w:ascii="Arial" w:cs="Arial" w:eastAsia="Arial" w:hAnsi="Arial"/>
                <w:sz w:val="14"/>
                <w:szCs w:val="14"/>
                <w:b w:val="1"/>
                <w:bCs w:val="1"/>
                <w:color w:val="auto"/>
                <w:w w:val="98"/>
              </w:rPr>
              <w:t>Equity</w:t>
            </w: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Type of</w:t>
            </w:r>
          </w:p>
        </w:tc>
        <w:tc>
          <w:tcPr>
            <w:tcW w:w="9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Shares of Stock</w:t>
            </w:r>
          </w:p>
        </w:tc>
        <w:tc>
          <w:tcPr>
            <w:tcW w:w="0" w:type="dxa"/>
            <w:vAlign w:val="bottom"/>
          </w:tcPr>
          <w:p>
            <w:pPr>
              <w:spacing w:after="0"/>
              <w:rPr>
                <w:sz w:val="1"/>
                <w:szCs w:val="1"/>
                <w:color w:val="auto"/>
              </w:rPr>
            </w:pPr>
          </w:p>
        </w:tc>
      </w:tr>
      <w:tr>
        <w:trPr>
          <w:trHeight w:val="14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660" w:type="dxa"/>
            <w:vAlign w:val="bottom"/>
            <w:vMerge w:val="continue"/>
          </w:tcPr>
          <w:p>
            <w:pPr>
              <w:spacing w:after="0"/>
              <w:rPr>
                <w:sz w:val="12"/>
                <w:szCs w:val="12"/>
                <w:color w:val="auto"/>
              </w:rPr>
            </w:pPr>
          </w:p>
        </w:tc>
        <w:tc>
          <w:tcPr>
            <w:tcW w:w="96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92"/>
              </w:rPr>
              <w:t>Incentive</w:t>
            </w:r>
          </w:p>
        </w:tc>
        <w:tc>
          <w:tcPr>
            <w:tcW w:w="8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9"/>
              </w:rPr>
              <w:t>Exercisable</w:t>
            </w: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8"/>
              </w:rPr>
              <w:t>Unexercisable(1)</w:t>
            </w:r>
          </w:p>
        </w:tc>
        <w:tc>
          <w:tcPr>
            <w:tcW w:w="14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Expiration</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That Have Not</w:t>
            </w:r>
          </w:p>
        </w:tc>
        <w:tc>
          <w:tcPr>
            <w:tcW w:w="0" w:type="dxa"/>
            <w:vAlign w:val="bottom"/>
          </w:tcPr>
          <w:p>
            <w:pPr>
              <w:spacing w:after="0"/>
              <w:rPr>
                <w:sz w:val="1"/>
                <w:szCs w:val="1"/>
                <w:color w:val="auto"/>
              </w:rPr>
            </w:pPr>
          </w:p>
        </w:tc>
      </w:tr>
      <w:tr>
        <w:trPr>
          <w:trHeight w:val="171"/>
        </w:trPr>
        <w:tc>
          <w:tcPr>
            <w:tcW w:w="1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Award</w:t>
            </w: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4"/>
              </w:rPr>
              <w:t>Plan</w:t>
            </w:r>
          </w:p>
        </w:tc>
        <w:tc>
          <w:tcPr>
            <w:tcW w:w="86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Vested ($)(7)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Walker</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29,032</w:t>
            </w:r>
            <w:r>
              <w:rPr>
                <w:rFonts w:ascii="Arial" w:cs="Arial" w:eastAsia="Arial" w:hAnsi="Arial"/>
                <w:sz w:val="8"/>
                <w:szCs w:val="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08/12/2024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29,710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89,130</w:t>
            </w:r>
            <w:r>
              <w:rPr>
                <w:rFonts w:ascii="Arial" w:cs="Arial" w:eastAsia="Arial" w:hAnsi="Arial"/>
                <w:sz w:val="8"/>
                <w:szCs w:val="8"/>
                <w:color w:val="auto"/>
              </w:rPr>
              <w:t>(3)</w:t>
            </w: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12/07/2024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211,019</w:t>
            </w:r>
            <w:r>
              <w:rPr>
                <w:rFonts w:ascii="Arial" w:cs="Arial" w:eastAsia="Arial" w:hAnsi="Arial"/>
                <w:sz w:val="8"/>
                <w:szCs w:val="8"/>
                <w:color w:val="auto"/>
              </w:rPr>
              <w:t>(4)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8/31/2025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2015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137,335</w:t>
            </w:r>
            <w:r>
              <w:rPr>
                <w:rFonts w:ascii="Arial" w:cs="Arial" w:eastAsia="Arial" w:hAnsi="Arial"/>
                <w:sz w:val="8"/>
                <w:szCs w:val="8"/>
                <w:color w:val="auto"/>
              </w:rPr>
              <w:t>(5)</w:t>
            </w: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28.68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12/17/2025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RSU</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2015</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r>
              <w:rPr>
                <w:rFonts w:ascii="Arial" w:cs="Arial" w:eastAsia="Arial" w:hAnsi="Arial"/>
                <w:sz w:val="8"/>
                <w:szCs w:val="8"/>
                <w:color w:val="auto"/>
              </w:rPr>
              <w:t>(6)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Christopher Powala</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4,820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9,642</w:t>
            </w:r>
            <w:r>
              <w:rPr>
                <w:rFonts w:ascii="Arial" w:cs="Arial" w:eastAsia="Arial" w:hAnsi="Arial"/>
                <w:sz w:val="8"/>
                <w:szCs w:val="8"/>
                <w:color w:val="auto"/>
              </w:rPr>
              <w:t>(2)</w:t>
            </w: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0.73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08/12/2024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9,818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29,457</w:t>
            </w:r>
            <w:r>
              <w:rPr>
                <w:rFonts w:ascii="Arial" w:cs="Arial" w:eastAsia="Arial" w:hAnsi="Arial"/>
                <w:sz w:val="8"/>
                <w:szCs w:val="8"/>
                <w:color w:val="auto"/>
              </w:rPr>
              <w:t>(3)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12/07/2024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69,636</w:t>
            </w:r>
            <w:r>
              <w:rPr>
                <w:rFonts w:ascii="Arial" w:cs="Arial" w:eastAsia="Arial" w:hAnsi="Arial"/>
                <w:sz w:val="8"/>
                <w:szCs w:val="8"/>
                <w:color w:val="auto"/>
              </w:rPr>
              <w:t>(4)</w:t>
            </w: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10.66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08/31/2025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58,516</w:t>
            </w:r>
            <w:r>
              <w:rPr>
                <w:rFonts w:ascii="Arial" w:cs="Arial" w:eastAsia="Arial" w:hAnsi="Arial"/>
                <w:sz w:val="8"/>
                <w:szCs w:val="8"/>
                <w:color w:val="auto"/>
              </w:rPr>
              <w:t>(5)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12/17/2025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RSU</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2015</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6,500</w:t>
            </w:r>
            <w:r>
              <w:rPr>
                <w:rFonts w:ascii="Arial" w:cs="Arial" w:eastAsia="Arial" w:hAnsi="Arial"/>
                <w:sz w:val="8"/>
                <w:szCs w:val="8"/>
                <w:color w:val="auto"/>
              </w:rPr>
              <w:t>(6)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Shanler</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9,642</w:t>
            </w:r>
            <w:r>
              <w:rPr>
                <w:rFonts w:ascii="Arial" w:cs="Arial" w:eastAsia="Arial" w:hAnsi="Arial"/>
                <w:sz w:val="8"/>
                <w:szCs w:val="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08/12/2024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9,456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28,370</w:t>
            </w:r>
            <w:r>
              <w:rPr>
                <w:rFonts w:ascii="Arial" w:cs="Arial" w:eastAsia="Arial" w:hAnsi="Arial"/>
                <w:sz w:val="8"/>
                <w:szCs w:val="8"/>
                <w:color w:val="auto"/>
              </w:rPr>
              <w:t>(3)</w:t>
            </w: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12/07/2024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66,471</w:t>
            </w:r>
            <w:r>
              <w:rPr>
                <w:rFonts w:ascii="Arial" w:cs="Arial" w:eastAsia="Arial" w:hAnsi="Arial"/>
                <w:sz w:val="8"/>
                <w:szCs w:val="8"/>
                <w:color w:val="auto"/>
              </w:rPr>
              <w:t>(4)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8/31/2025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7"/>
              </w:rPr>
              <w:t>Option</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2015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53,833</w:t>
            </w:r>
            <w:r>
              <w:rPr>
                <w:rFonts w:ascii="Arial" w:cs="Arial" w:eastAsia="Arial" w:hAnsi="Arial"/>
                <w:sz w:val="8"/>
                <w:szCs w:val="8"/>
                <w:color w:val="auto"/>
              </w:rPr>
              <w:t>(5)</w:t>
            </w: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28.68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12/17/2025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RSU</w:t>
            </w:r>
          </w:p>
        </w:tc>
        <w:tc>
          <w:tcPr>
            <w:tcW w:w="9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2015</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r>
              <w:rPr>
                <w:rFonts w:ascii="Arial" w:cs="Arial" w:eastAsia="Arial" w:hAnsi="Arial"/>
                <w:sz w:val="8"/>
                <w:szCs w:val="8"/>
                <w:color w:val="auto"/>
              </w:rPr>
              <w:t>(6)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right="20" w:hanging="215"/>
        <w:spacing w:after="0" w:line="238" w:lineRule="auto"/>
        <w:rPr>
          <w:sz w:val="20"/>
          <w:szCs w:val="20"/>
          <w:color w:val="auto"/>
        </w:rPr>
      </w:pPr>
      <w:r>
        <w:rPr>
          <w:rFonts w:ascii="Arial" w:cs="Arial" w:eastAsia="Arial" w:hAnsi="Arial"/>
          <w:sz w:val="17"/>
          <w:szCs w:val="17"/>
          <w:color w:val="auto"/>
        </w:rPr>
        <w:t>(1)All options granted to date under our 2012 Plan to the named executive officers are exercisable immediately, subject to a repurchase right in our favor that lapses as the option vests. This column reflects the number of options held by our named executive officers that were unvested, as opposed to unexercisable, as of December 31, 2015.</w:t>
      </w:r>
    </w:p>
    <w:p>
      <w:pPr>
        <w:spacing w:after="0" w:line="161" w:lineRule="exact"/>
        <w:rPr>
          <w:sz w:val="20"/>
          <w:szCs w:val="20"/>
          <w:color w:val="auto"/>
        </w:rPr>
      </w:pPr>
    </w:p>
    <w:p>
      <w:pPr>
        <w:ind w:left="220" w:right="480" w:hanging="215"/>
        <w:spacing w:after="0" w:line="307" w:lineRule="auto"/>
        <w:rPr>
          <w:sz w:val="20"/>
          <w:szCs w:val="20"/>
          <w:color w:val="auto"/>
        </w:rPr>
      </w:pPr>
      <w:r>
        <w:rPr>
          <w:rFonts w:ascii="Arial" w:cs="Arial" w:eastAsia="Arial" w:hAnsi="Arial"/>
          <w:sz w:val="16"/>
          <w:szCs w:val="16"/>
          <w:color w:val="auto"/>
        </w:rPr>
        <w:t>(2)25% of the total shares underlying this option vested on August 13, 2015. The remaining shares vest 1/36</w:t>
      </w:r>
      <w:r>
        <w:rPr>
          <w:rFonts w:ascii="Arial" w:cs="Arial" w:eastAsia="Arial" w:hAnsi="Arial"/>
          <w:sz w:val="13"/>
          <w:szCs w:val="13"/>
          <w:color w:val="auto"/>
        </w:rPr>
        <w:t>th</w:t>
      </w:r>
      <w:r>
        <w:rPr>
          <w:rFonts w:ascii="Arial" w:cs="Arial" w:eastAsia="Arial" w:hAnsi="Arial"/>
          <w:sz w:val="16"/>
          <w:szCs w:val="16"/>
          <w:color w:val="auto"/>
        </w:rPr>
        <w:t xml:space="preserve"> monthly through August 13, 2018, subject to the officer’s continued service through each applicable vesting date.</w:t>
      </w:r>
    </w:p>
    <w:p>
      <w:pPr>
        <w:spacing w:after="0" w:line="110" w:lineRule="exact"/>
        <w:rPr>
          <w:sz w:val="20"/>
          <w:szCs w:val="20"/>
          <w:color w:val="auto"/>
        </w:rPr>
      </w:pPr>
    </w:p>
    <w:p>
      <w:pPr>
        <w:ind w:left="220" w:right="360" w:hanging="215"/>
        <w:spacing w:after="0" w:line="307" w:lineRule="auto"/>
        <w:rPr>
          <w:sz w:val="20"/>
          <w:szCs w:val="20"/>
          <w:color w:val="auto"/>
        </w:rPr>
      </w:pPr>
      <w:r>
        <w:rPr>
          <w:rFonts w:ascii="Arial" w:cs="Arial" w:eastAsia="Arial" w:hAnsi="Arial"/>
          <w:sz w:val="16"/>
          <w:szCs w:val="16"/>
          <w:color w:val="auto"/>
        </w:rPr>
        <w:t>(3)25% of the total shares underlying this option vested on December 8, 2015. The remaining shares vest 1/36</w:t>
      </w:r>
      <w:r>
        <w:rPr>
          <w:rFonts w:ascii="Arial" w:cs="Arial" w:eastAsia="Arial" w:hAnsi="Arial"/>
          <w:sz w:val="13"/>
          <w:szCs w:val="13"/>
          <w:color w:val="auto"/>
        </w:rPr>
        <w:t>th</w:t>
      </w:r>
      <w:r>
        <w:rPr>
          <w:rFonts w:ascii="Arial" w:cs="Arial" w:eastAsia="Arial" w:hAnsi="Arial"/>
          <w:sz w:val="16"/>
          <w:szCs w:val="16"/>
          <w:color w:val="auto"/>
        </w:rPr>
        <w:t xml:space="preserve"> monthly through December 8, 2018, subject to the officer’s continued service through each applicable vesting date.</w:t>
      </w:r>
    </w:p>
    <w:p>
      <w:pPr>
        <w:spacing w:after="0" w:line="110" w:lineRule="exact"/>
        <w:rPr>
          <w:sz w:val="20"/>
          <w:szCs w:val="20"/>
          <w:color w:val="auto"/>
        </w:rPr>
      </w:pPr>
    </w:p>
    <w:p>
      <w:pPr>
        <w:ind w:left="220" w:right="160" w:hanging="215"/>
        <w:spacing w:after="0" w:line="307" w:lineRule="auto"/>
        <w:rPr>
          <w:sz w:val="20"/>
          <w:szCs w:val="20"/>
          <w:color w:val="auto"/>
        </w:rPr>
      </w:pPr>
      <w:r>
        <w:rPr>
          <w:rFonts w:ascii="Arial" w:cs="Arial" w:eastAsia="Arial" w:hAnsi="Arial"/>
          <w:sz w:val="16"/>
          <w:szCs w:val="16"/>
          <w:color w:val="auto"/>
        </w:rPr>
        <w:t>(4)25% of the total shares underlying this option will vest on September 1, 2016. The remaining shares vest 1/36</w:t>
      </w:r>
      <w:r>
        <w:rPr>
          <w:rFonts w:ascii="Arial" w:cs="Arial" w:eastAsia="Arial" w:hAnsi="Arial"/>
          <w:sz w:val="13"/>
          <w:szCs w:val="13"/>
          <w:color w:val="auto"/>
        </w:rPr>
        <w:t>th</w:t>
      </w:r>
      <w:r>
        <w:rPr>
          <w:rFonts w:ascii="Arial" w:cs="Arial" w:eastAsia="Arial" w:hAnsi="Arial"/>
          <w:sz w:val="16"/>
          <w:szCs w:val="16"/>
          <w:color w:val="auto"/>
        </w:rPr>
        <w:t xml:space="preserve"> monthly through September 1, 2019, subject to the officer’s continued service through each applicable vesting date.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01" w:right="1419" w:bottom="1440" w:gutter="0" w:footer="0" w:header="0"/>
        </w:sectPr>
      </w:pPr>
    </w:p>
    <w:bookmarkStart w:id="25" w:name="page26"/>
    <w:bookmarkEnd w:id="25"/>
    <w:p>
      <w:pPr>
        <w:ind w:left="220" w:right="100" w:hanging="215"/>
        <w:spacing w:after="0" w:line="275" w:lineRule="auto"/>
        <w:rPr>
          <w:sz w:val="20"/>
          <w:szCs w:val="20"/>
          <w:color w:val="auto"/>
        </w:rPr>
      </w:pPr>
      <w:r>
        <w:rPr>
          <w:rFonts w:ascii="Arial" w:cs="Arial" w:eastAsia="Arial" w:hAnsi="Arial"/>
          <w:sz w:val="17"/>
          <w:szCs w:val="17"/>
          <w:color w:val="auto"/>
        </w:rPr>
        <w:t>(5)25% of the total shares underlying this option will vest on December 18, 2016. The remaining shares vest 1/36</w:t>
      </w:r>
      <w:r>
        <w:rPr>
          <w:rFonts w:ascii="Arial" w:cs="Arial" w:eastAsia="Arial" w:hAnsi="Arial"/>
          <w:sz w:val="14"/>
          <w:szCs w:val="14"/>
          <w:color w:val="auto"/>
        </w:rPr>
        <w:t>th</w:t>
      </w:r>
      <w:r>
        <w:rPr>
          <w:rFonts w:ascii="Arial" w:cs="Arial" w:eastAsia="Arial" w:hAnsi="Arial"/>
          <w:sz w:val="17"/>
          <w:szCs w:val="17"/>
          <w:color w:val="auto"/>
        </w:rPr>
        <w:t xml:space="preserve"> monthly through December 18, 2019, subject to the officer’s continued service through each applicable vesting date.</w:t>
      </w:r>
    </w:p>
    <w:p>
      <w:pPr>
        <w:spacing w:after="0" w:line="133" w:lineRule="exact"/>
        <w:rPr>
          <w:sz w:val="20"/>
          <w:szCs w:val="20"/>
          <w:color w:val="auto"/>
        </w:rPr>
      </w:pPr>
    </w:p>
    <w:p>
      <w:pPr>
        <w:ind w:left="220" w:right="260" w:hanging="215"/>
        <w:spacing w:after="0" w:line="289" w:lineRule="auto"/>
        <w:rPr>
          <w:sz w:val="20"/>
          <w:szCs w:val="20"/>
          <w:color w:val="auto"/>
        </w:rPr>
      </w:pPr>
      <w:r>
        <w:rPr>
          <w:rFonts w:ascii="Arial" w:cs="Arial" w:eastAsia="Arial" w:hAnsi="Arial"/>
          <w:sz w:val="16"/>
          <w:szCs w:val="16"/>
          <w:color w:val="auto"/>
        </w:rPr>
        <w:t>(6)25% of the total shares subject to restriction will vest on December 18, 2016. The remaining shares vest 1/3rd annually through December 18, 2019, subject to the officer’s continued service through each applicable vesting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 Based on the closing price of our common stock of $26.94 per share as of December 31, 2015.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upon Change in Control</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2015, we entered into employment agreements with Dr. Walker under which he serves as our President and Chief Executive Officer, Mr. Powala under which he serves as our Chief Operating Officer and Dr. Shanler under which he serves as our Chief Scientific Officer. The employment agreements became effective as of October 6, 2015. Under these agreements, Dr. Walker, Mr. Powala and Dr. Shanler are each eligible to receive severance benefits in specified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Dr. Walker, Mr. Powala and Dr. Shanler</w:t>
      </w:r>
    </w:p>
    <w:p>
      <w:pPr>
        <w:jc w:val="both"/>
        <w:spacing w:after="0" w:line="233" w:lineRule="auto"/>
        <w:rPr>
          <w:sz w:val="20"/>
          <w:szCs w:val="20"/>
          <w:color w:val="auto"/>
        </w:rPr>
      </w:pPr>
      <w:r>
        <w:rPr>
          <w:rFonts w:ascii="Arial" w:cs="Arial" w:eastAsia="Arial" w:hAnsi="Arial"/>
          <w:sz w:val="16"/>
          <w:szCs w:val="16"/>
          <w:color w:val="auto"/>
        </w:rPr>
        <w:t>Pursuant to our employment agreements with Dr. Walker, Mr. Powala and Dr. Shanler, each executive officer is eligible for severance benefits in specified circumstances. In the event that we terminate Dr. Walker, Mr. Powala or Dr. Shanler without cause, he resigns for good reason or his employment is terminated due to death or disability, he, or his estate, will be entitled to receive, upon execution and effectiveness of a release of claims, (i) continued payment of his then-current salary for a period of 12 months following termination for Dr. Walker and for a period of nine months following termination for each of Mr. Powala and Dr. Shanler, in each case payable in accordance with our normal payroll practices, (ii) a lump sum payment of any approved but unpaid bonuses or portion thereof for the preceding year or the year of termination and (iii) a direct payment by us to the applicable healthcare provider of 100% of the medical, vision and dental coverage premiums due to maintain any COBRA coverage for which he is eligible and has appropriately elected through the earlier of (A) 12 months following termination for Dr. Walker and nine months following termination for each of Mr. Powala and Dr. Shanler and (B) the date he becomes eligible for substantially equivalent coverage in connection with new employment.</w:t>
      </w:r>
    </w:p>
    <w:p>
      <w:pPr>
        <w:spacing w:after="0" w:line="126"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 addition, in the event of termination without cause, for good reason, or due to death or disability of each of Dr. Walker, Mr. Powala or Dr. Shanler occurs on or within three months prior to, or within 12 months following, a change of control, he will be entitled to (i) continuation of his base salary for an additional 12 months for Dr. Walker and six months for each of Mr. Powala and Dr. Shanler following the end of the initial severance period, (ii) up to six additional months of paid COBRA premiums (or until he receives substantially equivalent coverage in connection with new employment, if earlier) and (iii) if the termination occurs on or within three months prior to the change of control, all of his unvested stock options and other equity awards outstanding on the effective date of termination will become fully vested on the effective date of the change of control, or if the termination occurs within 12 months following the effective date of the change of control, provided that any surviving corporation or acquiring corporation assumes his stock options or other equity awards, as applicable, or substitutes similar stock options or equity awards for his stock options or equity awards, as applicable, in accordance with the terms of the applicable equity incentive plans, all unvested stock options and other equity awards outstanding on the effective date of termination will become fully vested on the date of termination.</w:t>
      </w:r>
    </w:p>
    <w:p>
      <w:pPr>
        <w:spacing w:after="0" w:line="1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event Dr. Walker's, Mr. Powala's or Dr. Shanler's employment is terminated upon nonrenewal of the employment agreement by us, he will continue to receive his salary and benefits during the 90-day nonrenewal notice period, and, upon execution and effectiveness of a release of claims, he will be entitled to receive (i) continued payment of his then-current salary for a period of 12 months following termination for Dr. Walker and for a period of nine months following termination for each of Mr. Powala and Dr. Shanler, in each case payable in accordance with our normal payroll practices, (ii) a lump sum payment of any approved but unpaid bonuses or portion thereof for the preceding year or the year of termination and (iii) a direct payment by us to the applicable healthcare provider of 100% of the medical, vision and dental coverage premiums due to maintain any COBRA coverage for which he is eligible and has appropriately elected through the earlier of (A) eight months following termination for Dr. Walker and five months following termination for each 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26" w:name="page27"/>
    <w:bookmarkEnd w:id="26"/>
    <w:p>
      <w:pPr>
        <w:spacing w:after="0" w:line="261" w:lineRule="auto"/>
        <w:rPr>
          <w:sz w:val="20"/>
          <w:szCs w:val="20"/>
          <w:color w:val="auto"/>
        </w:rPr>
      </w:pPr>
      <w:r>
        <w:rPr>
          <w:rFonts w:ascii="Arial" w:cs="Arial" w:eastAsia="Arial" w:hAnsi="Arial"/>
          <w:sz w:val="18"/>
          <w:szCs w:val="18"/>
          <w:color w:val="auto"/>
        </w:rPr>
        <w:t>Mr. Powala and Dr. Shanler and (B) the date the officer becomes eligible for substantially equivalent coverage in connection with new employment</w:t>
      </w:r>
      <w:r>
        <w:rPr>
          <w:rFonts w:ascii="Arial" w:cs="Arial" w:eastAsia="Arial" w:hAnsi="Arial"/>
          <w:sz w:val="21"/>
          <w:szCs w:val="2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have been adopted in these employment agreements:</w:t>
      </w:r>
    </w:p>
    <w:p>
      <w:pPr>
        <w:spacing w:after="0" w:line="185" w:lineRule="exact"/>
        <w:rPr>
          <w:sz w:val="20"/>
          <w:szCs w:val="20"/>
          <w:color w:val="auto"/>
        </w:rPr>
      </w:pPr>
    </w:p>
    <w:p>
      <w:pPr>
        <w:ind w:left="380" w:right="180" w:hanging="53"/>
        <w:spacing w:after="0" w:line="234" w:lineRule="auto"/>
        <w:rPr>
          <w:sz w:val="20"/>
          <w:szCs w:val="20"/>
          <w:color w:val="auto"/>
        </w:rPr>
      </w:pPr>
      <w:r>
        <w:rPr>
          <w:rFonts w:ascii="Arial" w:cs="Arial" w:eastAsia="Arial" w:hAnsi="Arial"/>
          <w:sz w:val="16"/>
          <w:szCs w:val="16"/>
          <w:color w:val="auto"/>
        </w:rPr>
        <w:t>·“cause” means: (i) his conviction of, or guilty plea to, a crime of moral turpitude, whether or not a felony, or a felony, other than traffic violations; (ii) any act or omission by him which constitutes gross negligence or a material breach of his duty of loyalty; (iii) any material breach by him of our personnel policies, including those prohibiting acts of discrimination, harassment or retaliation; (iv) any act constituting dishonesty, fraud, immoral or disreputable conduct;</w:t>
      </w:r>
    </w:p>
    <w:p>
      <w:pPr>
        <w:ind w:left="640" w:hanging="259"/>
        <w:spacing w:after="0" w:line="216"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refusal to follow or implement a clear and reasonable directive; (vi) breach of fiduciary duty; or (vii) a material</w:t>
      </w:r>
    </w:p>
    <w:p>
      <w:pPr>
        <w:ind w:left="380" w:right="160"/>
        <w:spacing w:after="0" w:line="203" w:lineRule="auto"/>
        <w:rPr>
          <w:rFonts w:ascii="Arial" w:cs="Arial" w:eastAsia="Arial" w:hAnsi="Arial"/>
          <w:sz w:val="17"/>
          <w:szCs w:val="17"/>
          <w:color w:val="auto"/>
        </w:rPr>
      </w:pPr>
      <w:r>
        <w:rPr>
          <w:rFonts w:ascii="Arial" w:cs="Arial" w:eastAsia="Arial" w:hAnsi="Arial"/>
          <w:sz w:val="18"/>
          <w:szCs w:val="18"/>
          <w:color w:val="auto"/>
        </w:rPr>
        <w:t>violation or breach by him of his employment agreement, subject to specified exceptions, or any other agreement with us;</w:t>
      </w:r>
    </w:p>
    <w:p>
      <w:pPr>
        <w:spacing w:after="0" w:line="1" w:lineRule="exact"/>
        <w:rPr>
          <w:sz w:val="20"/>
          <w:szCs w:val="20"/>
          <w:color w:val="auto"/>
        </w:rPr>
      </w:pPr>
    </w:p>
    <w:p>
      <w:pPr>
        <w:ind w:left="380" w:right="20" w:hanging="53"/>
        <w:spacing w:after="0" w:line="215" w:lineRule="auto"/>
        <w:rPr>
          <w:sz w:val="20"/>
          <w:szCs w:val="20"/>
          <w:color w:val="auto"/>
        </w:rPr>
      </w:pPr>
      <w:r>
        <w:rPr>
          <w:rFonts w:ascii="Arial" w:cs="Arial" w:eastAsia="Arial" w:hAnsi="Arial"/>
          <w:sz w:val="17"/>
          <w:szCs w:val="17"/>
          <w:color w:val="auto"/>
        </w:rPr>
        <w:t>·“good reason” means, in the absence of events that would support a termination for cause: (i) there is a material failure by us or our successor to pay his salary or additional compensation or benefits in accordance with the employment agreement; (ii) his annual base salary is materially decreased without his prior written consent; (iii) he is assigned duties substantially inconsistent with his title and the responsibilities set forth in his job description without his prior written consent; (iv) his place of employment is changed to a location that is greater than 50 miles from his current place of employment; or (v) any other material violation or breach by us of his employment agreement; provided, however, none of the above events will constitute good reason absent him providing us with proper notice and our failure to cure such event within 30 days of such notice; and</w:t>
      </w:r>
    </w:p>
    <w:p>
      <w:pPr>
        <w:spacing w:after="0" w:line="4" w:lineRule="exact"/>
        <w:rPr>
          <w:sz w:val="20"/>
          <w:szCs w:val="20"/>
          <w:color w:val="auto"/>
        </w:rPr>
      </w:pPr>
    </w:p>
    <w:p>
      <w:pPr>
        <w:ind w:left="380" w:right="40" w:hanging="53"/>
        <w:spacing w:after="0" w:line="232" w:lineRule="auto"/>
        <w:rPr>
          <w:sz w:val="20"/>
          <w:szCs w:val="20"/>
          <w:color w:val="auto"/>
        </w:rPr>
      </w:pPr>
      <w:r>
        <w:rPr>
          <w:rFonts w:ascii="Arial" w:cs="Arial" w:eastAsia="Arial" w:hAnsi="Arial"/>
          <w:sz w:val="16"/>
          <w:szCs w:val="16"/>
          <w:color w:val="auto"/>
        </w:rPr>
        <w:t>·“change in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corporate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8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 advantaged basis. Eligible employees are able to defer eligible compensation subject to applicable annual Code limits. Currently, we match 100% of each eligible employee's contributions up to 4.0% of total eligible compensation. Employees’ pre-tax contributions are allocated to each participant's individual account and are then invested in selected investment alternatives according to the participants' directions. Employees are immediately and fully vested in their contributions, and our matching contribution is subject to a six-year vesting schedule.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do not provide perquisites or personal benefits to our named executive officers. We do, however, pay the premiums for term life insurance for all of our employees, including our named executive officers.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01" w:right="141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Non-Employee Director Compensation</w:t>
      </w:r>
    </w:p>
    <w:p>
      <w:pPr>
        <w:spacing w:after="0" w:line="19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With the exception of payments to NST Consulting, LLC for the services of Mr. Tullman, the Chairman of our Board, no retainers were paid in respect of any period prior to the completion of our initial public offering. Effective upon the completion of our initial public offering in October 2015, under our director compensation policy, we paid each of our non-employee directors a cash retainer for service on the Board and for service on each committee on which the director was a member. The policy applies to each of our directors who is not an employee or an affiliate of our company, which is currently all directors other than Dr. Walker and Mr. Tullman. Pursuant to the policy, each non-employee director, who is not an employee or an affiliate of our company, receives an annual cash retainer of $35,000 for serving on our Board. The Chairman and members of each of the Audit, Compensation and Nominating and Corporate Governance Committees receive an additional retainer for such service,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MEMBER ANNUAL SERVICE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CHAIRMAN</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ANNUAL SERVICE</w:t>
            </w: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RETAINER</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RETAINER</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Compensation Committee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5,000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All annual cash compensation amounts are payable in equal quarterly installments in arrears, on the last day of each fiscal quarter for which the service occurred, pro-rated based on the days served in the applicable fiscal quarter. With respect to Mr. Tullman, the Chairman of our Board, we have agreed to pay him an annual retainer of $100,000 for his services as Chairman.</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reimburse our non-employee directors for reasonable travel and out-of-pocket expenses incurred in connection with attending our Board and committee meetings.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Each new non-employee director who joins our Board will be granted a stock option to purchase a number of shares of common stock under our 2015 Plan such that the option has a Black-Scholes value as of the grant date of $160,000, vesting monthly over three years from the grant date, subject to continued service as a director through the applicable vesting date.</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the date of each annual meeting of our stockholders, each non-employee director who continues to serve as a director of our company following the meeting will be granted a stock option to purchase a number of shares of common stock under our 2015 Plan, such that the option has a Black-Scholes value as of the grant date of $90,000, vesting monthly over one year from the grant date, subject to continued service as a director through the applicable vesting date.</w:t>
      </w:r>
    </w:p>
    <w:p>
      <w:pPr>
        <w:spacing w:after="0" w:line="1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the closing price of our common stock on the date of the option grant. Each stock option will have a term of ten years from the date of grant, subject to earlier termination in connection with a termination of the non-employee director's continuous service with us.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2015 Director Compensation</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following table shows the compensation earned by each of our non-employee directors for 2015. Board and committee retainers were prorated for the period from October 6, 2015 through December 31, 2015. Dr. Walker, our President and Chief Executive Officer, is also a director but does not receive any additional compensation for his service as a director. Dr. Walker’s compensation as an executive officer is set forth above under “Executive Compensation—Summary Compensation Table.”</w:t>
      </w:r>
    </w:p>
    <w:p>
      <w:pPr>
        <w:sectPr>
          <w:pgSz w:w="11900" w:h="16838" w:orient="portrait"/>
          <w:cols w:equalWidth="0" w:num="1">
            <w:col w:w="9060"/>
          </w:cols>
          <w:pgMar w:left="1420" w:top="283" w:right="141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Stephen A. Tullman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Richard A. Bierly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Albert Cha, M.D., Ph.D.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Anand Mehra, M.D.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Christopher Molineaux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Fees earned or paid</w:t>
            </w:r>
          </w:p>
        </w:tc>
        <w:tc>
          <w:tcPr>
            <w:tcW w:w="11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2"/>
              </w:rPr>
              <w:t>Option awards</w:t>
            </w:r>
          </w:p>
        </w:tc>
        <w:tc>
          <w:tcPr>
            <w:tcW w:w="60" w:type="dxa"/>
            <w:vAlign w:val="bottom"/>
          </w:tcPr>
          <w:p>
            <w:pPr>
              <w:spacing w:after="0"/>
              <w:rPr>
                <w:sz w:val="14"/>
                <w:szCs w:val="14"/>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cash ($)</w:t>
            </w:r>
          </w:p>
        </w:tc>
        <w:tc>
          <w:tcPr>
            <w:tcW w:w="180" w:type="dxa"/>
            <w:vAlign w:val="bottom"/>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25,000</w:t>
            </w:r>
          </w:p>
        </w:tc>
        <w:tc>
          <w:tcPr>
            <w:tcW w:w="180" w:type="dxa"/>
            <w:vAlign w:val="bottom"/>
          </w:tcPr>
          <w:p>
            <w:pPr>
              <w:spacing w:after="0"/>
              <w:rPr>
                <w:sz w:val="16"/>
                <w:szCs w:val="16"/>
                <w:color w:val="auto"/>
              </w:rPr>
            </w:pPr>
          </w:p>
        </w:tc>
        <w:tc>
          <w:tcPr>
            <w:tcW w:w="920" w:type="dxa"/>
            <w:vAlign w:val="bottom"/>
          </w:tcPr>
          <w:p>
            <w:pPr>
              <w:ind w:left="300"/>
              <w:spacing w:after="0" w:line="195" w:lineRule="exact"/>
              <w:rPr>
                <w:sz w:val="20"/>
                <w:szCs w:val="20"/>
                <w:color w:val="auto"/>
              </w:rPr>
            </w:pPr>
            <w:r>
              <w:rPr>
                <w:rFonts w:ascii="Arial" w:cs="Arial" w:eastAsia="Arial" w:hAnsi="Arial"/>
                <w:sz w:val="18"/>
                <w:szCs w:val="18"/>
                <w:color w:val="auto"/>
                <w:w w:val="92"/>
              </w:rPr>
              <w:t>336,477</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w w:val="90"/>
              </w:rPr>
              <w:t>(2)</w:t>
            </w:r>
          </w:p>
        </w:tc>
        <w:tc>
          <w:tcPr>
            <w:tcW w:w="68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92"/>
              </w:rPr>
              <w:t>361,477</w:t>
            </w:r>
          </w:p>
        </w:tc>
        <w:tc>
          <w:tcPr>
            <w:tcW w:w="0" w:type="dxa"/>
            <w:vAlign w:val="bottom"/>
          </w:tcPr>
          <w:p>
            <w:pPr>
              <w:spacing w:after="0"/>
              <w:rPr>
                <w:sz w:val="1"/>
                <w:szCs w:val="1"/>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12,875</w:t>
            </w:r>
          </w:p>
        </w:tc>
        <w:tc>
          <w:tcPr>
            <w:tcW w:w="18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w w:val="93"/>
              </w:rPr>
              <w:t>154,068 (3)</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w w:val="92"/>
              </w:rPr>
              <w:t>166,943</w:t>
            </w:r>
          </w:p>
        </w:tc>
        <w:tc>
          <w:tcPr>
            <w:tcW w:w="0" w:type="dxa"/>
            <w:vAlign w:val="bottom"/>
          </w:tcPr>
          <w:p>
            <w:pPr>
              <w:spacing w:after="0"/>
              <w:rPr>
                <w:sz w:val="1"/>
                <w:szCs w:val="1"/>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12,250</w:t>
            </w:r>
          </w:p>
        </w:tc>
        <w:tc>
          <w:tcPr>
            <w:tcW w:w="1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10,625</w:t>
            </w:r>
          </w:p>
        </w:tc>
        <w:tc>
          <w:tcPr>
            <w:tcW w:w="1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57"/>
        </w:trPr>
        <w:tc>
          <w:tcPr>
            <w:tcW w:w="1220" w:type="dxa"/>
            <w:vAlign w:val="bottom"/>
          </w:tcPr>
          <w:p>
            <w:pPr>
              <w:jc w:val="right"/>
              <w:spacing w:after="0"/>
              <w:rPr>
                <w:sz w:val="20"/>
                <w:szCs w:val="20"/>
                <w:color w:val="auto"/>
              </w:rPr>
            </w:pPr>
            <w:r>
              <w:rPr>
                <w:rFonts w:ascii="Arial" w:cs="Arial" w:eastAsia="Arial" w:hAnsi="Arial"/>
                <w:sz w:val="18"/>
                <w:szCs w:val="18"/>
                <w:color w:val="auto"/>
              </w:rPr>
              <w:t>13,813</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w w:val="93"/>
              </w:rPr>
              <w:t>120,589 (4)</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w w:val="92"/>
              </w:rPr>
              <w:t>134,402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-427990</wp:posOffset>
            </wp:positionV>
            <wp:extent cx="459676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96765" cy="13716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-153670</wp:posOffset>
            </wp:positionV>
            <wp:extent cx="45624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-711200</wp:posOffset>
            </wp:positionV>
            <wp:extent cx="459676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200" w:space="720"/>
            <w:col w:w="5140"/>
          </w:cols>
          <w:pgMar w:left="1420" w:top="283" w:right="1419" w:bottom="1440" w:gutter="0" w:footer="0" w:header="0"/>
          <w:type w:val="continuous"/>
        </w:sectPr>
      </w:pPr>
    </w:p>
    <w:p>
      <w:pPr>
        <w:ind w:left="220" w:right="120" w:hanging="215"/>
        <w:spacing w:after="0" w:line="249" w:lineRule="auto"/>
        <w:rPr>
          <w:sz w:val="20"/>
          <w:szCs w:val="20"/>
          <w:color w:val="auto"/>
        </w:rPr>
      </w:pPr>
      <w:r>
        <w:rPr>
          <w:rFonts w:ascii="Arial" w:cs="Arial" w:eastAsia="Arial" w:hAnsi="Arial"/>
          <w:sz w:val="16"/>
          <w:szCs w:val="16"/>
          <w:color w:val="auto"/>
        </w:rPr>
        <w:t>(1)Reflects the aggregate grant date fair value of options granted during the fiscal year ended December 31, 2015 calculated in accordance with FASB ASC Topic 718. For a discussion of valuation assumptions, see Note 8 to our audited consolidated financial statements included in our Annual Report on Form 10-K for the fiscal year ended December 31, 2015. Our directors will not realize the estimated value of these awards until the awards are vested, exercised and sold.</w:t>
      </w:r>
    </w:p>
    <w:p>
      <w:pPr>
        <w:spacing w:after="0" w:line="155" w:lineRule="exact"/>
        <w:rPr>
          <w:sz w:val="20"/>
          <w:szCs w:val="20"/>
          <w:color w:val="auto"/>
        </w:rPr>
      </w:pPr>
    </w:p>
    <w:p>
      <w:pPr>
        <w:jc w:val="both"/>
        <w:ind w:left="220" w:right="260" w:hanging="215"/>
        <w:spacing w:after="0" w:line="238" w:lineRule="auto"/>
        <w:rPr>
          <w:sz w:val="20"/>
          <w:szCs w:val="20"/>
          <w:color w:val="auto"/>
        </w:rPr>
      </w:pPr>
      <w:r>
        <w:rPr>
          <w:rFonts w:ascii="Arial" w:cs="Arial" w:eastAsia="Arial" w:hAnsi="Arial"/>
          <w:sz w:val="17"/>
          <w:szCs w:val="17"/>
          <w:color w:val="auto"/>
        </w:rPr>
        <w:t>(2)Consists of an option granted on September 1, 2015 to purchase 22,180 shares, with a grant date fair value of $183,437 and an option granted on December 18, 2015 to purchase 7,095 shares, with a grant date fair value of $153,039. As of December 31, 2015, Mr. Tullman held options to purchase 92,036 shares of our common stock.</w:t>
      </w:r>
    </w:p>
    <w:p>
      <w:pPr>
        <w:spacing w:after="0" w:line="161" w:lineRule="exact"/>
        <w:rPr>
          <w:sz w:val="20"/>
          <w:szCs w:val="20"/>
          <w:color w:val="auto"/>
        </w:rPr>
      </w:pPr>
    </w:p>
    <w:p>
      <w:pPr>
        <w:ind w:left="220" w:right="120" w:hanging="215"/>
        <w:spacing w:after="0" w:line="258" w:lineRule="auto"/>
        <w:rPr>
          <w:sz w:val="20"/>
          <w:szCs w:val="20"/>
          <w:color w:val="auto"/>
        </w:rPr>
      </w:pPr>
      <w:r>
        <w:rPr>
          <w:rFonts w:ascii="Arial" w:cs="Arial" w:eastAsia="Arial" w:hAnsi="Arial"/>
          <w:sz w:val="17"/>
          <w:szCs w:val="17"/>
          <w:color w:val="auto"/>
        </w:rPr>
        <w:t>(3)Consists of an option granted on October 6, 2015 to purchase 17,800 shares, with a grant date fair value of $154,068. As of December 31, 2015, Mr. Bierly held options to purchase 17,800 shares of our common stock.</w:t>
      </w:r>
    </w:p>
    <w:p>
      <w:pPr>
        <w:spacing w:after="0" w:line="147" w:lineRule="exact"/>
        <w:rPr>
          <w:sz w:val="20"/>
          <w:szCs w:val="20"/>
          <w:color w:val="auto"/>
        </w:rPr>
      </w:pPr>
    </w:p>
    <w:p>
      <w:pPr>
        <w:ind w:left="220" w:right="140" w:hanging="215"/>
        <w:spacing w:after="0" w:line="238" w:lineRule="auto"/>
        <w:rPr>
          <w:sz w:val="20"/>
          <w:szCs w:val="20"/>
          <w:color w:val="auto"/>
        </w:rPr>
      </w:pPr>
      <w:r>
        <w:rPr>
          <w:rFonts w:ascii="Arial" w:cs="Arial" w:eastAsia="Arial" w:hAnsi="Arial"/>
          <w:sz w:val="17"/>
          <w:szCs w:val="17"/>
          <w:color w:val="auto"/>
        </w:rPr>
        <w:t>(4)Consists of an option granted on September 1, 2015 to purchase 7,385 shares, with a grant date fair value of $61,077 and an option granted on December 18, 2015 to purchase 2,759 shares, with a grant date fair value of $59,512. As of December 31, 2015, Mr. Molineaux held options to purchase 20,375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regarding our equity compensation plans in effect as of December 31, 2015:</w:t>
      </w:r>
    </w:p>
    <w:p>
      <w:pPr>
        <w:sectPr>
          <w:pgSz w:w="11900" w:h="16838" w:orient="portrait"/>
          <w:cols w:equalWidth="0" w:num="1">
            <w:col w:w="9060"/>
          </w:cols>
          <w:pgMar w:left="1420" w:top="49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Category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approved by security holders:</w:t>
      </w:r>
    </w:p>
    <w:p>
      <w:pPr>
        <w:ind w:left="260"/>
        <w:spacing w:after="0"/>
        <w:rPr>
          <w:sz w:val="20"/>
          <w:szCs w:val="20"/>
          <w:color w:val="auto"/>
        </w:rPr>
      </w:pPr>
      <w:r>
        <w:rPr>
          <w:rFonts w:ascii="Arial" w:cs="Arial" w:eastAsia="Arial" w:hAnsi="Arial"/>
          <w:sz w:val="18"/>
          <w:szCs w:val="18"/>
          <w:color w:val="auto"/>
        </w:rPr>
        <w:t>2012 Equity Compensation Plan</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2015 Equity Incentive Plan</w:t>
      </w:r>
    </w:p>
    <w:p>
      <w:pPr>
        <w:spacing w:after="0" w:line="9" w:lineRule="exact"/>
        <w:rPr>
          <w:sz w:val="20"/>
          <w:szCs w:val="20"/>
          <w:color w:val="auto"/>
        </w:rPr>
      </w:pPr>
    </w:p>
    <w:p>
      <w:pPr>
        <w:ind w:left="140" w:right="360" w:hanging="129"/>
        <w:spacing w:after="0" w:line="204" w:lineRule="auto"/>
        <w:rPr>
          <w:sz w:val="20"/>
          <w:szCs w:val="20"/>
          <w:color w:val="auto"/>
        </w:rPr>
      </w:pPr>
      <w:r>
        <w:rPr>
          <w:rFonts w:ascii="Arial" w:cs="Arial" w:eastAsia="Arial" w:hAnsi="Arial"/>
          <w:sz w:val="18"/>
          <w:szCs w:val="18"/>
          <w:color w:val="auto"/>
        </w:rPr>
        <w:t>Equity compensation plans not approved by security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1440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200" w:type="dxa"/>
            <w:vAlign w:val="bottom"/>
          </w:tcPr>
          <w:p>
            <w:pPr>
              <w:spacing w:after="0"/>
              <w:rPr>
                <w:sz w:val="12"/>
                <w:szCs w:val="12"/>
                <w:color w:val="auto"/>
              </w:rPr>
            </w:pPr>
          </w:p>
        </w:tc>
        <w:tc>
          <w:tcPr>
            <w:tcW w:w="1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 and rights</w:t>
            </w:r>
          </w:p>
        </w:tc>
        <w:tc>
          <w:tcPr>
            <w:tcW w:w="20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reflected in column (1))</w:t>
            </w:r>
          </w:p>
        </w:tc>
        <w:tc>
          <w:tcPr>
            <w:tcW w:w="0" w:type="dxa"/>
            <w:vAlign w:val="bottom"/>
          </w:tcPr>
          <w:p>
            <w:pPr>
              <w:spacing w:after="0"/>
              <w:rPr>
                <w:sz w:val="1"/>
                <w:szCs w:val="1"/>
                <w:color w:val="auto"/>
              </w:rPr>
            </w:pPr>
          </w:p>
        </w:tc>
      </w:tr>
      <w:tr>
        <w:trPr>
          <w:trHeight w:val="17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371"/>
        </w:trPr>
        <w:tc>
          <w:tcPr>
            <w:tcW w:w="1480" w:type="dxa"/>
            <w:vAlign w:val="bottom"/>
          </w:tcPr>
          <w:p>
            <w:pPr>
              <w:jc w:val="right"/>
              <w:spacing w:after="0"/>
              <w:rPr>
                <w:sz w:val="20"/>
                <w:szCs w:val="20"/>
                <w:color w:val="auto"/>
              </w:rPr>
            </w:pPr>
            <w:r>
              <w:rPr>
                <w:rFonts w:ascii="Arial" w:cs="Arial" w:eastAsia="Arial" w:hAnsi="Arial"/>
                <w:sz w:val="18"/>
                <w:szCs w:val="18"/>
                <w:color w:val="auto"/>
              </w:rPr>
              <w:t>1,140,524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Arial" w:cs="Arial" w:eastAsia="Arial" w:hAnsi="Arial"/>
                <w:sz w:val="18"/>
                <w:szCs w:val="18"/>
                <w:color w:val="auto"/>
              </w:rPr>
              <w:t>651,800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23.88</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2,132,595</w:t>
            </w:r>
          </w:p>
        </w:tc>
        <w:tc>
          <w:tcPr>
            <w:tcW w:w="0" w:type="dxa"/>
            <w:vAlign w:val="bottom"/>
          </w:tcPr>
          <w:p>
            <w:pPr>
              <w:spacing w:after="0"/>
              <w:rPr>
                <w:sz w:val="1"/>
                <w:szCs w:val="1"/>
                <w:color w:val="auto"/>
              </w:rPr>
            </w:pPr>
          </w:p>
        </w:tc>
      </w:tr>
      <w:tr>
        <w:trPr>
          <w:trHeight w:val="324"/>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480" w:type="dxa"/>
            <w:vAlign w:val="bottom"/>
          </w:tcPr>
          <w:p>
            <w:pPr>
              <w:jc w:val="right"/>
              <w:spacing w:after="0"/>
              <w:rPr>
                <w:sz w:val="20"/>
                <w:szCs w:val="20"/>
                <w:color w:val="auto"/>
              </w:rPr>
            </w:pPr>
            <w:r>
              <w:rPr>
                <w:rFonts w:ascii="Arial" w:cs="Arial" w:eastAsia="Arial" w:hAnsi="Arial"/>
                <w:sz w:val="18"/>
                <w:szCs w:val="18"/>
                <w:color w:val="auto"/>
              </w:rPr>
              <w:t>1,792,324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2,132,595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-514350</wp:posOffset>
            </wp:positionV>
            <wp:extent cx="57543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-154305</wp:posOffset>
            </wp:positionV>
            <wp:extent cx="575437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-771525</wp:posOffset>
            </wp:positionV>
            <wp:extent cx="575437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200"/>
            <w:col w:w="4720"/>
          </w:cols>
          <w:pgMar w:left="1420" w:top="490" w:right="1419" w:bottom="1440" w:gutter="0" w:footer="0" w:header="0"/>
          <w:type w:val="continuous"/>
        </w:sectPr>
      </w:pPr>
    </w:p>
    <w:p>
      <w:pPr>
        <w:spacing w:after="0" w:line="1" w:lineRule="exact"/>
        <w:rPr>
          <w:sz w:val="20"/>
          <w:szCs w:val="20"/>
          <w:color w:val="auto"/>
        </w:rPr>
      </w:pPr>
    </w:p>
    <w:p>
      <w:pPr>
        <w:ind w:left="220" w:right="480" w:hanging="215"/>
        <w:spacing w:after="0" w:line="289" w:lineRule="auto"/>
        <w:rPr>
          <w:sz w:val="20"/>
          <w:szCs w:val="20"/>
          <w:color w:val="auto"/>
        </w:rPr>
      </w:pPr>
      <w:r>
        <w:rPr>
          <w:rFonts w:ascii="Arial" w:cs="Arial" w:eastAsia="Arial" w:hAnsi="Arial"/>
          <w:sz w:val="16"/>
          <w:szCs w:val="16"/>
          <w:color w:val="auto"/>
        </w:rPr>
        <w:t>(1)Effective upon the our initial public offering, no additional further options or awards may be granted under the 2012 Equity Compensation Plan; all outstanding stock awards will continue to be governed by their existing terms.</w:t>
      </w:r>
    </w:p>
    <w:p>
      <w:pPr>
        <w:spacing w:after="0" w:line="124" w:lineRule="exact"/>
        <w:rPr>
          <w:sz w:val="20"/>
          <w:szCs w:val="20"/>
          <w:color w:val="auto"/>
        </w:rPr>
      </w:pPr>
    </w:p>
    <w:p>
      <w:pPr>
        <w:ind w:left="220" w:right="520" w:hanging="215"/>
        <w:spacing w:after="0" w:line="289" w:lineRule="auto"/>
        <w:rPr>
          <w:sz w:val="20"/>
          <w:szCs w:val="20"/>
          <w:color w:val="auto"/>
        </w:rPr>
      </w:pPr>
      <w:r>
        <w:rPr>
          <w:rFonts w:ascii="Arial" w:cs="Arial" w:eastAsia="Arial" w:hAnsi="Arial"/>
          <w:sz w:val="16"/>
          <w:szCs w:val="16"/>
          <w:color w:val="auto"/>
        </w:rPr>
        <w:t>(2)Weighted average exercise price for the 2015 Plan gives effect to outstanding restricted stock units, which have no exercise price. Excluding the restricted stock units, the weighted average exercise price would be $26.03 per share.</w:t>
      </w:r>
    </w:p>
    <w:p>
      <w:pPr>
        <w:spacing w:after="0" w:line="124" w:lineRule="exact"/>
        <w:rPr>
          <w:sz w:val="20"/>
          <w:szCs w:val="20"/>
          <w:color w:val="auto"/>
        </w:rPr>
      </w:pPr>
    </w:p>
    <w:p>
      <w:pPr>
        <w:ind w:left="220" w:right="120" w:hanging="215"/>
        <w:spacing w:after="0" w:line="219" w:lineRule="auto"/>
        <w:rPr>
          <w:sz w:val="20"/>
          <w:szCs w:val="20"/>
          <w:color w:val="auto"/>
        </w:rPr>
      </w:pPr>
      <w:r>
        <w:rPr>
          <w:rFonts w:ascii="Arial" w:cs="Arial" w:eastAsia="Arial" w:hAnsi="Arial"/>
          <w:sz w:val="18"/>
          <w:szCs w:val="18"/>
          <w:color w:val="auto"/>
        </w:rPr>
        <w:t>(3)On January 1 of each year, the number of shares reserved under the 2015 Plan is automatically increased by 4% of the total number of shares of common stock that are outstanding at that time, or a lesser number of shares as may be determined by our Board. Pursuant to the terms of the 2015 Plan, an additional 806,300 shares were added to the number of available shares effective January 1, 2016.</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490" w:right="1419" w:bottom="1440" w:gutter="0" w:footer="0" w:header="0"/>
          <w:type w:val="continuous"/>
        </w:sectPr>
      </w:pPr>
    </w:p>
    <w:bookmarkStart w:id="30" w:name="page31"/>
    <w:bookmarkEnd w:id="30"/>
    <w:p>
      <w:pPr>
        <w:ind w:left="2920"/>
        <w:spacing w:after="0"/>
        <w:rPr>
          <w:sz w:val="20"/>
          <w:szCs w:val="20"/>
          <w:color w:val="auto"/>
        </w:rPr>
      </w:pPr>
      <w:r>
        <w:rPr>
          <w:rFonts w:ascii="Arial" w:cs="Arial" w:eastAsia="Arial" w:hAnsi="Arial"/>
          <w:sz w:val="22"/>
          <w:szCs w:val="22"/>
          <w:b w:val="1"/>
          <w:bCs w:val="1"/>
          <w:color w:val="auto"/>
        </w:rPr>
        <w:t>Transactions With Related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 and Procedures</w:t>
      </w:r>
    </w:p>
    <w:p>
      <w:pPr>
        <w:spacing w:after="0" w:line="14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Prior to our initial public offering, we had not had a formal policy regarding approval of transactions with related parties. Effective as of the completion of our initial public offering in October 2015, we have adopted a related person transaction policy that sets forth our procedures for the identification, review, consideration and approval or ratification of related person transactions that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independent body of our Board, takes into account the relevant available facts and circumstances including, but not limited to</w:t>
      </w:r>
      <w:r>
        <w:rPr>
          <w:rFonts w:ascii="Arial" w:cs="Arial" w:eastAsia="Arial" w:hAnsi="Arial"/>
          <w:sz w:val="21"/>
          <w:szCs w:val="21"/>
          <w:color w:val="auto"/>
        </w:rPr>
        <w:t>:</w:t>
      </w:r>
    </w:p>
    <w:p>
      <w:pPr>
        <w:spacing w:after="0" w:line="157"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risks, costs and benefits to us;</w:t>
      </w:r>
    </w:p>
    <w:p>
      <w:pPr>
        <w:ind w:left="380" w:right="80" w:hanging="53"/>
        <w:spacing w:after="0" w:line="203" w:lineRule="auto"/>
        <w:rPr>
          <w:sz w:val="20"/>
          <w:szCs w:val="20"/>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ind w:left="320"/>
        <w:spacing w:after="0" w:line="204" w:lineRule="auto"/>
        <w:rPr>
          <w:sz w:val="20"/>
          <w:szCs w:val="20"/>
          <w:color w:val="auto"/>
        </w:rPr>
      </w:pPr>
      <w:r>
        <w:rPr>
          <w:rFonts w:ascii="Arial" w:cs="Arial" w:eastAsia="Arial" w:hAnsi="Arial"/>
          <w:sz w:val="18"/>
          <w:szCs w:val="18"/>
          <w:color w:val="auto"/>
        </w:rPr>
        <w:t>· the availability of other sources for comparable services or products; and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16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Except as described below, there have been no transactions since January 1, 2015 to which we have been a participant in which the amount involved exceeded or will exceed $120,000, and in which any of our directors, executive officers or holders of more than 5% of our capital stock, or any members of their immediate family, had or will have a direct or indirect material interest, other than compensation arrangements which are described under “Executive Compensation” and “Non-Employee Director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Initial Public Offering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Funds affiliated with Vivo Ventures Fund VII, L.P., Sofinnova Venture Partners VIII, L.P., FMR LLC and RA Capital Management LLC, each of which was a holder of more than 5% of our common stock at the time of our initial public offering in October 2015, purchased an aggregate of 454,545 shares, 409,090 shares, 335,455 shares and 1,250,000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31" w:name="page32"/>
    <w:bookmarkEnd w:id="31"/>
    <w:p>
      <w:pPr>
        <w:jc w:val="both"/>
        <w:spacing w:after="0" w:line="235" w:lineRule="auto"/>
        <w:rPr>
          <w:sz w:val="20"/>
          <w:szCs w:val="20"/>
          <w:color w:val="auto"/>
        </w:rPr>
      </w:pPr>
      <w:r>
        <w:rPr>
          <w:rFonts w:ascii="Arial" w:cs="Arial" w:eastAsia="Arial" w:hAnsi="Arial"/>
          <w:sz w:val="18"/>
          <w:szCs w:val="18"/>
          <w:color w:val="auto"/>
        </w:rPr>
        <w:t>respectively, of our common stock in our initial public offering. All shares were purchased at the initial public offering price to the public of $11.00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Series C Redeemable Convertible Preferred Stock</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August 2015, we sold an aggregate of 12,944,984 shares of our Series C convertible preferred stock at a price of $3.09 per share for an aggregate price of $40.0 million, 8,188,959 shares of which were sold to holders of more than 5% of our voting securities, executive officers and members of our Board. Upon the closing of our initial public offering, each share of Series C convertible preferred stock converted into 0.289255 shares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these sales:</w:t>
      </w:r>
    </w:p>
    <w:p>
      <w:pPr>
        <w:sectPr>
          <w:pgSz w:w="11900" w:h="16838" w:orient="portrait"/>
          <w:cols w:equalWidth="0" w:num="1">
            <w:col w:w="9060"/>
          </w:cols>
          <w:pgMar w:left="1420" w:top="28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75437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Entities affiliated with Vivo Ventures Fund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Beacon Bioventures Fund III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Sofinnova Venture Partners VIII, L.P.</w:t>
      </w:r>
    </w:p>
    <w:p>
      <w:pPr>
        <w:spacing w:after="0" w:line="231" w:lineRule="auto"/>
        <w:rPr>
          <w:sz w:val="20"/>
          <w:szCs w:val="20"/>
          <w:color w:val="auto"/>
        </w:rPr>
      </w:pPr>
      <w:r>
        <w:rPr>
          <w:rFonts w:ascii="Arial" w:cs="Arial" w:eastAsia="Arial" w:hAnsi="Arial"/>
          <w:sz w:val="18"/>
          <w:szCs w:val="18"/>
          <w:color w:val="auto"/>
        </w:rPr>
        <w:t>Entities affiliated with 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Stephen A. Tullman</w:t>
      </w:r>
      <w:r>
        <w:rPr>
          <w:rFonts w:ascii="Arial" w:cs="Arial" w:eastAsia="Arial" w:hAnsi="Arial"/>
          <w:sz w:val="8"/>
          <w:szCs w:val="8"/>
          <w:color w:val="auto"/>
        </w:rPr>
        <w:t>(1)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2" w:lineRule="exact"/>
        <w:rPr>
          <w:sz w:val="20"/>
          <w:szCs w:val="20"/>
          <w:color w:val="auto"/>
        </w:rPr>
      </w:pPr>
    </w:p>
    <w:p>
      <w:pPr>
        <w:spacing w:after="0" w:line="430" w:lineRule="auto"/>
        <w:rPr>
          <w:sz w:val="20"/>
          <w:szCs w:val="20"/>
          <w:color w:val="auto"/>
        </w:rPr>
      </w:pPr>
      <w:r>
        <w:rPr>
          <w:rFonts w:ascii="Arial" w:cs="Arial" w:eastAsia="Arial" w:hAnsi="Arial"/>
          <w:sz w:val="18"/>
          <w:szCs w:val="18"/>
          <w:color w:val="auto"/>
        </w:rPr>
        <w:t xml:space="preserve">(1) Consists of shares held by a trust of which Mr. Tullman's wife is the trustee. </w:t>
      </w:r>
      <w:r>
        <w:rPr>
          <w:rFonts w:ascii="Arial" w:cs="Arial" w:eastAsia="Arial" w:hAnsi="Arial"/>
          <w:sz w:val="18"/>
          <w:szCs w:val="18"/>
          <w:b w:val="1"/>
          <w:bCs w:val="1"/>
          <w:color w:val="auto"/>
        </w:rPr>
        <w:t>Investors' Rights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Shares of Series C</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 Purchased</w:t>
            </w:r>
          </w:p>
        </w:tc>
        <w:tc>
          <w:tcPr>
            <w:tcW w:w="1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95"/>
        </w:trPr>
        <w:tc>
          <w:tcPr>
            <w:tcW w:w="1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1,375,405</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4,250,000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1,496,764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2,063,107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3,236,246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17,437</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53,880</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8,188,959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25,303,880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44" w:lineRule="exact"/>
        <w:rPr>
          <w:sz w:val="20"/>
          <w:szCs w:val="20"/>
          <w:color w:val="auto"/>
        </w:rPr>
      </w:pPr>
    </w:p>
    <w:p>
      <w:pPr>
        <w:sectPr>
          <w:pgSz w:w="11900" w:h="16838" w:orient="portrait"/>
          <w:cols w:equalWidth="0" w:num="2">
            <w:col w:w="5800" w:space="20"/>
            <w:col w:w="3240"/>
          </w:cols>
          <w:pgMar w:left="1420" w:top="287" w:right="1419" w:bottom="1440" w:gutter="0" w:footer="0" w:header="0"/>
          <w:type w:val="continuous"/>
        </w:sectPr>
      </w:pPr>
    </w:p>
    <w:p>
      <w:pPr>
        <w:jc w:val="both"/>
        <w:spacing w:after="0" w:line="236" w:lineRule="auto"/>
        <w:rPr>
          <w:sz w:val="20"/>
          <w:szCs w:val="20"/>
          <w:color w:val="auto"/>
        </w:rPr>
      </w:pPr>
      <w:r>
        <w:rPr>
          <w:rFonts w:ascii="Arial" w:cs="Arial" w:eastAsia="Arial" w:hAnsi="Arial"/>
          <w:sz w:val="16"/>
          <w:szCs w:val="16"/>
          <w:color w:val="auto"/>
        </w:rPr>
        <w:t>In connection with the Series C convertible preferred stock financing described above, we entered into an investors' rights agreement with the holders of preferred stock, including each of the persons and entities listed in the table above. Pursuant to this agreement, we have granted rights to register the resale of their shares. The provisions of this agreement other than those relating to registration rights terminated upon the completion of our initial public offering. The surviving provisions of this agreement provide those holders with customary demand and piggyback registration rights with respect to the shares of common stock currently held by them and that were issuable to them upon conversion of our convertible preferred stock in connection with our initial public offering. Registration rights terminate upon the earlier of the fifth anniversary of our initial public offering in October 2020, or, with respect to a particular holder, at such time as the holder and its affiliates may sell all of their shares of common stock pursuant to Rule 144 under the Securities Act, without any restrictions on volume.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Agreements</w:t>
      </w:r>
    </w:p>
    <w:p>
      <w:pPr>
        <w:spacing w:after="0" w:line="18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February 2014, we entered into a services agreement with NST, LLC (the “NST services agreement”), pursuant to which NST, LLC provided us with pharmaceutical development, management and other administrative services, and we provided services to NST, LLC. Steve Tullman, our Chairman, is the manager of NST, LLC and Ms. Ali-Jackson is the Chief Legal Officer of NST, LLC. In addition, several of our directors and executive officers are members of NST, LLC, including Mr. Tullman, Neal Walker, Frank Ruffo and Kamil Ali-Jackson. These directors and executive officers in the aggregate own approximately 44% of the membership interests in NST, LLC.</w:t>
      </w:r>
    </w:p>
    <w:p>
      <w:pPr>
        <w:spacing w:after="0" w:line="12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NST services agreement was amended in January 2015 pursuant to which NST, LLC assigned all interests, rights, duties and obligations under the NST services agreement to NST Consulting, LLC, a wholly owned subsidiary of NST, LLC. Mr. Tullman is also the manager of NST Consulting, LLC. The NST services agreement was further amended in August 2015, November 2015 and January 2016 to adjust the amount of services we are obligated to provide to NST Consulting, LLC and the amount of services NST Consulting, LLC is obligated to provide to us.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terms of the NST services agreement, as amended, NST Consulting, LLC provides us with the part-time services of some NST Consulting, LLC employees and we are obligated to pay NST Consulting, LLC a monthly service fee of $39,800, including benefits-related expenses. In addition, we have agreed to indemnify NST Consulting, LLC and 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type w:val="continuous"/>
        </w:sectPr>
      </w:pPr>
    </w:p>
    <w:bookmarkStart w:id="32" w:name="page33"/>
    <w:bookmarkEnd w:id="32"/>
    <w:p>
      <w:pPr>
        <w:jc w:val="both"/>
        <w:spacing w:after="0" w:line="219" w:lineRule="auto"/>
        <w:rPr>
          <w:sz w:val="20"/>
          <w:szCs w:val="20"/>
          <w:color w:val="auto"/>
        </w:rPr>
      </w:pPr>
      <w:r>
        <w:rPr>
          <w:rFonts w:ascii="Arial" w:cs="Arial" w:eastAsia="Arial" w:hAnsi="Arial"/>
          <w:sz w:val="18"/>
          <w:szCs w:val="18"/>
          <w:color w:val="auto"/>
        </w:rPr>
        <w:t>officers, employees and directors against all losses (i) arising out of, due to or in connection with the provision of services under the NST services agreement, subject to specified exceptions, and (ii) resulting from our or our affiliates' gross negligence or intentional misconduct. The NST services agreement may be terminated by either party upon 30 days' written notice.</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through NST Consulting, LLC, we provide the part-time services of some of our executive officers and employees to Ralexar Therapeutics, Inc., a company under common control with us, and NST Consulting, LLC reimburses us for the services of these executive officers and employees to Ralexar Therapeutics, Inc. Specifically, NST Consulting, LLC reimburses us for 10% of the salaries of each of Mr. Powala and Dr. Shanler, plus 25% of the reimbursed amount to cover these executive officers’ benefits related expenses. The total personnel reimbursements from NST Consulting, LLC equal an aggregate payment of $10,675 per month. Our directors and executive officers in the aggregate own approximately 21% of Ralexar Therapeutics, Inc</w:t>
      </w:r>
      <w:r>
        <w:rPr>
          <w:rFonts w:ascii="Arial" w:cs="Arial" w:eastAsia="Arial" w:hAnsi="Arial"/>
          <w:sz w:val="21"/>
          <w:szCs w:val="21"/>
          <w:color w:val="auto"/>
        </w:rPr>
        <w:t>.</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year ended December 31, 2015, the reimbursements to us from NST Consulting, LLC aggregated $552,913, and the reimbursements from us to NST Consulting, LLC aggregated $506,133.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Subleases</w:t>
      </w:r>
    </w:p>
    <w:p>
      <w:pPr>
        <w:spacing w:after="0" w:line="18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March 2014, we entered into an Amended and Restated Sublease with NeXeption, Inc., which was subsequently amended in December 2014 and August 2015. Mr. Tullman is the President and Chief Executive Officer and owns 50.0% of the ownership interests of NeXeption, Inc. and Ms. Ali-Jackson is the Chief Legal Officer of NeXeption, Inc. In August 2015, pursuant to an Assignment and Assumption Agreement, NeXeption, Inc. assigned all interests, rights, duties and obligations under the Amended and Restated Sublease to NST Consulting, LLC.</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 ended December 31, 2015, we made aggregate payments pursuant to these sublease agreements with NST Consulting, LLC of $123,960</w:t>
      </w:r>
      <w:r>
        <w:rPr>
          <w:rFonts w:ascii="Arial" w:cs="Arial" w:eastAsia="Arial" w:hAnsi="Arial"/>
          <w:sz w:val="21"/>
          <w:szCs w:val="2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have entered into indemnity agreements with our executive officers and directors which provide, among other things, that we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officer or other agent, and otherwise to the fullest extent permitted under Delaware law and our bylaws.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7" w:right="141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Householding of Proxy Materials</w:t>
      </w:r>
    </w:p>
    <w:p>
      <w:pPr>
        <w:spacing w:after="0" w:line="19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6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Brokers with account holders who are our stockholders will be “householding” the Company’s proxy materials. A single set of Annual Meeting materials will be delivered to multiple stockholders sharing an address unless contrary instructions have been received from the affected stockholders. If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direct your written request to Aclaris Therapeutics, Inc., Attn: Corporate Secretary, 101 Lindenwood Drive, Suite 400, Malvern, Pennsylvania 19355. Stockholders who currently receive multiple copies of the Annual Meeting materials at their addresses and would like to request “householding” of their communications should contact their brokers.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74" w:right="141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Other Matters</w:t>
      </w:r>
    </w:p>
    <w:p>
      <w:pPr>
        <w:spacing w:after="0" w:line="19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135255</wp:posOffset>
            </wp:positionV>
            <wp:extent cx="1629410" cy="617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94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Kamil Ali-Jackson</w:t>
      </w:r>
    </w:p>
    <w:p>
      <w:pPr>
        <w:ind w:left="4540"/>
        <w:spacing w:after="0"/>
        <w:rPr>
          <w:sz w:val="20"/>
          <w:szCs w:val="20"/>
          <w:color w:val="auto"/>
        </w:rPr>
      </w:pPr>
      <w:r>
        <w:rPr>
          <w:rFonts w:ascii="Arial" w:cs="Arial" w:eastAsia="Arial" w:hAnsi="Arial"/>
          <w:sz w:val="18"/>
          <w:szCs w:val="18"/>
          <w:color w:val="auto"/>
        </w:rPr>
        <w:t>Secretary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May 20, 2016</w:t>
      </w:r>
    </w:p>
    <w:p>
      <w:pPr>
        <w:spacing w:after="0" w:line="28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A copy of the Company’s Annual Report to the Securities and Exchange Commission on Form 10-K for the fiscal year ended December 31, 2015 is available without charge upon written request to: Corporate Secretary, Aclaris Therapeutics, Inc., 101 Lindenwood Drive, Suite 400, Malvern, Pennsylvania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490" w:right="1419"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320675</wp:posOffset>
            </wp:positionV>
            <wp:extent cx="6388735" cy="8112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208915</wp:posOffset>
            </wp:positionV>
            <wp:extent cx="5908675" cy="764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08675" cy="764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0"/>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2019-12-08T23:51:04Z</dcterms:created>
  <dcterms:modified xsi:type="dcterms:W3CDTF">2019-12-08T23:51:04Z</dcterms:modified>
</cp:coreProperties>
</file>