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4"/>
          <w:szCs w:val="24"/>
          <w:color w:val="auto"/>
        </w:rPr>
      </w:pPr>
    </w:p>
    <w:p>
      <w:pPr>
        <w:ind w:left="6760" w:right="1000" w:hanging="4846"/>
        <w:spacing w:after="0" w:line="336" w:lineRule="auto"/>
        <w:rPr>
          <w:sz w:val="20"/>
          <w:szCs w:val="20"/>
          <w:color w:val="auto"/>
        </w:rPr>
      </w:pPr>
      <w:r>
        <w:rPr>
          <w:rFonts w:ascii="Arial" w:cs="Arial" w:eastAsia="Arial" w:hAnsi="Arial"/>
          <w:sz w:val="16"/>
          <w:szCs w:val="16"/>
          <w:b w:val="1"/>
          <w:bCs w:val="1"/>
          <w:color w:val="auto"/>
        </w:rPr>
        <w:t>As filed with the Securities and Exchange Commission on June 17, 2016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5960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73025</wp:posOffset>
            </wp:positionV>
            <wp:extent cx="1483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w:t>
      </w:r>
    </w:p>
    <w:p>
      <w:pPr>
        <w:jc w:val="center"/>
        <w:ind w:right="20"/>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74295</wp:posOffset>
            </wp:positionV>
            <wp:extent cx="1483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Aclaris Therapeutics, Inc.</w:t>
      </w:r>
    </w:p>
    <w:p>
      <w:pPr>
        <w:sectPr>
          <w:pgSz w:w="11900" w:h="16838" w:orient="portrait"/>
          <w:cols w:equalWidth="0" w:num="1">
            <w:col w:w="9400"/>
          </w:cols>
          <w:pgMar w:left="1260" w:top="233" w:right="1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left="680"/>
        <w:spacing w:after="0"/>
        <w:rPr>
          <w:sz w:val="20"/>
          <w:szCs w:val="20"/>
          <w:color w:val="auto"/>
        </w:rPr>
      </w:pPr>
      <w:r>
        <w:rPr>
          <w:rFonts w:ascii="Arial" w:cs="Arial" w:eastAsia="Arial" w:hAnsi="Arial"/>
          <w:sz w:val="14"/>
          <w:szCs w:val="14"/>
          <w:b w:val="1"/>
          <w:bCs w:val="1"/>
          <w:color w:val="auto"/>
        </w:rPr>
        <w:t>Delaware</w:t>
      </w:r>
    </w:p>
    <w:p>
      <w:pPr>
        <w:spacing w:after="0" w:line="92" w:lineRule="exact"/>
        <w:rPr>
          <w:sz w:val="24"/>
          <w:szCs w:val="24"/>
          <w:color w:val="auto"/>
        </w:rPr>
      </w:pPr>
    </w:p>
    <w:p>
      <w:pPr>
        <w:jc w:val="both"/>
        <w:ind w:left="680" w:firstLine="38"/>
        <w:spacing w:after="0" w:line="321" w:lineRule="auto"/>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3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wp:posOffset>
            </wp:positionH>
            <wp:positionV relativeFrom="paragraph">
              <wp:posOffset>60325</wp:posOffset>
            </wp:positionV>
            <wp:extent cx="1483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33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jc w:val="center"/>
              <w:ind w:left="530"/>
              <w:spacing w:after="0"/>
              <w:rPr>
                <w:sz w:val="20"/>
                <w:szCs w:val="20"/>
                <w:color w:val="auto"/>
              </w:rPr>
            </w:pPr>
            <w:r>
              <w:rPr>
                <w:rFonts w:ascii="Arial" w:cs="Arial" w:eastAsia="Arial" w:hAnsi="Arial"/>
                <w:sz w:val="14"/>
                <w:szCs w:val="14"/>
                <w:b w:val="1"/>
                <w:bCs w:val="1"/>
                <w:color w:val="auto"/>
                <w:w w:val="89"/>
              </w:rPr>
              <w:t>2834</w:t>
            </w:r>
          </w:p>
        </w:tc>
        <w:tc>
          <w:tcPr>
            <w:tcW w:w="960" w:type="dxa"/>
            <w:vAlign w:val="bottom"/>
          </w:tcPr>
          <w:p>
            <w:pPr>
              <w:spacing w:after="0"/>
              <w:rPr>
                <w:sz w:val="14"/>
                <w:szCs w:val="14"/>
                <w:color w:val="auto"/>
              </w:rPr>
            </w:pPr>
          </w:p>
        </w:tc>
        <w:tc>
          <w:tcPr>
            <w:tcW w:w="1660" w:type="dxa"/>
            <w:vAlign w:val="bottom"/>
          </w:tcPr>
          <w:p>
            <w:pPr>
              <w:jc w:val="center"/>
              <w:ind w:left="251"/>
              <w:spacing w:after="0"/>
              <w:rPr>
                <w:sz w:val="20"/>
                <w:szCs w:val="20"/>
                <w:color w:val="auto"/>
              </w:rPr>
            </w:pPr>
            <w:r>
              <w:rPr>
                <w:rFonts w:ascii="Arial" w:cs="Arial" w:eastAsia="Arial" w:hAnsi="Arial"/>
                <w:sz w:val="14"/>
                <w:szCs w:val="14"/>
                <w:b w:val="1"/>
                <w:bCs w:val="1"/>
                <w:color w:val="auto"/>
                <w:w w:val="93"/>
              </w:rPr>
              <w:t>46-0571712</w:t>
            </w: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 w:type="dxa"/>
            <w:vAlign w:val="bottom"/>
          </w:tcPr>
          <w:p>
            <w:pPr>
              <w:spacing w:after="0"/>
              <w:rPr>
                <w:sz w:val="15"/>
                <w:szCs w:val="15"/>
                <w:color w:val="auto"/>
              </w:rPr>
            </w:pPr>
          </w:p>
        </w:tc>
        <w:tc>
          <w:tcPr>
            <w:tcW w:w="33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251"/>
              <w:spacing w:after="0"/>
              <w:rPr>
                <w:sz w:val="20"/>
                <w:szCs w:val="20"/>
                <w:color w:val="auto"/>
              </w:rPr>
            </w:pPr>
            <w:r>
              <w:rPr>
                <w:rFonts w:ascii="Arial" w:cs="Arial" w:eastAsia="Arial" w:hAnsi="Arial"/>
                <w:sz w:val="14"/>
                <w:szCs w:val="14"/>
                <w:b w:val="1"/>
                <w:bCs w:val="1"/>
                <w:color w:val="auto"/>
                <w:w w:val="90"/>
              </w:rPr>
              <w:t>Identification Number)</w:t>
            </w:r>
          </w:p>
        </w:tc>
      </w:tr>
      <w:tr>
        <w:trPr>
          <w:trHeight w:val="329"/>
        </w:trPr>
        <w:tc>
          <w:tcPr>
            <w:tcW w:w="620" w:type="dxa"/>
            <w:vAlign w:val="bottom"/>
          </w:tcPr>
          <w:p>
            <w:pPr>
              <w:spacing w:after="0"/>
              <w:rPr>
                <w:sz w:val="24"/>
                <w:szCs w:val="24"/>
                <w:color w:val="auto"/>
              </w:rPr>
            </w:pPr>
          </w:p>
        </w:tc>
        <w:tc>
          <w:tcPr>
            <w:tcW w:w="33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101 Lindenwood Drive, Suite 400</w:t>
            </w:r>
          </w:p>
        </w:tc>
        <w:tc>
          <w:tcPr>
            <w:tcW w:w="1660" w:type="dxa"/>
            <w:vAlign w:val="bottom"/>
          </w:tcPr>
          <w:p>
            <w:pPr>
              <w:spacing w:after="0"/>
              <w:rPr>
                <w:sz w:val="24"/>
                <w:szCs w:val="24"/>
                <w:color w:val="auto"/>
              </w:rPr>
            </w:pP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5"/>
              </w:rPr>
              <w:t>Malvern, PA 19355</w:t>
            </w:r>
          </w:p>
        </w:tc>
        <w:tc>
          <w:tcPr>
            <w:tcW w:w="1660" w:type="dxa"/>
            <w:vAlign w:val="bottom"/>
          </w:tcPr>
          <w:p>
            <w:pPr>
              <w:spacing w:after="0"/>
              <w:rPr>
                <w:sz w:val="12"/>
                <w:szCs w:val="12"/>
                <w:color w:val="auto"/>
              </w:rPr>
            </w:pPr>
          </w:p>
        </w:tc>
      </w:tr>
      <w:tr>
        <w:trPr>
          <w:trHeight w:val="186"/>
        </w:trPr>
        <w:tc>
          <w:tcPr>
            <w:tcW w:w="29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3"/>
              </w:rPr>
              <w:t>(484) 324-7933</w:t>
            </w: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9"/>
        </w:trPr>
        <w:tc>
          <w:tcPr>
            <w:tcW w:w="3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(Address, including zip code, and telephone number, including</w:t>
            </w:r>
          </w:p>
        </w:tc>
        <w:tc>
          <w:tcPr>
            <w:tcW w:w="1660" w:type="dxa"/>
            <w:vAlign w:val="bottom"/>
          </w:tcPr>
          <w:p>
            <w:pPr>
              <w:spacing w:after="0"/>
              <w:rPr>
                <w:sz w:val="23"/>
                <w:szCs w:val="23"/>
                <w:color w:val="auto"/>
              </w:rPr>
            </w:pPr>
          </w:p>
        </w:tc>
      </w:tr>
      <w:tr>
        <w:trPr>
          <w:trHeight w:val="174"/>
        </w:trPr>
        <w:tc>
          <w:tcPr>
            <w:tcW w:w="3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area code, of registrant’s principal executive offices)</w:t>
            </w:r>
          </w:p>
        </w:tc>
        <w:tc>
          <w:tcPr>
            <w:tcW w:w="1660" w:type="dxa"/>
            <w:vAlign w:val="bottom"/>
          </w:tcPr>
          <w:p>
            <w:pPr>
              <w:spacing w:after="0"/>
              <w:rPr>
                <w:sz w:val="15"/>
                <w:szCs w:val="15"/>
                <w:color w:val="auto"/>
              </w:rPr>
            </w:pPr>
          </w:p>
        </w:tc>
      </w:tr>
      <w:tr>
        <w:trPr>
          <w:trHeight w:val="95"/>
        </w:trPr>
        <w:tc>
          <w:tcPr>
            <w:tcW w:w="6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27"/>
        </w:trPr>
        <w:tc>
          <w:tcPr>
            <w:tcW w:w="620" w:type="dxa"/>
            <w:vAlign w:val="bottom"/>
          </w:tcPr>
          <w:p>
            <w:pPr>
              <w:spacing w:after="0"/>
              <w:rPr>
                <w:sz w:val="19"/>
                <w:szCs w:val="19"/>
                <w:color w:val="auto"/>
              </w:rPr>
            </w:pPr>
          </w:p>
        </w:tc>
        <w:tc>
          <w:tcPr>
            <w:tcW w:w="33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5"/>
              </w:rPr>
              <w:t>Neal Walker</w:t>
            </w:r>
          </w:p>
        </w:tc>
        <w:tc>
          <w:tcPr>
            <w:tcW w:w="1660" w:type="dxa"/>
            <w:vAlign w:val="bottom"/>
          </w:tcPr>
          <w:p>
            <w:pPr>
              <w:spacing w:after="0"/>
              <w:rPr>
                <w:sz w:val="19"/>
                <w:szCs w:val="19"/>
                <w:color w:val="auto"/>
              </w:rPr>
            </w:pP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166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Aclaris Therapeutics, Inc.</w:t>
            </w:r>
          </w:p>
        </w:tc>
        <w:tc>
          <w:tcPr>
            <w:tcW w:w="166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101 Lindenwood Drive, Suite 400</w:t>
            </w:r>
          </w:p>
        </w:tc>
        <w:tc>
          <w:tcPr>
            <w:tcW w:w="166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3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5"/>
              </w:rPr>
              <w:t>Malvern, PA 19355</w:t>
            </w:r>
          </w:p>
        </w:tc>
        <w:tc>
          <w:tcPr>
            <w:tcW w:w="1660" w:type="dxa"/>
            <w:vAlign w:val="bottom"/>
          </w:tcPr>
          <w:p>
            <w:pPr>
              <w:spacing w:after="0"/>
              <w:rPr>
                <w:sz w:val="12"/>
                <w:szCs w:val="12"/>
                <w:color w:val="auto"/>
              </w:rPr>
            </w:pPr>
          </w:p>
        </w:tc>
      </w:tr>
      <w:tr>
        <w:trPr>
          <w:trHeight w:val="186"/>
        </w:trPr>
        <w:tc>
          <w:tcPr>
            <w:tcW w:w="2960" w:type="dxa"/>
            <w:vAlign w:val="bottom"/>
            <w:gridSpan w:val="2"/>
          </w:tcPr>
          <w:p>
            <w:pPr>
              <w:jc w:val="center"/>
              <w:ind w:left="550"/>
              <w:spacing w:after="0"/>
              <w:rPr>
                <w:sz w:val="20"/>
                <w:szCs w:val="20"/>
                <w:color w:val="auto"/>
              </w:rPr>
            </w:pPr>
            <w:r>
              <w:rPr>
                <w:rFonts w:ascii="Arial" w:cs="Arial" w:eastAsia="Arial" w:hAnsi="Arial"/>
                <w:sz w:val="14"/>
                <w:szCs w:val="14"/>
                <w:b w:val="1"/>
                <w:bCs w:val="1"/>
                <w:color w:val="auto"/>
                <w:w w:val="93"/>
              </w:rPr>
              <w:t>(484) 324-7933</w:t>
            </w: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spacing w:after="0" w:line="121" w:lineRule="exact"/>
        <w:rPr>
          <w:sz w:val="24"/>
          <w:szCs w:val="24"/>
          <w:color w:val="auto"/>
        </w:rPr>
      </w:pPr>
    </w:p>
    <w:p>
      <w:pPr>
        <w:sectPr>
          <w:pgSz w:w="11900" w:h="16838" w:orient="portrait"/>
          <w:cols w:equalWidth="0" w:num="2">
            <w:col w:w="2440" w:space="460"/>
            <w:col w:w="6500"/>
          </w:cols>
          <w:pgMar w:left="1260" w:top="233" w:right="1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68580</wp:posOffset>
            </wp:positionV>
            <wp:extent cx="1483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6"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740" w:type="dxa"/>
            <w:vAlign w:val="bottom"/>
          </w:tcPr>
          <w:p>
            <w:pPr>
              <w:ind w:left="1400"/>
              <w:spacing w:after="0"/>
              <w:rPr>
                <w:sz w:val="20"/>
                <w:szCs w:val="20"/>
                <w:color w:val="auto"/>
              </w:rPr>
            </w:pPr>
            <w:r>
              <w:rPr>
                <w:rFonts w:ascii="Arial" w:cs="Arial" w:eastAsia="Arial" w:hAnsi="Arial"/>
                <w:sz w:val="18"/>
                <w:szCs w:val="18"/>
                <w:b w:val="1"/>
                <w:bCs w:val="1"/>
                <w:i w:val="1"/>
                <w:iCs w:val="1"/>
                <w:color w:val="auto"/>
              </w:rPr>
              <w:t>Copies to:</w:t>
            </w:r>
          </w:p>
        </w:tc>
        <w:tc>
          <w:tcPr>
            <w:tcW w:w="0" w:type="dxa"/>
            <w:vAlign w:val="bottom"/>
          </w:tcPr>
          <w:p>
            <w:pPr>
              <w:spacing w:after="0"/>
              <w:rPr>
                <w:sz w:val="1"/>
                <w:szCs w:val="1"/>
                <w:color w:val="auto"/>
              </w:rPr>
            </w:pPr>
          </w:p>
        </w:tc>
      </w:tr>
      <w:tr>
        <w:trPr>
          <w:trHeight w:val="436"/>
        </w:trPr>
        <w:tc>
          <w:tcPr>
            <w:tcW w:w="2000" w:type="dxa"/>
            <w:vAlign w:val="bottom"/>
          </w:tcPr>
          <w:p>
            <w:pPr>
              <w:jc w:val="center"/>
              <w:ind w:right="608"/>
              <w:spacing w:after="0"/>
              <w:rPr>
                <w:sz w:val="20"/>
                <w:szCs w:val="20"/>
                <w:color w:val="auto"/>
              </w:rPr>
            </w:pPr>
            <w:r>
              <w:rPr>
                <w:rFonts w:ascii="Arial" w:cs="Arial" w:eastAsia="Arial" w:hAnsi="Arial"/>
                <w:sz w:val="14"/>
                <w:szCs w:val="14"/>
                <w:b w:val="1"/>
                <w:bCs w:val="1"/>
                <w:color w:val="auto"/>
                <w:w w:val="94"/>
              </w:rPr>
              <w:t>Brent B. Siler</w:t>
            </w:r>
          </w:p>
        </w:tc>
        <w:tc>
          <w:tcPr>
            <w:tcW w:w="2740" w:type="dxa"/>
            <w:vAlign w:val="bottom"/>
            <w:vMerge w:val="restart"/>
          </w:tcPr>
          <w:p>
            <w:pPr>
              <w:jc w:val="center"/>
              <w:ind w:left="625"/>
              <w:spacing w:after="0"/>
              <w:rPr>
                <w:sz w:val="20"/>
                <w:szCs w:val="20"/>
                <w:color w:val="auto"/>
              </w:rPr>
            </w:pPr>
            <w:r>
              <w:rPr>
                <w:rFonts w:ascii="Arial" w:cs="Arial" w:eastAsia="Arial" w:hAnsi="Arial"/>
                <w:sz w:val="14"/>
                <w:szCs w:val="14"/>
                <w:b w:val="1"/>
                <w:bCs w:val="1"/>
                <w:color w:val="auto"/>
                <w:w w:val="96"/>
              </w:rPr>
              <w:t>Kamil Ali-Jackson</w:t>
            </w:r>
          </w:p>
        </w:tc>
        <w:tc>
          <w:tcPr>
            <w:tcW w:w="0" w:type="dxa"/>
            <w:vAlign w:val="bottom"/>
          </w:tcPr>
          <w:p>
            <w:pPr>
              <w:spacing w:after="0"/>
              <w:rPr>
                <w:sz w:val="1"/>
                <w:szCs w:val="1"/>
                <w:color w:val="auto"/>
              </w:rPr>
            </w:pPr>
          </w:p>
        </w:tc>
      </w:tr>
      <w:tr>
        <w:trPr>
          <w:trHeight w:val="81"/>
        </w:trPr>
        <w:tc>
          <w:tcPr>
            <w:tcW w:w="2000" w:type="dxa"/>
            <w:vAlign w:val="bottom"/>
            <w:vMerge w:val="restart"/>
          </w:tcPr>
          <w:p>
            <w:pPr>
              <w:jc w:val="center"/>
              <w:ind w:right="628"/>
              <w:spacing w:after="0" w:line="149" w:lineRule="exact"/>
              <w:rPr>
                <w:sz w:val="20"/>
                <w:szCs w:val="20"/>
                <w:color w:val="auto"/>
              </w:rPr>
            </w:pPr>
            <w:r>
              <w:rPr>
                <w:rFonts w:ascii="Arial" w:cs="Arial" w:eastAsia="Arial" w:hAnsi="Arial"/>
                <w:sz w:val="14"/>
                <w:szCs w:val="14"/>
                <w:b w:val="1"/>
                <w:bCs w:val="1"/>
                <w:color w:val="auto"/>
                <w:w w:val="96"/>
              </w:rPr>
              <w:t>Brian F. Leaf</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vMerge w:val="restart"/>
          </w:tcPr>
          <w:p>
            <w:pPr>
              <w:jc w:val="center"/>
              <w:ind w:left="625"/>
              <w:spacing w:after="0" w:line="149" w:lineRule="exact"/>
              <w:rPr>
                <w:sz w:val="20"/>
                <w:szCs w:val="20"/>
                <w:color w:val="auto"/>
              </w:rPr>
            </w:pPr>
            <w:r>
              <w:rPr>
                <w:rFonts w:ascii="Arial" w:cs="Arial" w:eastAsia="Arial" w:hAnsi="Arial"/>
                <w:sz w:val="14"/>
                <w:szCs w:val="14"/>
                <w:b w:val="1"/>
                <w:bCs w:val="1"/>
                <w:color w:val="auto"/>
                <w:w w:val="96"/>
              </w:rPr>
              <w:t>Chief Legal Officer</w:t>
            </w:r>
          </w:p>
        </w:tc>
        <w:tc>
          <w:tcPr>
            <w:tcW w:w="0" w:type="dxa"/>
            <w:vAlign w:val="bottom"/>
          </w:tcPr>
          <w:p>
            <w:pPr>
              <w:spacing w:after="0"/>
              <w:rPr>
                <w:sz w:val="1"/>
                <w:szCs w:val="1"/>
                <w:color w:val="auto"/>
              </w:rPr>
            </w:pPr>
          </w:p>
        </w:tc>
      </w:tr>
      <w:tr>
        <w:trPr>
          <w:trHeight w:val="81"/>
        </w:trPr>
        <w:tc>
          <w:tcPr>
            <w:tcW w:w="2000" w:type="dxa"/>
            <w:vAlign w:val="bottom"/>
            <w:vMerge w:val="restart"/>
          </w:tcPr>
          <w:p>
            <w:pPr>
              <w:jc w:val="center"/>
              <w:ind w:right="628"/>
              <w:spacing w:after="0" w:line="149" w:lineRule="exact"/>
              <w:rPr>
                <w:sz w:val="20"/>
                <w:szCs w:val="20"/>
                <w:color w:val="auto"/>
              </w:rPr>
            </w:pPr>
            <w:r>
              <w:rPr>
                <w:rFonts w:ascii="Arial" w:cs="Arial" w:eastAsia="Arial" w:hAnsi="Arial"/>
                <w:sz w:val="14"/>
                <w:szCs w:val="14"/>
                <w:b w:val="1"/>
                <w:bCs w:val="1"/>
                <w:color w:val="auto"/>
                <w:w w:val="98"/>
              </w:rPr>
              <w:t>Mark Ballantyne</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vMerge w:val="restart"/>
          </w:tcPr>
          <w:p>
            <w:pPr>
              <w:jc w:val="center"/>
              <w:ind w:left="625"/>
              <w:spacing w:after="0" w:line="149" w:lineRule="exact"/>
              <w:rPr>
                <w:sz w:val="20"/>
                <w:szCs w:val="20"/>
                <w:color w:val="auto"/>
              </w:rPr>
            </w:pPr>
            <w:r>
              <w:rPr>
                <w:rFonts w:ascii="Arial" w:cs="Arial" w:eastAsia="Arial" w:hAnsi="Arial"/>
                <w:sz w:val="14"/>
                <w:szCs w:val="14"/>
                <w:b w:val="1"/>
                <w:bCs w:val="1"/>
                <w:color w:val="auto"/>
                <w:w w:val="94"/>
              </w:rPr>
              <w:t>Aclaris Therapeutics, Inc.</w:t>
            </w:r>
          </w:p>
        </w:tc>
        <w:tc>
          <w:tcPr>
            <w:tcW w:w="0" w:type="dxa"/>
            <w:vAlign w:val="bottom"/>
          </w:tcPr>
          <w:p>
            <w:pPr>
              <w:spacing w:after="0"/>
              <w:rPr>
                <w:sz w:val="1"/>
                <w:szCs w:val="1"/>
                <w:color w:val="auto"/>
              </w:rPr>
            </w:pPr>
          </w:p>
        </w:tc>
      </w:tr>
      <w:tr>
        <w:trPr>
          <w:trHeight w:val="81"/>
        </w:trPr>
        <w:tc>
          <w:tcPr>
            <w:tcW w:w="2000" w:type="dxa"/>
            <w:vAlign w:val="bottom"/>
            <w:vMerge w:val="restart"/>
          </w:tcPr>
          <w:p>
            <w:pPr>
              <w:jc w:val="center"/>
              <w:ind w:right="6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vMerge w:val="restart"/>
          </w:tcPr>
          <w:p>
            <w:pPr>
              <w:jc w:val="center"/>
              <w:ind w:left="625"/>
              <w:spacing w:after="0" w:line="149" w:lineRule="exact"/>
              <w:rPr>
                <w:sz w:val="20"/>
                <w:szCs w:val="20"/>
                <w:color w:val="auto"/>
              </w:rPr>
            </w:pPr>
            <w:r>
              <w:rPr>
                <w:rFonts w:ascii="Arial" w:cs="Arial" w:eastAsia="Arial" w:hAnsi="Arial"/>
                <w:sz w:val="14"/>
                <w:szCs w:val="14"/>
                <w:b w:val="1"/>
                <w:bCs w:val="1"/>
                <w:color w:val="auto"/>
                <w:w w:val="93"/>
              </w:rPr>
              <w:t>101 Lindenwood Drive, Suite 400</w:t>
            </w:r>
          </w:p>
        </w:tc>
        <w:tc>
          <w:tcPr>
            <w:tcW w:w="0" w:type="dxa"/>
            <w:vAlign w:val="bottom"/>
          </w:tcPr>
          <w:p>
            <w:pPr>
              <w:spacing w:after="0"/>
              <w:rPr>
                <w:sz w:val="1"/>
                <w:szCs w:val="1"/>
                <w:color w:val="auto"/>
              </w:rPr>
            </w:pPr>
          </w:p>
        </w:tc>
      </w:tr>
      <w:tr>
        <w:trPr>
          <w:trHeight w:val="81"/>
        </w:trPr>
        <w:tc>
          <w:tcPr>
            <w:tcW w:w="2000" w:type="dxa"/>
            <w:vAlign w:val="bottom"/>
            <w:vMerge w:val="restart"/>
          </w:tcPr>
          <w:p>
            <w:pPr>
              <w:jc w:val="center"/>
              <w:ind w:right="608"/>
              <w:spacing w:after="0" w:line="149" w:lineRule="exact"/>
              <w:rPr>
                <w:sz w:val="20"/>
                <w:szCs w:val="20"/>
                <w:color w:val="auto"/>
              </w:rPr>
            </w:pPr>
            <w:r>
              <w:rPr>
                <w:rFonts w:ascii="Arial" w:cs="Arial" w:eastAsia="Arial" w:hAnsi="Arial"/>
                <w:sz w:val="14"/>
                <w:szCs w:val="14"/>
                <w:b w:val="1"/>
                <w:bCs w:val="1"/>
                <w:color w:val="auto"/>
                <w:w w:val="93"/>
              </w:rPr>
              <w:t>11951 Freedom Drive</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vMerge w:val="restart"/>
          </w:tcPr>
          <w:p>
            <w:pPr>
              <w:jc w:val="center"/>
              <w:ind w:left="625"/>
              <w:spacing w:after="0" w:line="149" w:lineRule="exact"/>
              <w:rPr>
                <w:sz w:val="20"/>
                <w:szCs w:val="20"/>
                <w:color w:val="auto"/>
              </w:rPr>
            </w:pPr>
            <w:r>
              <w:rPr>
                <w:rFonts w:ascii="Arial" w:cs="Arial" w:eastAsia="Arial" w:hAnsi="Arial"/>
                <w:sz w:val="14"/>
                <w:szCs w:val="14"/>
                <w:b w:val="1"/>
                <w:bCs w:val="1"/>
                <w:color w:val="auto"/>
                <w:w w:val="94"/>
              </w:rPr>
              <w:t>Malvern, PA 19355</w:t>
            </w:r>
          </w:p>
        </w:tc>
        <w:tc>
          <w:tcPr>
            <w:tcW w:w="0" w:type="dxa"/>
            <w:vAlign w:val="bottom"/>
          </w:tcPr>
          <w:p>
            <w:pPr>
              <w:spacing w:after="0"/>
              <w:rPr>
                <w:sz w:val="1"/>
                <w:szCs w:val="1"/>
                <w:color w:val="auto"/>
              </w:rPr>
            </w:pPr>
          </w:p>
        </w:tc>
      </w:tr>
      <w:tr>
        <w:trPr>
          <w:trHeight w:val="81"/>
        </w:trPr>
        <w:tc>
          <w:tcPr>
            <w:tcW w:w="2000" w:type="dxa"/>
            <w:vAlign w:val="bottom"/>
            <w:vMerge w:val="restart"/>
          </w:tcPr>
          <w:p>
            <w:pPr>
              <w:jc w:val="center"/>
              <w:ind w:right="608"/>
              <w:spacing w:after="0" w:line="149" w:lineRule="exact"/>
              <w:rPr>
                <w:sz w:val="20"/>
                <w:szCs w:val="20"/>
                <w:color w:val="auto"/>
              </w:rPr>
            </w:pPr>
            <w:r>
              <w:rPr>
                <w:rFonts w:ascii="Arial" w:cs="Arial" w:eastAsia="Arial" w:hAnsi="Arial"/>
                <w:sz w:val="14"/>
                <w:szCs w:val="14"/>
                <w:b w:val="1"/>
                <w:bCs w:val="1"/>
                <w:color w:val="auto"/>
                <w:w w:val="91"/>
              </w:rPr>
              <w:t>Reston, VA 20190</w:t>
            </w: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vMerge w:val="restart"/>
          </w:tcPr>
          <w:p>
            <w:pPr>
              <w:jc w:val="center"/>
              <w:ind w:left="645"/>
              <w:spacing w:after="0"/>
              <w:rPr>
                <w:sz w:val="20"/>
                <w:szCs w:val="20"/>
                <w:color w:val="auto"/>
              </w:rPr>
            </w:pPr>
            <w:r>
              <w:rPr>
                <w:rFonts w:ascii="Arial" w:cs="Arial" w:eastAsia="Arial" w:hAnsi="Arial"/>
                <w:sz w:val="14"/>
                <w:szCs w:val="14"/>
                <w:b w:val="1"/>
                <w:bCs w:val="1"/>
                <w:color w:val="auto"/>
                <w:w w:val="93"/>
              </w:rPr>
              <w:t>(484) 324-7933</w:t>
            </w:r>
          </w:p>
        </w:tc>
        <w:tc>
          <w:tcPr>
            <w:tcW w:w="0" w:type="dxa"/>
            <w:vAlign w:val="bottom"/>
          </w:tcPr>
          <w:p>
            <w:pPr>
              <w:spacing w:after="0"/>
              <w:rPr>
                <w:sz w:val="1"/>
                <w:szCs w:val="1"/>
                <w:color w:val="auto"/>
              </w:rPr>
            </w:pPr>
          </w:p>
        </w:tc>
      </w:tr>
      <w:tr>
        <w:trPr>
          <w:trHeight w:val="119"/>
        </w:trPr>
        <w:tc>
          <w:tcPr>
            <w:tcW w:w="2000" w:type="dxa"/>
            <w:vAlign w:val="bottom"/>
            <w:vMerge w:val="restart"/>
          </w:tcPr>
          <w:p>
            <w:pPr>
              <w:jc w:val="center"/>
              <w:ind w:right="628"/>
              <w:spacing w:after="0"/>
              <w:rPr>
                <w:sz w:val="20"/>
                <w:szCs w:val="20"/>
                <w:color w:val="auto"/>
              </w:rPr>
            </w:pPr>
            <w:r>
              <w:rPr>
                <w:rFonts w:ascii="Arial" w:cs="Arial" w:eastAsia="Arial" w:hAnsi="Arial"/>
                <w:sz w:val="14"/>
                <w:szCs w:val="14"/>
                <w:b w:val="1"/>
                <w:bCs w:val="1"/>
                <w:color w:val="auto"/>
                <w:w w:val="93"/>
              </w:rPr>
              <w:t>(703) 456-8000</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222250</wp:posOffset>
            </wp:positionV>
            <wp:extent cx="1483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336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both"/>
        <w:ind w:right="20" w:firstLine="33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45720</wp:posOffset>
            </wp:positionV>
            <wp:extent cx="1483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59" w:lineRule="exact"/>
        <w:rPr>
          <w:sz w:val="24"/>
          <w:szCs w:val="24"/>
          <w:color w:val="auto"/>
        </w:rPr>
      </w:pPr>
    </w:p>
    <w:p>
      <w:pPr>
        <w:jc w:val="both"/>
        <w:ind w:right="20" w:firstLine="33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firstLine="330"/>
        <w:spacing w:after="0" w:line="225"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20" w:firstLine="330"/>
        <w:spacing w:after="0" w:line="230"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324"/>
        <w:spacing w:after="0" w:line="229"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130175</wp:posOffset>
            </wp:positionV>
            <wp:extent cx="1483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499110</wp:posOffset>
            </wp:positionV>
            <wp:extent cx="5960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233" w:right="1239" w:bottom="1440" w:gutter="0" w:footer="0" w:header="0"/>
          <w:type w:val="continuous"/>
        </w:sectPr>
      </w:pPr>
    </w:p>
    <w:bookmarkStart w:id="1" w:name="page2"/>
    <w:bookmarkEnd w:id="1"/>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left="5"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Exchange Act. (Check one):</w:t>
      </w:r>
    </w:p>
    <w:p>
      <w:pPr>
        <w:spacing w:after="0" w:line="129" w:lineRule="exact"/>
        <w:rPr>
          <w:sz w:val="20"/>
          <w:szCs w:val="20"/>
          <w:color w:val="auto"/>
        </w:rPr>
      </w:pPr>
    </w:p>
    <w:p>
      <w:pPr>
        <w:ind w:left="125"/>
        <w:spacing w:after="0" w:line="184" w:lineRule="exact"/>
        <w:tabs>
          <w:tab w:leader="none" w:pos="2605" w:val="left"/>
          <w:tab w:leader="none" w:pos="4505" w:val="left"/>
          <w:tab w:leader="none" w:pos="6765"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362"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5960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404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40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4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Proposed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32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04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r>
              <w:rPr>
                <w:rFonts w:ascii="Arial" w:cs="Arial" w:eastAsia="Arial" w:hAnsi="Arial"/>
                <w:sz w:val="14"/>
                <w:szCs w:val="14"/>
                <w:b w:val="1"/>
                <w:bCs w:val="1"/>
                <w:color w:val="auto"/>
                <w:w w:val="88"/>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r>
              <w:rPr>
                <w:rFonts w:ascii="Arial" w:cs="Arial" w:eastAsia="Arial" w:hAnsi="Arial"/>
                <w:sz w:val="14"/>
                <w:szCs w:val="14"/>
                <w:b w:val="1"/>
                <w:bCs w:val="1"/>
                <w:color w:val="auto"/>
                <w:w w:val="91"/>
                <w:vertAlign w:val="superscript"/>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Offering Price</w:t>
            </w:r>
            <w:r>
              <w:rPr>
                <w:rFonts w:ascii="Arial" w:cs="Arial" w:eastAsia="Arial" w:hAnsi="Arial"/>
                <w:sz w:val="14"/>
                <w:szCs w:val="14"/>
                <w:b w:val="1"/>
                <w:bCs w:val="1"/>
                <w:color w:val="auto"/>
                <w:w w:val="92"/>
                <w:vertAlign w:val="superscript"/>
              </w:rPr>
              <w:t>(2)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238"/>
        </w:trPr>
        <w:tc>
          <w:tcPr>
            <w:tcW w:w="40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$0.00001 par value per share</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1,081,082</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$19.975</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$21,594,612.95</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$2,174.58</w:t>
            </w:r>
          </w:p>
        </w:tc>
        <w:tc>
          <w:tcPr>
            <w:tcW w:w="0" w:type="dxa"/>
            <w:vAlign w:val="bottom"/>
          </w:tcPr>
          <w:p>
            <w:pPr>
              <w:spacing w:after="0"/>
              <w:rPr>
                <w:sz w:val="1"/>
                <w:szCs w:val="1"/>
                <w:color w:val="auto"/>
              </w:rPr>
            </w:pPr>
          </w:p>
        </w:tc>
      </w:tr>
      <w:tr>
        <w:trPr>
          <w:trHeight w:val="80"/>
        </w:trPr>
        <w:tc>
          <w:tcPr>
            <w:tcW w:w="40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vMerge w:val="continue"/>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00" w:type="dxa"/>
            <w:vAlign w:val="bottom"/>
            <w:tcBorders>
              <w:bottom w:val="single" w:sz="8" w:color="auto"/>
              <w:right w:val="single" w:sz="8" w:color="auto"/>
            </w:tcBorders>
            <w:vMerge w:val="continue"/>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85" w:right="20" w:hanging="185"/>
        <w:spacing w:after="0" w:line="227" w:lineRule="auto"/>
        <w:tabs>
          <w:tab w:leader="none" w:pos="185"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shares offered by the selling stockholders. Includes an indeterminable number of additional shares of common stock, pursuant to Rule 416 under the Securities Act of 1933, as amended, that may be issued to prevent dilution from stock splits, stock dividends or similar transactions that could affect the shares to be offered by selling stockholders.</w:t>
      </w:r>
    </w:p>
    <w:p>
      <w:pPr>
        <w:ind w:left="185" w:right="100" w:hanging="185"/>
        <w:spacing w:after="0" w:line="221" w:lineRule="auto"/>
        <w:tabs>
          <w:tab w:leader="none" w:pos="185"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as amended, based on the average high and low prices of the Registrant’s common stock on June 14, 2016, as quoted on the NASDAQ Global Select Market.</w:t>
      </w:r>
    </w:p>
    <w:p>
      <w:pPr>
        <w:ind w:left="245" w:hanging="245"/>
        <w:spacing w:after="0"/>
        <w:tabs>
          <w:tab w:leader="none" w:pos="245"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201930</wp:posOffset>
            </wp:positionV>
            <wp:extent cx="14833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720090</wp:posOffset>
            </wp:positionV>
            <wp:extent cx="5960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125" w:right="12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FF0000"/>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we are not soliciting offers to buy these securities in any jurisdiction where the offer or sale is not permitted.</w:t>
      </w:r>
    </w:p>
    <w:p>
      <w:pPr>
        <w:spacing w:after="0" w:line="197"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b w:val="1"/>
          <w:bCs w:val="1"/>
          <w:color w:val="FF0000"/>
        </w:rPr>
        <w:t>PROSPECTUS (Subject to Completion)</w:t>
      </w:r>
      <w:r>
        <w:rPr>
          <w:sz w:val="20"/>
          <w:szCs w:val="20"/>
          <w:color w:val="auto"/>
        </w:rPr>
        <w:tab/>
      </w:r>
      <w:r>
        <w:rPr>
          <w:rFonts w:ascii="Arial" w:cs="Arial" w:eastAsia="Arial" w:hAnsi="Arial"/>
          <w:sz w:val="16"/>
          <w:szCs w:val="16"/>
          <w:b w:val="1"/>
          <w:bCs w:val="1"/>
          <w:color w:val="FF0000"/>
        </w:rPr>
        <w:t>Dated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960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1,081,082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89535</wp:posOffset>
            </wp:positionV>
            <wp:extent cx="150050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Aclaris Therapeutics, Inc.</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prospectus relates to the resale by the selling stockholders identified in this prospectus of up to 1,081,082 shares of our common stock that we sold to the selling stockholders in connection with a private placement completed on June 2, 2016. We will not receive any proceeds from the sale of these shares by the selling stockholders.</w:t>
      </w:r>
    </w:p>
    <w:p>
      <w:pPr>
        <w:spacing w:after="0" w:line="1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are not selling any shares of common stock and will not receive any proceeds from the sale of the shares under this prospectus.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agreed to bear all of the expenses incurred in connection with the registration of these shares. The selling stockholders will pay or assume brokerage commissions and similar charges, if any, incurred for the sale of shares of our common stock.</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selling stockholders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 For additional information on the methods of sale that may be used by the selling stockholders, see the section entitled “Plan of Distribution” beginning on page 11. For a list of the selling stockholders, see the section entitled “Selling Stockholders” beginning on page 8.</w:t>
      </w:r>
    </w:p>
    <w:p>
      <w:pPr>
        <w:spacing w:after="0" w:line="188"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“ACRS.” On June 16, 2016, the closing sale price of our common stock on the NASDAQ Global Select Market was $19.47 per share. You are urged to obtain current market quotations for the common stock.</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and future filings. Please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59601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Please read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5 of this prospectus.</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ind w:left="3280"/>
              <w:spacing w:after="0"/>
              <w:rPr>
                <w:sz w:val="20"/>
                <w:szCs w:val="20"/>
                <w:color w:val="auto"/>
              </w:rPr>
            </w:pPr>
            <w:r>
              <w:rPr>
                <w:rFonts w:ascii="Arial" w:cs="Arial" w:eastAsia="Arial" w:hAnsi="Arial"/>
                <w:sz w:val="18"/>
                <w:szCs w:val="18"/>
                <w:b w:val="1"/>
                <w:bCs w:val="1"/>
                <w:color w:val="auto"/>
              </w:rPr>
              <w:t>Prospectus dated</w:t>
            </w:r>
          </w:p>
        </w:tc>
        <w:tc>
          <w:tcPr>
            <w:tcW w:w="4320" w:type="dxa"/>
            <w:vAlign w:val="bottom"/>
          </w:tcPr>
          <w:p>
            <w:pPr>
              <w:jc w:val="right"/>
              <w:ind w:right="3270"/>
              <w:spacing w:after="0"/>
              <w:rPr>
                <w:sz w:val="20"/>
                <w:szCs w:val="20"/>
                <w:color w:val="auto"/>
              </w:rPr>
            </w:pPr>
            <w:r>
              <w:rPr>
                <w:rFonts w:ascii="Arial" w:cs="Arial" w:eastAsia="Arial" w:hAnsi="Arial"/>
                <w:sz w:val="18"/>
                <w:szCs w:val="18"/>
                <w:b w:val="1"/>
                <w:bCs w:val="1"/>
                <w:color w:val="auto"/>
              </w:rPr>
              <w:t>, 2016.</w:t>
            </w:r>
          </w:p>
        </w:tc>
      </w:tr>
      <w:tr>
        <w:trPr>
          <w:trHeight w:val="574"/>
        </w:trPr>
        <w:tc>
          <w:tcPr>
            <w:tcW w:w="50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380"/>
          </w:cols>
          <w:pgMar w:left="1260" w:top="125" w:right="125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right"/>
        <w:ind w:right="21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Supplementary Financial Information</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Special Note Regarding Forward-Looking Statements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Price Range of Common Stock</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Dividend Policy</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Selling Stockholders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Plan of Distribution</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Legal Matters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Experts</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Where You Can Find More Information</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Incorporation of Certain Documents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297815</wp:posOffset>
            </wp:positionV>
            <wp:extent cx="1483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5"/>
          <w:szCs w:val="15"/>
          <w:u w:val="single" w:color="auto"/>
          <w:color w:val="auto"/>
        </w:rPr>
        <w:t>Page</w:t>
      </w:r>
    </w:p>
    <w:p>
      <w:pPr>
        <w:spacing w:after="0" w:line="19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ectPr>
          <w:pgSz w:w="11900" w:h="16838" w:orient="portrait"/>
          <w:cols w:equalWidth="0" w:num="2">
            <w:col w:w="7800" w:space="720"/>
            <w:col w:w="880"/>
          </w:cols>
          <w:pgMar w:left="1260" w:top="125" w:right="1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You should rely only on the information contained in this prospectus, any supplement to this prospectus or in any free writing prospectus filed with the Securities and Exchange Commission. Neither we nor the selling stockholders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stockholders are offering to sell, and seeking offers to buy,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investors outside the United States: Neither we nor the selling stockholders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495935</wp:posOffset>
            </wp:positionV>
            <wp:extent cx="5960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type w:val="continuous"/>
        </w:sectPr>
      </w:pPr>
    </w:p>
    <w:bookmarkStart w:id="4" w:name="page5"/>
    <w:bookmarkEnd w:id="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summary highlights selected information contained or incorporated by reference elsewhere in this prospectus and does not contain all of the information that you should consider in making your investment decision. Before investing in our common stock, you should carefully read this entire prospectus, including our financial statements and the related notes and other documents incorporated by reference in this prospectus, as well as the information under the caption “Risk Factors” herein and under similar headings in the other documents that are incorporated by reference into this prospectus. Unless the context otherwise requires, we use the terms "Aclaris," "company," "we," "us" and "our" in this prospectus to refer to Aclaris Therapeutics, Inc. and, where appropriate, our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drugs to address significant unmet needs in dermatology. Our lead drug candidate, A-101 Topical Solution,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In the first quarter of 2016, we initiated two multi-center, double-blind Phase 3 clinical trials and one open label Phase 3 clinical trial of A-101 in patients with SK. If the results of these trials are favorable, we plan to submit a New Drug Application for A-101 for the treatment of SK to the U.S. Food and Drug Administration in the fourth quarter of 2016. We also intend to develop A-101 as a prescription treatment for common warts, also known as verruca vulgaris, and A-102, a proprietary gel dosage form of hydrogen peroxide, as a prescription treatment for SK and common warts. In the fourth quarter of 2015, we initiated a Phase 2 clinical trial to evaluate A-101 for the treatment of common warts.</w:t>
      </w:r>
    </w:p>
    <w:p>
      <w:pPr>
        <w:spacing w:after="0" w:line="7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also in-licensed the exclusive, worldwide rights to inhibitors of the Janus kinase, or JAK, family of enzymes, for specified dermatological conditions. We plan to develop these JAK inhibitors, ATI-50001 and ATI-50002, as potential treatments for hair loss associated with an autoimmune skin disease known as alopecia areata, and potentially for other dermatological conditions, including androgenetic alopecia, also known as male or female pattern baldness, and vitiligo. We intend to in-license or acquire additional drug candidates for other dermatological conditions to build a fully integrated dermatology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were incorporated under the laws of the State of Delaware in July 2012. Our principal executive offices are located at 101 Lindenwood Drive, Suite 400, Malvern, Pennsylvania 19355. Our telephone number is (484) 324-7933. Our common stock is listed on the NASDAQ Global Select Market under the symbol “ACRS.”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internet website address is www.aclaristx.com. The information contained on our website is not incorporated by reference into this prospectus, and you should not consider any information contained on, or that can be accessed through, our website as part of this prospectus or in deciding whether to purchase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114" w:lineRule="exact"/>
        <w:rPr>
          <w:sz w:val="20"/>
          <w:szCs w:val="20"/>
          <w:color w:val="auto"/>
        </w:rPr>
      </w:pPr>
    </w:p>
    <w:p>
      <w:pPr>
        <w:ind w:left="460" w:right="300" w:hanging="141"/>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ind w:left="460" w:right="620" w:hanging="141"/>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jc w:val="both"/>
        <w:ind w:left="460" w:right="380" w:hanging="141"/>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8"/>
          <w:szCs w:val="18"/>
          <w:color w:val="auto"/>
        </w:rPr>
      </w:pPr>
    </w:p>
    <w:p>
      <w:pPr>
        <w:ind w:left="460" w:right="100" w:hanging="141"/>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ind w:left="460" w:right="160" w:hanging="141"/>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We will remain an emerging growth company until the earlier of (1) December 31, 2020,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30th and (4) any date on which we have issued more than $1.0 billion in non-convertible debt during the prior three-year period. We may choose to take advantage of some but not all of these reduced burdens. For example, we have taken advantage of the reduced reporting requirements with respect to disclosure regarding our executive compensation arrangements, have presented only two years of audited financial statements and only two years of related "Management's Discussion and Analysis of Financial Condition and Results of Operations" disclosure in our public filings, and have taken advantage of the exemption from auditor attestation on the effectiveness of our internal control over financial reporting. To the extent that we take advantage of these reduced burdens, the information that we provide stockholders may be different than you might obtain from other public companies in which you hold equity interests.</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4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1,081,082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-121920</wp:posOffset>
            </wp:positionV>
            <wp:extent cx="596011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0110" cy="197485"/>
                    </a:xfrm>
                    <a:prstGeom prst="rect">
                      <a:avLst/>
                    </a:prstGeom>
                    <a:noFill/>
                  </pic:spPr>
                </pic:pic>
              </a:graphicData>
            </a:graphic>
          </wp:anchor>
        </w:drawing>
      </w:r>
    </w:p>
    <w:p>
      <w:pPr>
        <w:spacing w:after="0" w:line="39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21,403,005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-121920</wp:posOffset>
            </wp:positionV>
            <wp:extent cx="596011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0110" cy="197485"/>
                    </a:xfrm>
                    <a:prstGeom prst="rect">
                      <a:avLst/>
                    </a:prstGeom>
                    <a:noFill/>
                  </pic:spPr>
                </pic:pic>
              </a:graphicData>
            </a:graphic>
          </wp:anchor>
        </w:drawing>
      </w:r>
    </w:p>
    <w:p>
      <w:pPr>
        <w:spacing w:after="0" w:line="394"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We will not receive any proceeds from the sale of shares in this offering. See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-293370</wp:posOffset>
            </wp:positionV>
            <wp:extent cx="596011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0110" cy="283210"/>
                    </a:xfrm>
                    <a:prstGeom prst="rect">
                      <a:avLst/>
                    </a:prstGeom>
                    <a:noFill/>
                  </pic:spPr>
                </pic:pic>
              </a:graphicData>
            </a:graphic>
          </wp:anchor>
        </w:drawing>
      </w:r>
    </w:p>
    <w:p>
      <w:pPr>
        <w:spacing w:after="0" w:line="259"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See “Risk Factors” beginning on page 5 and the other information included in this prospectus for a discussion of factors you should carefully consider before deciding to invest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-557530</wp:posOffset>
            </wp:positionV>
            <wp:extent cx="5960110"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0110" cy="557530"/>
                    </a:xfrm>
                    <a:prstGeom prst="rect">
                      <a:avLst/>
                    </a:prstGeom>
                    <a:noFill/>
                  </pic:spPr>
                </pic:pic>
              </a:graphicData>
            </a:graphic>
          </wp:anchor>
        </w:drawing>
      </w:r>
    </w:p>
    <w:p>
      <w:pPr>
        <w:spacing w:after="0" w:line="2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-121920</wp:posOffset>
            </wp:positionV>
            <wp:extent cx="596011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0110" cy="19748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3280" w:space="720"/>
            <w:col w:w="5340"/>
          </w:cols>
          <w:pgMar w:left="1260" w:top="125" w:right="12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our common stock outstanding is based on 21,403,005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10, 2016 and excludes the following:</w:t>
      </w:r>
    </w:p>
    <w:p>
      <w:pPr>
        <w:spacing w:after="0" w:line="211" w:lineRule="exact"/>
        <w:rPr>
          <w:sz w:val="20"/>
          <w:szCs w:val="20"/>
          <w:color w:val="auto"/>
        </w:rPr>
      </w:pPr>
    </w:p>
    <w:p>
      <w:pPr>
        <w:ind w:left="460" w:right="300" w:hanging="141"/>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1,886,891 shares of common stock issuable upon the exercise of options outstanding as of June 10, 2016, at a weighted average exercise price of $13.85 per share;</w:t>
      </w:r>
    </w:p>
    <w:p>
      <w:pPr>
        <w:spacing w:after="0" w:line="1" w:lineRule="exact"/>
        <w:rPr>
          <w:rFonts w:ascii="Arial" w:cs="Arial" w:eastAsia="Arial" w:hAnsi="Arial"/>
          <w:sz w:val="18"/>
          <w:szCs w:val="18"/>
          <w:color w:val="auto"/>
        </w:rPr>
      </w:pPr>
    </w:p>
    <w:p>
      <w:pPr>
        <w:ind w:left="460" w:hanging="14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85,000 shares of common stock subject to restricted stock units outstanding as of June 10, 2016; and</w:t>
      </w:r>
    </w:p>
    <w:p>
      <w:pPr>
        <w:spacing w:after="0" w:line="9" w:lineRule="exact"/>
        <w:rPr>
          <w:rFonts w:ascii="Arial" w:cs="Arial" w:eastAsia="Arial" w:hAnsi="Arial"/>
          <w:sz w:val="18"/>
          <w:szCs w:val="18"/>
          <w:color w:val="auto"/>
        </w:rPr>
      </w:pPr>
    </w:p>
    <w:p>
      <w:pPr>
        <w:ind w:left="460" w:right="180" w:hanging="141"/>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1,613,805 shares of common stock reserved for future issuance under our 2015 equity incentive plan, plus any additional shares of our common stock that may become available under our 2015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all information in this prospectus assumes no exercise of outstanding options after June 10,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25" w:right="1299" w:bottom="1440" w:gutter="0" w:footer="0" w:header="0"/>
          <w:type w:val="continuous"/>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FINANCIAL INFORMATION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Below is selected quarterly financial data for the three months ended March 31, 2016, which has been derived from our unaudited condensed consolidated financial statements incorporated by reference in this prospectus. For selected quarterly financial data for each quarter of the years ended December 31, 2015 and 2014, see Note 15 to our audited consolidated financial statements incorporated by reference in this prospectus. The following table should be read in conjunction with “Management’s Discussion and Analysis of Financial Condition and Results of Operations,” and the consolidated financial statements and related notes to those statements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Three Months Ended March 31, 2016</w:t>
            </w:r>
          </w:p>
        </w:tc>
      </w:tr>
      <w:tr>
        <w:trPr>
          <w:trHeight w:val="223"/>
        </w:trPr>
        <w:tc>
          <w:tcPr>
            <w:tcW w:w="6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right"/>
              <w:ind w:right="54"/>
              <w:spacing w:after="0"/>
              <w:rPr>
                <w:sz w:val="20"/>
                <w:szCs w:val="20"/>
                <w:color w:val="auto"/>
              </w:rPr>
            </w:pPr>
            <w:r>
              <w:rPr>
                <w:rFonts w:ascii="Arial" w:cs="Arial" w:eastAsia="Arial" w:hAnsi="Arial"/>
                <w:sz w:val="14"/>
                <w:szCs w:val="14"/>
                <w:color w:val="auto"/>
                <w:w w:val="92"/>
              </w:rPr>
              <w:t>(in thousands, except for per share data)</w:t>
            </w: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13,139</w:t>
            </w:r>
          </w:p>
        </w:tc>
      </w:tr>
      <w:tr>
        <w:trPr>
          <w:trHeight w:val="24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7"/>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(13,039)</w:t>
            </w:r>
          </w:p>
        </w:tc>
      </w:tr>
      <w:tr>
        <w:trPr>
          <w:trHeight w:val="236"/>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10"/>
        </w:trPr>
        <w:tc>
          <w:tcPr>
            <w:tcW w:w="6020" w:type="dxa"/>
            <w:vAlign w:val="bottom"/>
          </w:tcPr>
          <w:p>
            <w:pPr>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r>
      <w:tr>
        <w:trPr>
          <w:trHeight w:val="675"/>
        </w:trPr>
        <w:tc>
          <w:tcPr>
            <w:tcW w:w="6020" w:type="dxa"/>
            <w:vAlign w:val="bottom"/>
          </w:tcPr>
          <w:p>
            <w:pPr>
              <w:ind w:left="464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29"/>
        </w:trPr>
        <w:tc>
          <w:tcPr>
            <w:tcW w:w="60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bl>
    <w:p>
      <w:pPr>
        <w:sectPr>
          <w:pgSz w:w="11900" w:h="16838" w:orient="portrait"/>
          <w:cols w:equalWidth="0" w:num="1">
            <w:col w:w="9380"/>
          </w:cols>
          <w:pgMar w:left="1260" w:top="125" w:right="125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following risks and uncertainties as well as the risks and uncertainties described in the section entitled “Risk Factors” contained in our Annual Report on Form 10-K for the year ended December 31, 2015, as filed with the SEC on March 23, 2016, and in our Quarterly Report on Form 10-Q for the quarter ended March 31, 2016, as filed with the SEC on May 11, 2016, which descriptions are incorporated in this prospectus by reference in their entirety, as well as in any prospectus supplement hereto. These risks and uncertainties are not the only risks and uncertainties we face. Additional risks and uncertainties not currently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shares issued in this offering may cause the market price of our shares to decline.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 2016, we issued and sold 1,081,082 shares of our common stock in connection with a private placement. We have agreed to register for resale with the SEC such shares of common stock. The registration statement of which this prospectus forms a part has been filed to satisfy this obligation. Upon the effectiveness of the registration statement, the 1,081,082 shares we sold in the private placement may be freely sold in the open market. The sale of a significant amount of these shares of common stock in the open market, or the perception that these sales may occur, could cause the market price of our common stock to decline or become highly volatile.</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have to pay liquidated damages to the selling stockholders, which would increase our expenses and reduce our cash resources.</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private placement, we entered into a registration rights agreement. Under the terms of the registration rights agreement, subject to certain limited exceptions, if the registration statement of which this prospectus forms a part has not been declared effective within the time periods specified in the registration rights agreement or we otherwise fail to comply with certain provisions set forth in the registration rights agreement, we will be required to pay the investors, as liquidated damages,</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1.0% of the amount invested for each 30-day period (or a pro rata portion thereof) during which such failure continues until the shares are sold or can be sold without restriction under Rule 144 promulgated under the Securities Act of 1933, as amended, or the Securities Act. There can be no assurance that the registration statement of which this prospectus forms a part will be declared effective by the SEC or will remain effective for the time periods necessary to avoid payment of liquidated damages. Any payment of liquidated damages would increase our expenses, reduce our cash resources and may limit or preclude us from advancing our product candidates through clinical trials or otherwise growing our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This prospectus, including the information that we incorporate by reference, contains forward-looking statements within the meaning of the Private Securities Litigation Reform Act of 1995 that involve substantial risks and uncertainties. All statements other than statements of historical facts contained in this prospectus, including statements regarding our future operating results and financial position, business strategy, and plans and objectives of management for future operations, are forward-looking statements. In many cases, you can identify forward-looking statements by terms such as “may,” “should,” “expects,” “plans,” “anticipates,” “could,” “intends,” “target,” “projects,” “contemplates,” “believes,” “estimates,” “predicts,” “potential,” or “continue” or the negative of these terms or other similar expressions.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forward-looking statements contained in this prospectus reflect our views as of the date of this prospectus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important factors could cause actual results to differ materially from those indicated by the forward-looking statements, including, without limitation, those factors described in “Risk Factors.” Except as required by law, after the date of this prospectus, we are under no duty to update or revise any of the forward-looking statements contained or incorporated by reference herein, whether as a result of new information, future events or otherwise.</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You should read this prospectus, including the information that we incorporate by reference, completely and with the understanding that our actual future results may be materially different from what we expect. We qualify all of our forward-looking statements by these cautionary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25" w:right="129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filing the registration statement of which this prospectus forms a part to permit holders of the shares of our common stock described in the section entitled “Selling Stockholders” to resell such shares of common stock. We will not receive any proceeds from the resale of any shares offered by this prospectus by the selling stockholders.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common stock commenced trading on The NASDAQ Global Select Market under the symbol “ACRS” on October 7, 2015. Prior to our initial public offering, there was no public market for our common stock. The following table sets forth for the periods indicated the high and low sales prices of our common stock as reported on The NASDAQ Global Select Market.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77"/>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1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First Quarter</w:t>
            </w: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27.93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June 16, 2016)</w:t>
            </w: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CCEEFF"/>
          </w:tcPr>
          <w:p>
            <w:pPr>
              <w:spacing w:after="0"/>
              <w:rPr>
                <w:sz w:val="5"/>
                <w:szCs w:val="5"/>
                <w:color w:val="auto"/>
              </w:rPr>
            </w:pPr>
          </w:p>
        </w:tc>
        <w:tc>
          <w:tcPr>
            <w:tcW w:w="140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Fourth Quarter (beginning October 7, 2015)</w:t>
            </w: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33.88</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June 16, 2016, the last reported sale price of our common stock was $19.47 per share. As of June 16, 2016, there were approximately 62 holders of record of our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June 2, 2016, pursuant to a securities purchase agreement with certain accredited investors dated May 27, 2016, we sold in a private placement 1,081,082 shares of our common stock at a price per share of $18.50. The table below sets forth, to our knowledge, information about the selling stockholders as of June 10, 2016.</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do not know when or in what amounts the selling stockholders may offer shares for sale. The selling stockholders might not sell any or all of the shares registered pursuant to the registration statement of which this prospectus forms a part. Because the selling stockholders may offer all or some of the shares pursuant to the registration statement of which this prospectus forms a part and because there are currently no agreements or understandings with respect to the sale of any shares, we cannot estimate the number of shares that will be held by the selling stockholders after completion of this offering. However, for purposes of this table, we have assumed that, after completion of this offering, none of the shares covered by this prospectus will be held by the selling stockholders.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of our common stock. The number of shares of common stock beneficially owned prior to the offering for each selling stockholder includes (i) all shares of our common stock held by such selling stockholder prior to the private placement plus (ii) all shares of our common stock purchased by such selling stockholder pursuant to the private placement and being offered pursuant to the prospectus. The inclusion of any shares in this table does not constitute an admission of beneficial ownership by the person named below.</w:t>
      </w:r>
    </w:p>
    <w:p>
      <w:pPr>
        <w:spacing w:after="0" w:line="1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Throughout this prospectus, when we refer to the shares of our common stock being offered by this prospectus on behalf of the selling stockholders, we are referring to the shares of our common stock sold in the private placement, unless otherwise indicated.</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selling stockholders may have sold or transferred, in transactions exempt from the registration requirements of the Securities Act, some or all of their shares of common stock since the date on which the information in the table below is presented. Information about the selling stockholders may change over time.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0" w:type="dxa"/>
            <w:vAlign w:val="bottom"/>
            <w:gridSpan w:val="2"/>
          </w:tcPr>
          <w:p>
            <w:pPr>
              <w:jc w:val="right"/>
              <w:ind w:right="759"/>
              <w:spacing w:after="0"/>
              <w:rPr>
                <w:sz w:val="20"/>
                <w:szCs w:val="20"/>
                <w:color w:val="auto"/>
              </w:rPr>
            </w:pPr>
            <w:r>
              <w:rPr>
                <w:rFonts w:ascii="Arial" w:cs="Arial" w:eastAsia="Arial" w:hAnsi="Arial"/>
                <w:sz w:val="14"/>
                <w:szCs w:val="14"/>
                <w:b w:val="1"/>
                <w:bCs w:val="1"/>
                <w:color w:val="auto"/>
              </w:rPr>
              <w:t>Prior to Offering</w:t>
            </w:r>
            <w:r>
              <w:rPr>
                <w:rFonts w:ascii="Arial" w:cs="Arial" w:eastAsia="Arial" w:hAnsi="Arial"/>
                <w:sz w:val="7"/>
                <w:szCs w:val="7"/>
                <w:b w:val="1"/>
                <w:bCs w:val="1"/>
                <w:color w:val="auto"/>
              </w:rPr>
              <w:t>(1)</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After Offering</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tcBorders>
              <w:top w:val="single" w:sz="8" w:color="auto"/>
            </w:tcBorders>
          </w:tcPr>
          <w:p>
            <w:pPr>
              <w:jc w:val="center"/>
              <w:ind w:left="7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tcBorders>
              <w:top w:val="single" w:sz="8" w:color="auto"/>
            </w:tcBorders>
          </w:tcPr>
          <w:p>
            <w:pPr>
              <w:jc w:val="center"/>
              <w:ind w:left="80"/>
              <w:spacing w:after="0" w:line="119" w:lineRule="exact"/>
              <w:rPr>
                <w:sz w:val="20"/>
                <w:szCs w:val="20"/>
                <w:color w:val="auto"/>
              </w:rPr>
            </w:pPr>
            <w:r>
              <w:rPr>
                <w:rFonts w:ascii="Arial" w:cs="Arial" w:eastAsia="Arial" w:hAnsi="Arial"/>
                <w:sz w:val="13"/>
                <w:szCs w:val="13"/>
                <w:b w:val="1"/>
                <w:bCs w:val="1"/>
                <w:color w:val="auto"/>
              </w:rPr>
              <w:t>Number of</w:t>
            </w:r>
          </w:p>
        </w:tc>
        <w:tc>
          <w:tcPr>
            <w:tcW w:w="1800" w:type="dxa"/>
            <w:vAlign w:val="bottom"/>
            <w:tcBorders>
              <w:top w:val="single" w:sz="8" w:color="auto"/>
            </w:tcBorders>
          </w:tcPr>
          <w:p>
            <w:pPr>
              <w:jc w:val="center"/>
              <w:ind w:left="761"/>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3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vMerge w:val="continue"/>
          </w:tcPr>
          <w:p>
            <w:pPr>
              <w:spacing w:after="0"/>
              <w:rPr>
                <w:sz w:val="12"/>
                <w:szCs w:val="12"/>
                <w:color w:val="auto"/>
              </w:rPr>
            </w:pPr>
          </w:p>
        </w:tc>
        <w:tc>
          <w:tcPr>
            <w:tcW w:w="880" w:type="dxa"/>
            <w:vAlign w:val="bottom"/>
          </w:tcPr>
          <w:p>
            <w:pPr>
              <w:jc w:val="center"/>
              <w:ind w:left="80"/>
              <w:spacing w:after="0" w:line="149" w:lineRule="exact"/>
              <w:rPr>
                <w:sz w:val="20"/>
                <w:szCs w:val="20"/>
                <w:color w:val="auto"/>
              </w:rPr>
            </w:pPr>
            <w:r>
              <w:rPr>
                <w:rFonts w:ascii="Arial" w:cs="Arial" w:eastAsia="Arial" w:hAnsi="Arial"/>
                <w:sz w:val="14"/>
                <w:szCs w:val="14"/>
                <w:b w:val="1"/>
                <w:bCs w:val="1"/>
                <w:color w:val="auto"/>
                <w:w w:val="85"/>
              </w:rPr>
              <w:t>Shares</w:t>
            </w:r>
          </w:p>
        </w:tc>
        <w:tc>
          <w:tcPr>
            <w:tcW w:w="202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jc w:val="center"/>
              <w:ind w:lef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20" w:type="dxa"/>
            <w:vAlign w:val="bottom"/>
            <w:gridSpan w:val="3"/>
          </w:tcPr>
          <w:p>
            <w:pPr>
              <w:jc w:val="center"/>
              <w:ind w:left="54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380" w:type="dxa"/>
            <w:vAlign w:val="bottom"/>
          </w:tcPr>
          <w:p>
            <w:pPr>
              <w:jc w:val="center"/>
              <w:ind w:left="99"/>
              <w:spacing w:after="0"/>
              <w:rPr>
                <w:sz w:val="20"/>
                <w:szCs w:val="20"/>
                <w:color w:val="auto"/>
              </w:rPr>
            </w:pPr>
            <w:r>
              <w:rPr>
                <w:rFonts w:ascii="Arial" w:cs="Arial" w:eastAsia="Arial" w:hAnsi="Arial"/>
                <w:sz w:val="14"/>
                <w:szCs w:val="14"/>
                <w:b w:val="1"/>
                <w:bCs w:val="1"/>
                <w:color w:val="auto"/>
                <w:w w:val="94"/>
              </w:rPr>
              <w:t>Owned</w:t>
            </w:r>
          </w:p>
        </w:tc>
        <w:tc>
          <w:tcPr>
            <w:tcW w:w="1020" w:type="dxa"/>
            <w:vAlign w:val="bottom"/>
          </w:tcPr>
          <w:p>
            <w:pPr>
              <w:jc w:val="center"/>
              <w:ind w:left="18"/>
              <w:spacing w:after="0"/>
              <w:rPr>
                <w:sz w:val="20"/>
                <w:szCs w:val="20"/>
                <w:color w:val="auto"/>
              </w:rPr>
            </w:pPr>
            <w:r>
              <w:rPr>
                <w:rFonts w:ascii="Arial" w:cs="Arial" w:eastAsia="Arial" w:hAnsi="Arial"/>
                <w:sz w:val="14"/>
                <w:szCs w:val="14"/>
                <w:b w:val="1"/>
                <w:bCs w:val="1"/>
                <w:color w:val="auto"/>
                <w:w w:val="96"/>
              </w:rPr>
              <w:t>Offered</w:t>
            </w:r>
          </w:p>
        </w:tc>
        <w:tc>
          <w:tcPr>
            <w:tcW w:w="880" w:type="dxa"/>
            <w:vAlign w:val="bottom"/>
          </w:tcPr>
          <w:p>
            <w:pPr>
              <w:jc w:val="center"/>
              <w:ind w:left="80"/>
              <w:spacing w:after="0"/>
              <w:rPr>
                <w:sz w:val="20"/>
                <w:szCs w:val="20"/>
                <w:color w:val="auto"/>
              </w:rPr>
            </w:pPr>
            <w:r>
              <w:rPr>
                <w:rFonts w:ascii="Arial" w:cs="Arial" w:eastAsia="Arial" w:hAnsi="Arial"/>
                <w:sz w:val="14"/>
                <w:szCs w:val="14"/>
                <w:b w:val="1"/>
                <w:bCs w:val="1"/>
                <w:color w:val="auto"/>
                <w:w w:val="94"/>
              </w:rPr>
              <w:t>Owned</w:t>
            </w:r>
          </w:p>
        </w:tc>
        <w:tc>
          <w:tcPr>
            <w:tcW w:w="202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7"/>
                <w:szCs w:val="17"/>
                <w:color w:val="auto"/>
              </w:rPr>
              <w:t>Aisling Capital IV LP</w:t>
            </w:r>
            <w:r>
              <w:rPr>
                <w:rFonts w:ascii="Arial" w:cs="Arial" w:eastAsia="Arial" w:hAnsi="Arial"/>
                <w:sz w:val="8"/>
                <w:szCs w:val="8"/>
                <w:color w:val="auto"/>
              </w:rPr>
              <w:t>(2)</w:t>
            </w:r>
          </w:p>
        </w:tc>
        <w:tc>
          <w:tcPr>
            <w:tcW w:w="14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888 7th Avenue, 12th Floor New</w:t>
            </w: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York, NY 10106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405,405</w:t>
            </w:r>
          </w:p>
        </w:tc>
        <w:tc>
          <w:tcPr>
            <w:tcW w:w="138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2"/>
              </w:rPr>
              <w:t>1.9%</w:t>
            </w:r>
          </w:p>
        </w:tc>
        <w:tc>
          <w:tcPr>
            <w:tcW w:w="102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2"/>
              </w:rPr>
              <w:t>405,405</w:t>
            </w:r>
          </w:p>
        </w:tc>
        <w:tc>
          <w:tcPr>
            <w:tcW w:w="880" w:type="dxa"/>
            <w:vAlign w:val="bottom"/>
            <w:shd w:val="clear" w:color="auto" w:fill="CCEEFF"/>
          </w:tcPr>
          <w:p>
            <w:pPr>
              <w:jc w:val="center"/>
              <w:ind w:left="60"/>
              <w:spacing w:after="0"/>
              <w:rPr>
                <w:sz w:val="20"/>
                <w:szCs w:val="20"/>
                <w:color w:val="auto"/>
              </w:rPr>
            </w:pPr>
            <w:r>
              <w:rPr>
                <w:rFonts w:ascii="Arial" w:cs="Arial" w:eastAsia="Arial" w:hAnsi="Arial"/>
                <w:sz w:val="18"/>
                <w:szCs w:val="18"/>
                <w:color w:val="auto"/>
                <w:w w:val="99"/>
              </w:rPr>
              <w:t>—</w:t>
            </w:r>
          </w:p>
        </w:tc>
        <w:tc>
          <w:tcPr>
            <w:tcW w:w="2020" w:type="dxa"/>
            <w:vAlign w:val="bottom"/>
            <w:gridSpan w:val="3"/>
            <w:shd w:val="clear" w:color="auto" w:fill="CCEEFF"/>
          </w:tcPr>
          <w:p>
            <w:pPr>
              <w:jc w:val="center"/>
              <w:ind w:left="56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Cormorant Global Healthcare</w:t>
            </w:r>
          </w:p>
        </w:tc>
        <w:tc>
          <w:tcPr>
            <w:tcW w:w="1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Master Fund, LP</w:t>
            </w:r>
            <w:r>
              <w:rPr>
                <w:rFonts w:ascii="Arial" w:cs="Arial" w:eastAsia="Arial" w:hAnsi="Arial"/>
                <w:sz w:val="8"/>
                <w:szCs w:val="8"/>
                <w:color w:val="auto"/>
              </w:rPr>
              <w:t>(3)</w:t>
            </w:r>
          </w:p>
        </w:tc>
        <w:tc>
          <w:tcPr>
            <w:tcW w:w="1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9"/>
              </w:rPr>
              <w:t>200 Clarendon Street, 52nd Floor</w:t>
            </w: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Boston, MA 02116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753,393</w:t>
            </w:r>
          </w:p>
        </w:tc>
        <w:tc>
          <w:tcPr>
            <w:tcW w:w="138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87"/>
              </w:rPr>
              <w:t>3.5</w:t>
            </w:r>
          </w:p>
        </w:tc>
        <w:tc>
          <w:tcPr>
            <w:tcW w:w="102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2"/>
              </w:rPr>
              <w:t>207,500</w:t>
            </w:r>
          </w:p>
        </w:tc>
        <w:tc>
          <w:tcPr>
            <w:tcW w:w="88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2"/>
              </w:rPr>
              <w:t>545,893</w:t>
            </w:r>
          </w:p>
        </w:tc>
        <w:tc>
          <w:tcPr>
            <w:tcW w:w="1800" w:type="dxa"/>
            <w:vAlign w:val="bottom"/>
            <w:shd w:val="clear" w:color="auto" w:fill="CCEEFF"/>
          </w:tcPr>
          <w:p>
            <w:pPr>
              <w:jc w:val="center"/>
              <w:ind w:left="781"/>
              <w:spacing w:after="0"/>
              <w:rPr>
                <w:sz w:val="20"/>
                <w:szCs w:val="20"/>
                <w:color w:val="auto"/>
              </w:rPr>
            </w:pPr>
            <w:r>
              <w:rPr>
                <w:rFonts w:ascii="Arial" w:cs="Arial" w:eastAsia="Arial" w:hAnsi="Arial"/>
                <w:sz w:val="18"/>
                <w:szCs w:val="18"/>
                <w:color w:val="auto"/>
                <w:w w:val="87"/>
              </w:rPr>
              <w:t>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 xml:space="preserve">CRMA SPV, L.P. </w:t>
            </w:r>
            <w:r>
              <w:rPr>
                <w:rFonts w:ascii="Arial" w:cs="Arial" w:eastAsia="Arial" w:hAnsi="Arial"/>
                <w:sz w:val="8"/>
                <w:szCs w:val="8"/>
                <w:color w:val="auto"/>
              </w:rPr>
              <w:t>(3)</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PO Box 309, Ugland House</w:t>
            </w:r>
          </w:p>
        </w:tc>
        <w:tc>
          <w:tcPr>
            <w:tcW w:w="1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Grand Cayman, Cayman Islands</w:t>
            </w: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KY1-1104</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147,893</w:t>
            </w:r>
          </w:p>
        </w:tc>
        <w:tc>
          <w:tcPr>
            <w:tcW w:w="138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7"/>
              </w:rPr>
              <w:t>42,500</w:t>
            </w:r>
          </w:p>
        </w:tc>
        <w:tc>
          <w:tcPr>
            <w:tcW w:w="88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2"/>
              </w:rPr>
              <w:t>105,393</w:t>
            </w:r>
          </w:p>
        </w:tc>
        <w:tc>
          <w:tcPr>
            <w:tcW w:w="1800" w:type="dxa"/>
            <w:vAlign w:val="bottom"/>
            <w:shd w:val="clear" w:color="auto" w:fill="CCEEFF"/>
          </w:tcPr>
          <w:p>
            <w:pPr>
              <w:jc w:val="center"/>
              <w:ind w:left="7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Eventide Healthcare &amp; Life</w:t>
            </w:r>
          </w:p>
        </w:tc>
        <w:tc>
          <w:tcPr>
            <w:tcW w:w="1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Sciences Fund</w:t>
            </w:r>
            <w:r>
              <w:rPr>
                <w:rFonts w:ascii="Arial" w:cs="Arial" w:eastAsia="Arial" w:hAnsi="Arial"/>
                <w:sz w:val="8"/>
                <w:szCs w:val="8"/>
                <w:color w:val="auto"/>
              </w:rPr>
              <w:t>(4)</w:t>
            </w:r>
          </w:p>
        </w:tc>
        <w:tc>
          <w:tcPr>
            <w:tcW w:w="1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One International Place, 35th</w:t>
            </w: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Floor</w:t>
            </w: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Boston, MA 02110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138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2"/>
              </w:rPr>
              <w:t>140,000</w:t>
            </w:r>
          </w:p>
        </w:tc>
        <w:tc>
          <w:tcPr>
            <w:tcW w:w="880" w:type="dxa"/>
            <w:vAlign w:val="bottom"/>
            <w:shd w:val="clear" w:color="auto" w:fill="CCEEFF"/>
          </w:tcPr>
          <w:p>
            <w:pPr>
              <w:jc w:val="center"/>
              <w:ind w:left="60"/>
              <w:spacing w:after="0"/>
              <w:rPr>
                <w:sz w:val="20"/>
                <w:szCs w:val="20"/>
                <w:color w:val="auto"/>
              </w:rPr>
            </w:pPr>
            <w:r>
              <w:rPr>
                <w:rFonts w:ascii="Arial" w:cs="Arial" w:eastAsia="Arial" w:hAnsi="Arial"/>
                <w:sz w:val="18"/>
                <w:szCs w:val="18"/>
                <w:color w:val="auto"/>
                <w:w w:val="99"/>
              </w:rPr>
              <w:t>—</w:t>
            </w:r>
          </w:p>
        </w:tc>
        <w:tc>
          <w:tcPr>
            <w:tcW w:w="2020" w:type="dxa"/>
            <w:vAlign w:val="bottom"/>
            <w:gridSpan w:val="3"/>
            <w:shd w:val="clear" w:color="auto" w:fill="CCEEFF"/>
          </w:tcPr>
          <w:p>
            <w:pPr>
              <w:jc w:val="center"/>
              <w:ind w:left="56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jc w:val="right"/>
              <w:ind w:right="679"/>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420"/>
          </w:cols>
          <w:pgMar w:left="1260" w:top="125" w:right="1219" w:bottom="1440" w:gutter="0" w:footer="0" w:header="0"/>
        </w:sectPr>
      </w:pPr>
    </w:p>
    <w:bookmarkStart w:id="12" w:name="page13"/>
    <w:bookmarkEnd w:id="12"/>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379"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780" w:type="dxa"/>
            <w:vAlign w:val="bottom"/>
            <w:gridSpan w:val="2"/>
          </w:tcPr>
          <w:p>
            <w:pPr>
              <w:ind w:left="820"/>
              <w:spacing w:after="0"/>
              <w:rPr>
                <w:sz w:val="20"/>
                <w:szCs w:val="20"/>
                <w:color w:val="auto"/>
              </w:rPr>
            </w:pPr>
            <w:r>
              <w:rPr>
                <w:rFonts w:ascii="Arial" w:cs="Arial" w:eastAsia="Arial" w:hAnsi="Arial"/>
                <w:sz w:val="14"/>
                <w:szCs w:val="14"/>
                <w:b w:val="1"/>
                <w:bCs w:val="1"/>
                <w:color w:val="auto"/>
              </w:rPr>
              <w:t xml:space="preserve">Prior to Offering </w:t>
            </w:r>
            <w:r>
              <w:rPr>
                <w:rFonts w:ascii="Arial" w:cs="Arial" w:eastAsia="Arial" w:hAnsi="Arial"/>
                <w:sz w:val="7"/>
                <w:szCs w:val="7"/>
                <w:b w:val="1"/>
                <w:bCs w:val="1"/>
                <w:color w:val="auto"/>
              </w:rPr>
              <w:t>(1)</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After Offering </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tcBorders>
              <w:top w:val="single" w:sz="8" w:color="auto"/>
            </w:tcBorders>
          </w:tcPr>
          <w:p>
            <w:pPr>
              <w:jc w:val="center"/>
              <w:ind w:left="79"/>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2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Number of</w:t>
            </w:r>
          </w:p>
        </w:tc>
        <w:tc>
          <w:tcPr>
            <w:tcW w:w="880" w:type="dxa"/>
            <w:vAlign w:val="bottom"/>
            <w:tcBorders>
              <w:top w:val="single" w:sz="8" w:color="auto"/>
            </w:tcBorders>
          </w:tcPr>
          <w:p>
            <w:pPr>
              <w:jc w:val="center"/>
              <w:ind w:left="79"/>
              <w:spacing w:after="0" w:line="119" w:lineRule="exact"/>
              <w:rPr>
                <w:sz w:val="20"/>
                <w:szCs w:val="20"/>
                <w:color w:val="auto"/>
              </w:rPr>
            </w:pPr>
            <w:r>
              <w:rPr>
                <w:rFonts w:ascii="Arial" w:cs="Arial" w:eastAsia="Arial" w:hAnsi="Arial"/>
                <w:sz w:val="13"/>
                <w:szCs w:val="13"/>
                <w:b w:val="1"/>
                <w:bCs w:val="1"/>
                <w:color w:val="auto"/>
              </w:rPr>
              <w:t>Number of</w:t>
            </w:r>
          </w:p>
        </w:tc>
        <w:tc>
          <w:tcPr>
            <w:tcW w:w="1820" w:type="dxa"/>
            <w:vAlign w:val="bottom"/>
            <w:tcBorders>
              <w:top w:val="single" w:sz="8" w:color="auto"/>
            </w:tcBorders>
          </w:tcPr>
          <w:p>
            <w:pPr>
              <w:jc w:val="center"/>
              <w:ind w:left="760"/>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3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vMerge w:val="continue"/>
          </w:tcPr>
          <w:p>
            <w:pPr>
              <w:spacing w:after="0"/>
              <w:rPr>
                <w:sz w:val="12"/>
                <w:szCs w:val="12"/>
                <w:color w:val="auto"/>
              </w:rPr>
            </w:pPr>
          </w:p>
        </w:tc>
        <w:tc>
          <w:tcPr>
            <w:tcW w:w="8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85"/>
              </w:rPr>
              <w:t>Shares</w:t>
            </w:r>
          </w:p>
        </w:tc>
        <w:tc>
          <w:tcPr>
            <w:tcW w:w="2040" w:type="dxa"/>
            <w:vAlign w:val="bottom"/>
            <w:gridSpan w:val="2"/>
          </w:tcPr>
          <w:p>
            <w:pPr>
              <w:jc w:val="center"/>
              <w:ind w:left="5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40" w:type="dxa"/>
            <w:vAlign w:val="bottom"/>
            <w:gridSpan w:val="2"/>
          </w:tcPr>
          <w:p>
            <w:pPr>
              <w:jc w:val="center"/>
              <w:ind w:lef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380" w:type="dxa"/>
            <w:vAlign w:val="bottom"/>
          </w:tcPr>
          <w:p>
            <w:pPr>
              <w:jc w:val="center"/>
              <w:ind w:left="139"/>
              <w:spacing w:after="0"/>
              <w:rPr>
                <w:sz w:val="20"/>
                <w:szCs w:val="20"/>
                <w:color w:val="auto"/>
              </w:rPr>
            </w:pPr>
            <w:r>
              <w:rPr>
                <w:rFonts w:ascii="Arial" w:cs="Arial" w:eastAsia="Arial" w:hAnsi="Arial"/>
                <w:sz w:val="14"/>
                <w:szCs w:val="14"/>
                <w:b w:val="1"/>
                <w:bCs w:val="1"/>
                <w:color w:val="auto"/>
                <w:w w:val="94"/>
              </w:rPr>
              <w:t>Owned</w:t>
            </w:r>
          </w:p>
        </w:tc>
        <w:tc>
          <w:tcPr>
            <w:tcW w:w="1020" w:type="dxa"/>
            <w:vAlign w:val="bottom"/>
          </w:tcPr>
          <w:p>
            <w:pPr>
              <w:ind w:left="340"/>
              <w:spacing w:after="0"/>
              <w:rPr>
                <w:sz w:val="20"/>
                <w:szCs w:val="20"/>
                <w:color w:val="auto"/>
              </w:rPr>
            </w:pPr>
            <w:r>
              <w:rPr>
                <w:rFonts w:ascii="Arial" w:cs="Arial" w:eastAsia="Arial" w:hAnsi="Arial"/>
                <w:sz w:val="14"/>
                <w:szCs w:val="14"/>
                <w:b w:val="1"/>
                <w:bCs w:val="1"/>
                <w:color w:val="auto"/>
              </w:rPr>
              <w:t>Offered</w:t>
            </w:r>
          </w:p>
        </w:tc>
        <w:tc>
          <w:tcPr>
            <w:tcW w:w="880" w:type="dxa"/>
            <w:vAlign w:val="bottom"/>
          </w:tcPr>
          <w:p>
            <w:pPr>
              <w:jc w:val="center"/>
              <w:ind w:left="119"/>
              <w:spacing w:after="0"/>
              <w:rPr>
                <w:sz w:val="20"/>
                <w:szCs w:val="20"/>
                <w:color w:val="auto"/>
              </w:rPr>
            </w:pPr>
            <w:r>
              <w:rPr>
                <w:rFonts w:ascii="Arial" w:cs="Arial" w:eastAsia="Arial" w:hAnsi="Arial"/>
                <w:sz w:val="14"/>
                <w:szCs w:val="14"/>
                <w:b w:val="1"/>
                <w:bCs w:val="1"/>
                <w:color w:val="auto"/>
                <w:w w:val="94"/>
              </w:rPr>
              <w:t>Owned</w:t>
            </w:r>
          </w:p>
        </w:tc>
        <w:tc>
          <w:tcPr>
            <w:tcW w:w="2040" w:type="dxa"/>
            <w:vAlign w:val="bottom"/>
            <w:gridSpan w:val="2"/>
          </w:tcPr>
          <w:p>
            <w:pPr>
              <w:jc w:val="center"/>
              <w:ind w:left="5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7"/>
                <w:szCs w:val="17"/>
                <w:color w:val="auto"/>
              </w:rPr>
              <w:t>Rock Springs Capital Master</w:t>
            </w:r>
          </w:p>
        </w:tc>
        <w:tc>
          <w:tcPr>
            <w:tcW w:w="14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 LP</w:t>
            </w:r>
            <w:r>
              <w:rPr>
                <w:rFonts w:ascii="Arial" w:cs="Arial" w:eastAsia="Arial" w:hAnsi="Arial"/>
                <w:sz w:val="8"/>
                <w:szCs w:val="8"/>
                <w:color w:val="auto"/>
              </w:rPr>
              <w:t>(5)</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 Rock Springs Capital</w:t>
            </w:r>
          </w:p>
        </w:tc>
        <w:tc>
          <w:tcPr>
            <w:tcW w:w="1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Management LP</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650 S. Exeter St., Suite</w:t>
            </w:r>
          </w:p>
        </w:tc>
        <w:tc>
          <w:tcPr>
            <w:tcW w:w="1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1070 Baltimore, MD 21202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991,177</w:t>
            </w:r>
          </w:p>
        </w:tc>
        <w:tc>
          <w:tcPr>
            <w:tcW w:w="13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7"/>
              </w:rPr>
              <w:t>4.6</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95,677</w:t>
            </w:r>
          </w:p>
        </w:tc>
        <w:tc>
          <w:tcPr>
            <w:tcW w:w="8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92"/>
              </w:rPr>
              <w:t>895,500</w:t>
            </w:r>
          </w:p>
        </w:tc>
        <w:tc>
          <w:tcPr>
            <w:tcW w:w="1820" w:type="dxa"/>
            <w:vAlign w:val="bottom"/>
            <w:shd w:val="clear" w:color="auto" w:fill="CCEEFF"/>
          </w:tcPr>
          <w:p>
            <w:pPr>
              <w:jc w:val="center"/>
              <w:ind w:left="800"/>
              <w:spacing w:after="0"/>
              <w:rPr>
                <w:sz w:val="20"/>
                <w:szCs w:val="20"/>
                <w:color w:val="auto"/>
              </w:rPr>
            </w:pPr>
            <w:r>
              <w:rPr>
                <w:rFonts w:ascii="Arial" w:cs="Arial" w:eastAsia="Arial" w:hAnsi="Arial"/>
                <w:sz w:val="18"/>
                <w:szCs w:val="18"/>
                <w:color w:val="auto"/>
                <w:w w:val="87"/>
              </w:rPr>
              <w:t>4.2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Monashee Capital Master Fund</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LP</w:t>
            </w:r>
            <w:r>
              <w:rPr>
                <w:rFonts w:ascii="Arial" w:cs="Arial" w:eastAsia="Arial" w:hAnsi="Arial"/>
                <w:sz w:val="8"/>
                <w:szCs w:val="8"/>
                <w:color w:val="auto"/>
              </w:rPr>
              <w:t>(6)</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125 High Street, 28th Floor</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Boston, MA 02180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3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60,000</w:t>
            </w:r>
          </w:p>
        </w:tc>
        <w:tc>
          <w:tcPr>
            <w:tcW w:w="880" w:type="dxa"/>
            <w:vAlign w:val="bottom"/>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center"/>
              <w:ind w:lef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Sabby Healthcare Master Fund,</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Ltd. </w:t>
            </w:r>
            <w:r>
              <w:rPr>
                <w:rFonts w:ascii="Arial" w:cs="Arial" w:eastAsia="Arial" w:hAnsi="Arial"/>
                <w:sz w:val="8"/>
                <w:szCs w:val="8"/>
                <w:color w:val="auto"/>
              </w:rPr>
              <w:t>(7)</w:t>
            </w: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 Mountainview Road, Suite</w:t>
            </w:r>
          </w:p>
        </w:tc>
        <w:tc>
          <w:tcPr>
            <w:tcW w:w="1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Upper Saddle River, NJ 07458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55,000</w:t>
            </w:r>
          </w:p>
        </w:tc>
        <w:tc>
          <w:tcPr>
            <w:tcW w:w="13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55,000</w:t>
            </w:r>
          </w:p>
        </w:tc>
        <w:tc>
          <w:tcPr>
            <w:tcW w:w="880" w:type="dxa"/>
            <w:vAlign w:val="bottom"/>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center"/>
              <w:ind w:lef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 xml:space="preserve">CVI Investments, Inc. </w:t>
            </w:r>
            <w:r>
              <w:rPr>
                <w:rFonts w:ascii="Arial" w:cs="Arial" w:eastAsia="Arial" w:hAnsi="Arial"/>
                <w:sz w:val="8"/>
                <w:szCs w:val="8"/>
                <w:color w:val="auto"/>
              </w:rPr>
              <w:t>(8)</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101 California Street, Suite 3250</w:t>
            </w:r>
          </w:p>
        </w:tc>
        <w:tc>
          <w:tcPr>
            <w:tcW w:w="1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55,000</w:t>
            </w:r>
          </w:p>
        </w:tc>
        <w:tc>
          <w:tcPr>
            <w:tcW w:w="13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55,000</w:t>
            </w:r>
          </w:p>
        </w:tc>
        <w:tc>
          <w:tcPr>
            <w:tcW w:w="880" w:type="dxa"/>
            <w:vAlign w:val="bottom"/>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center"/>
              <w:ind w:lef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Mossrock Capital, LLC</w:t>
            </w:r>
            <w:r>
              <w:rPr>
                <w:rFonts w:ascii="Arial" w:cs="Arial" w:eastAsia="Arial" w:hAnsi="Arial"/>
                <w:sz w:val="8"/>
                <w:szCs w:val="8"/>
                <w:color w:val="auto"/>
              </w:rPr>
              <w:t>(9)</w:t>
            </w:r>
          </w:p>
        </w:tc>
        <w:tc>
          <w:tcPr>
            <w:tcW w:w="1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19 Martin Lane</w:t>
            </w:r>
          </w:p>
        </w:tc>
        <w:tc>
          <w:tcPr>
            <w:tcW w:w="1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Englewood, CO 80113</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43,451</w:t>
            </w:r>
          </w:p>
        </w:tc>
        <w:tc>
          <w:tcPr>
            <w:tcW w:w="138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20,000</w:t>
            </w:r>
          </w:p>
        </w:tc>
        <w:tc>
          <w:tcPr>
            <w:tcW w:w="88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8"/>
                <w:szCs w:val="18"/>
                <w:color w:val="auto"/>
                <w:w w:val="87"/>
              </w:rPr>
              <w:t>23,451</w:t>
            </w:r>
          </w:p>
        </w:tc>
        <w:tc>
          <w:tcPr>
            <w:tcW w:w="1820" w:type="dxa"/>
            <w:vAlign w:val="bottom"/>
            <w:tcBorders>
              <w:bottom w:val="single" w:sz="8" w:color="auto"/>
            </w:tcBorders>
            <w:shd w:val="clear" w:color="auto" w:fill="CCEEFF"/>
          </w:tcPr>
          <w:p>
            <w:pPr>
              <w:jc w:val="cente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5" w:hanging="305"/>
        <w:spacing w:after="0"/>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225" w:right="260" w:hanging="215"/>
        <w:spacing w:after="0" w:line="265" w:lineRule="auto"/>
        <w:rPr>
          <w:sz w:val="20"/>
          <w:szCs w:val="20"/>
          <w:color w:val="auto"/>
        </w:rPr>
      </w:pPr>
      <w:r>
        <w:rPr>
          <w:rFonts w:ascii="Arial" w:cs="Arial" w:eastAsia="Arial" w:hAnsi="Arial"/>
          <w:sz w:val="17"/>
          <w:szCs w:val="17"/>
          <w:color w:val="auto"/>
        </w:rPr>
        <w:t>(1)This table is based upon information supplied by the selling stockholders, which information may not be accurate as of the date hereof. We have determined beneficial ownership in accordance with the rules of the SEC. Except as indicated by the footnotes below, we believe, based on the information furnished to us, that the selling stockholders named in the table above have sole voting and investment power with respect to all shares of common stock that they beneficially own, subject to applicable community property laws. Applicable percentages are based on 21,403,005 shares outstanding on June 10, 2016, adjusted as required by rules promulgated by the SEC.</w:t>
      </w:r>
    </w:p>
    <w:p>
      <w:pPr>
        <w:spacing w:after="0" w:line="1" w:lineRule="exact"/>
        <w:rPr>
          <w:sz w:val="20"/>
          <w:szCs w:val="20"/>
          <w:color w:val="auto"/>
        </w:rPr>
      </w:pPr>
    </w:p>
    <w:p>
      <w:pPr>
        <w:ind w:left="225" w:right="100" w:hanging="215"/>
        <w:spacing w:after="0" w:line="265" w:lineRule="auto"/>
        <w:rPr>
          <w:sz w:val="20"/>
          <w:szCs w:val="20"/>
          <w:color w:val="auto"/>
        </w:rPr>
      </w:pPr>
      <w:r>
        <w:rPr>
          <w:rFonts w:ascii="Arial" w:cs="Arial" w:eastAsia="Arial" w:hAnsi="Arial"/>
          <w:sz w:val="17"/>
          <w:szCs w:val="17"/>
          <w:color w:val="auto"/>
        </w:rPr>
        <w:t>(2)These shares of common stock are owned directly by Aisling Capital IV LP (“Aisling”) and held indirectly by Aisling Capital Partners IV, LP (“Aisling GP”), as general partner of Aisling, Aisling Capital Partners IV LLC (“Aisling Partners”), as general partner of Aisling GP, and each of the individual managing members of Aisling Partners. The individual managing members (collectively, the “Managers”) of Aisling Partners are Dr. Andrew Schiff and Steve Elms. Aisling GP, Aisling Partners and the Managers share voting and dispositive power over the shares directly held by Aisling.</w:t>
      </w:r>
    </w:p>
    <w:p>
      <w:pPr>
        <w:spacing w:after="0" w:line="1" w:lineRule="exact"/>
        <w:rPr>
          <w:sz w:val="20"/>
          <w:szCs w:val="20"/>
          <w:color w:val="auto"/>
        </w:rPr>
      </w:pPr>
    </w:p>
    <w:p>
      <w:pPr>
        <w:ind w:left="225" w:right="80" w:hanging="215"/>
        <w:spacing w:after="0" w:line="265" w:lineRule="auto"/>
        <w:rPr>
          <w:sz w:val="20"/>
          <w:szCs w:val="20"/>
          <w:color w:val="auto"/>
        </w:rPr>
      </w:pPr>
      <w:r>
        <w:rPr>
          <w:rFonts w:ascii="Arial" w:cs="Arial" w:eastAsia="Arial" w:hAnsi="Arial"/>
          <w:sz w:val="17"/>
          <w:szCs w:val="17"/>
          <w:color w:val="auto"/>
        </w:rPr>
        <w:t>(3)Cormorant Global Healthcare GP, LLC serves as the general partner of Cormorant Global Healthcare Master Fund, LP, and Cormorant Asset Management, LLC serves as the investment manager of Cormorant Global Healthcare Master Fund, LP. Cormorant Asset Management, LLC also serves as the special limited partner of CRMA SPV, L.P. Bihua Chen serves as the managing member of Cormorant Global Healthcare GP, LLC and Cormorant Asset Management, LLC. Cormorant Global Healthcare Master Fund, LP, Cormorant Global Healthcare GP, LLC, Cormorant Asset Management, LLC, and Ms. Chen share dispositive and voting power of the shares of common stock beneficially owned by Cormorant Global Healthcare Master Fund, LP. Cormorant Asset Management, LLC and Ms. Chen share dispositive and voting power of the shares of common stock beneficially owned by CRMA SPV, L.P.</w:t>
      </w:r>
    </w:p>
    <w:p>
      <w:pPr>
        <w:spacing w:after="0" w:line="2" w:lineRule="exact"/>
        <w:rPr>
          <w:sz w:val="20"/>
          <w:szCs w:val="20"/>
          <w:color w:val="auto"/>
        </w:rPr>
      </w:pPr>
    </w:p>
    <w:p>
      <w:pPr>
        <w:ind w:left="225" w:right="260" w:hanging="215"/>
        <w:spacing w:after="0" w:line="250" w:lineRule="auto"/>
        <w:rPr>
          <w:sz w:val="20"/>
          <w:szCs w:val="20"/>
          <w:color w:val="auto"/>
        </w:rPr>
      </w:pPr>
      <w:r>
        <w:rPr>
          <w:rFonts w:ascii="Arial" w:cs="Arial" w:eastAsia="Arial" w:hAnsi="Arial"/>
          <w:sz w:val="18"/>
          <w:szCs w:val="18"/>
          <w:color w:val="auto"/>
        </w:rPr>
        <w:t>(4)Eventide Healthcare &amp; Life Sciences Fund is a registered investment company for which Eventide Asset Management, LLC acts as investment adviser. Eventide Asset Management, LLC has voting and investment power with respect to all of such shares.</w:t>
      </w:r>
    </w:p>
    <w:p>
      <w:pPr>
        <w:spacing w:after="0" w:line="1" w:lineRule="exact"/>
        <w:rPr>
          <w:sz w:val="20"/>
          <w:szCs w:val="20"/>
          <w:color w:val="auto"/>
        </w:rPr>
      </w:pPr>
    </w:p>
    <w:p>
      <w:pPr>
        <w:ind w:left="225" w:right="100" w:hanging="215"/>
        <w:spacing w:after="0" w:line="261" w:lineRule="auto"/>
        <w:rPr>
          <w:sz w:val="20"/>
          <w:szCs w:val="20"/>
          <w:color w:val="auto"/>
        </w:rPr>
      </w:pPr>
      <w:r>
        <w:rPr>
          <w:rFonts w:ascii="Arial" w:cs="Arial" w:eastAsia="Arial" w:hAnsi="Arial"/>
          <w:sz w:val="18"/>
          <w:szCs w:val="18"/>
          <w:color w:val="auto"/>
        </w:rPr>
        <w:t>(5)Rock Springs General Partner LLC is the general partner of Rock Springs Capital Master Fund LP and Graham McPhail is the managing director of Rock Springs General Partner LLC.</w:t>
      </w:r>
    </w:p>
    <w:p>
      <w:pPr>
        <w:spacing w:after="0" w:line="18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01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25"/>
          </w:cols>
          <w:pgMar w:left="1255" w:top="125" w:right="12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220" w:right="600" w:hanging="215"/>
        <w:spacing w:after="0" w:line="258" w:lineRule="auto"/>
        <w:rPr>
          <w:sz w:val="20"/>
          <w:szCs w:val="20"/>
          <w:color w:val="auto"/>
        </w:rPr>
      </w:pPr>
      <w:r>
        <w:rPr>
          <w:rFonts w:ascii="Arial" w:cs="Arial" w:eastAsia="Arial" w:hAnsi="Arial"/>
          <w:sz w:val="18"/>
          <w:szCs w:val="18"/>
          <w:color w:val="auto"/>
        </w:rPr>
        <w:t>(6)Monashee Investment Management LLC, as the general partner of Monashee Capital Master Fund LP, has voting and investment control over the shares held directly by Monashee Capital Master Fund LP.</w:t>
      </w:r>
    </w:p>
    <w:p>
      <w:pPr>
        <w:spacing w:after="0" w:line="1" w:lineRule="exact"/>
        <w:rPr>
          <w:sz w:val="20"/>
          <w:szCs w:val="20"/>
          <w:color w:val="auto"/>
        </w:rPr>
      </w:pPr>
    </w:p>
    <w:p>
      <w:pPr>
        <w:ind w:left="220" w:right="20" w:hanging="215"/>
        <w:spacing w:after="0" w:line="250" w:lineRule="auto"/>
        <w:rPr>
          <w:sz w:val="20"/>
          <w:szCs w:val="20"/>
          <w:color w:val="auto"/>
        </w:rPr>
      </w:pPr>
      <w:r>
        <w:rPr>
          <w:rFonts w:ascii="Arial" w:cs="Arial" w:eastAsia="Arial" w:hAnsi="Arial"/>
          <w:sz w:val="18"/>
          <w:szCs w:val="18"/>
          <w:color w:val="auto"/>
        </w:rPr>
        <w:t>(7)Hal Mintz has voting and investment power over the shares held by Sabby Healthcare Master Fund, Ltd. Sabby Management, LLC serves as the investment manager of Sabby Healthcare Master Fund, Ltd., and Hal Mintz is the manager of Sabby Management, LLC.</w:t>
      </w:r>
    </w:p>
    <w:p>
      <w:pPr>
        <w:spacing w:after="0" w:line="1" w:lineRule="exact"/>
        <w:rPr>
          <w:sz w:val="20"/>
          <w:szCs w:val="20"/>
          <w:color w:val="auto"/>
        </w:rPr>
      </w:pPr>
    </w:p>
    <w:p>
      <w:pPr>
        <w:jc w:val="both"/>
        <w:ind w:left="220" w:hanging="215"/>
        <w:spacing w:after="0" w:line="250" w:lineRule="auto"/>
        <w:rPr>
          <w:sz w:val="20"/>
          <w:szCs w:val="20"/>
          <w:color w:val="auto"/>
        </w:rPr>
      </w:pPr>
      <w:r>
        <w:rPr>
          <w:rFonts w:ascii="Arial" w:cs="Arial" w:eastAsia="Arial" w:hAnsi="Arial"/>
          <w:sz w:val="18"/>
          <w:szCs w:val="18"/>
          <w:color w:val="auto"/>
        </w:rPr>
        <w:t>(8)Heights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w:t>
      </w:r>
    </w:p>
    <w:p>
      <w:pPr>
        <w:spacing w:after="0" w:line="2" w:lineRule="exact"/>
        <w:rPr>
          <w:sz w:val="20"/>
          <w:szCs w:val="20"/>
          <w:color w:val="auto"/>
        </w:rPr>
      </w:pPr>
    </w:p>
    <w:p>
      <w:pPr>
        <w:ind w:left="220" w:right="160" w:hanging="215"/>
        <w:spacing w:after="0" w:line="261" w:lineRule="auto"/>
        <w:rPr>
          <w:sz w:val="20"/>
          <w:szCs w:val="20"/>
          <w:color w:val="auto"/>
        </w:rPr>
      </w:pPr>
      <w:r>
        <w:rPr>
          <w:rFonts w:ascii="Arial" w:cs="Arial" w:eastAsia="Arial" w:hAnsi="Arial"/>
          <w:sz w:val="18"/>
          <w:szCs w:val="18"/>
          <w:color w:val="auto"/>
        </w:rPr>
        <w:t>(9)Thomas Malley is the owner and general partner of Mossrock Capital, LLC and has voting and investment power over such shares.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80"/>
          </w:cols>
          <w:pgMar w:left="1260" w:top="125" w:right="135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registering the shares of common stock previously issued to permit the resale of these shares of common stock by the holders of the common stock from time to time after the date of this prospectus. We will not receive any of the proceeds from the sale by the selling stockholders of the shares of common stock. We will bear all fees and expenses incident to our obligation to register the shares of common stock, except that, if the shares of common stock are sold through underwriters or broker-dealers, the selling stockholders will be responsible for underwriting discounts or commissions or agent’s commissions.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selling stockholders may sell all or a portion of the shares of our common stock beneficially owned by them and offered hereby from time to time directly or through one or more underwriters, broker-dealers or agents.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any national securities exchange or quotation service on which the securities may be listed or quoted at the time of sale;</w:t>
      </w:r>
    </w:p>
    <w:p>
      <w:pPr>
        <w:spacing w:after="0" w:line="248"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the over-the-counter market;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sz w:val="20"/>
          <w:szCs w:val="20"/>
          <w:color w:val="auto"/>
        </w:rPr>
      </w:pPr>
    </w:p>
    <w:p>
      <w:pPr>
        <w:ind w:left="380" w:right="180" w:hanging="53"/>
        <w:spacing w:after="0" w:line="277" w:lineRule="auto"/>
        <w:rPr>
          <w:sz w:val="20"/>
          <w:szCs w:val="20"/>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sz w:val="20"/>
          <w:szCs w:val="20"/>
          <w:color w:val="auto"/>
        </w:rPr>
      </w:pPr>
    </w:p>
    <w:p>
      <w:pPr>
        <w:ind w:left="400" w:hanging="81"/>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500" w:hanging="18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880" w:hanging="561"/>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460" w:hanging="14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pursuant to Rule 144 of the Securities Act;</w:t>
      </w:r>
    </w:p>
    <w:p>
      <w:pPr>
        <w:spacing w:after="0" w:line="225" w:lineRule="exact"/>
        <w:rPr>
          <w:sz w:val="20"/>
          <w:szCs w:val="20"/>
          <w:color w:val="auto"/>
        </w:rPr>
      </w:pPr>
    </w:p>
    <w:p>
      <w:pPr>
        <w:ind w:left="380" w:right="300" w:hanging="53"/>
        <w:spacing w:after="0" w:line="277" w:lineRule="auto"/>
        <w:rPr>
          <w:sz w:val="20"/>
          <w:szCs w:val="20"/>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70" w:lineRule="exact"/>
        <w:rPr>
          <w:sz w:val="20"/>
          <w:szCs w:val="20"/>
          <w:color w:val="auto"/>
        </w:rPr>
      </w:pPr>
    </w:p>
    <w:p>
      <w:pPr>
        <w:ind w:left="460" w:hanging="14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440" w:hanging="121"/>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the selling stockholders effect such transactions by selling shares of our common stock to or through underwriters, broker-dealers or agents, such underwriters, broker-dealers or agents may receive commissions in the form of discounts, concessions or commissions from the selling stockholders or commissions from purchasers of the shares of our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our common stock or otherwise, the selling stockholders may enter into hedging transactions with broker-dealers, which may in turn engage in short sales of the shares of our common stock in the course of hedging in positions they assume. The selling stockholders may also sell shares of our common stock short and deliver shares of our common stock covered by this prospectus to close out short positions and to return borrowed shares in connection with such short sales. The selling stockholders may also loan or pledge shares of our common stock to broker-dealers that in turn may sell such shares.</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00"/>
          </w:cols>
          <w:pgMar w:left="1260" w:top="125" w:right="1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selling stockholders may pledge or grant a security interest in some or all of the shares of our common stock owned by them and, if they default in the performance of their secured obligations, the pledgees or secured parties may offer and sell the shares of common stock from time to time pursuant to this prospectus or other applicable provisions of the Securities Act, amending, if necessary, the list of selling stockholders to include the pledgee, transferee or other successors in interest as selling stockholders under this prospectus. The selling stockholders also may transfer and donate the shares of our common stock in other circumstances in which case the transferees, donees, pledgees or other successors in interest will be the selling beneficial owners for purposes of this prospectus.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selling stockholders and any broker-dealer participating in the distribution of the shares of our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our common stock is made, a prospectus supplement, if required, will be distributed which will set forth the aggregate amount of shares of our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6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Under the securities laws of some states, the shares of our common stock may be sold in such states only through registered or licensed brokers or dealers. In addition, in some states the shares of our common stock may not be sold unless such shares have been registered or qualified for sale in such state or an exemption from registration or qualification is available and is complied with.</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our common stock registered pursuant to the registration statement, of which this prospectus forms a part.</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our common stock by the selling stockholders and any other participating person. Regulation M may also restrict the ability of any person engaged in the distribution of the shares of our common stock to engage in market-making activities with respect to the shares of our common stock. All of the foregoing may affect the marketability of the shares of our common stock and the ability of any person or entity to engage in market-making activities with respect to the shares of our common stock.</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will pay all expenses of the registration of the shares of our common stock pursuant to the registration statement of which this prospectus forms a part, including, without limitation, SEC filing fees and expenses of compliance with state securities or “blue sky” laws; provided, however, that the selling stockholders will pay all underwriting discounts and selling commissions, if any. We will indemnify the selling stockholders against liabilities, including some liabilities under the Securities Act,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or we may be entitled to contribution.</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our common stock will be freely tradable in the hands of persons other than our affiliates.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Cooley LLP, Reston, Virginia.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statements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prospectus is part of the registration statement on Form S-1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operation of the Public Reference Room.</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maintain a website at www.aclaristx.com. Information found on, or accessible through, our website is not a part of, and is not incorporated into, this prospectus, and you should not consider it part of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form a part the information or documents listed below that we have filed with the SEC:</w:t>
      </w:r>
    </w:p>
    <w:p>
      <w:pPr>
        <w:spacing w:after="0" w:line="170" w:lineRule="exact"/>
        <w:rPr>
          <w:sz w:val="20"/>
          <w:szCs w:val="20"/>
          <w:color w:val="auto"/>
        </w:rPr>
      </w:pPr>
    </w:p>
    <w:p>
      <w:pPr>
        <w:ind w:left="380" w:right="40" w:hanging="53"/>
        <w:spacing w:after="0" w:line="258" w:lineRule="auto"/>
        <w:rPr>
          <w:sz w:val="20"/>
          <w:szCs w:val="20"/>
          <w:color w:val="auto"/>
        </w:rPr>
      </w:pPr>
      <w:r>
        <w:rPr>
          <w:rFonts w:ascii="Arial" w:cs="Arial" w:eastAsia="Arial" w:hAnsi="Arial"/>
          <w:sz w:val="18"/>
          <w:szCs w:val="18"/>
          <w:color w:val="auto"/>
        </w:rPr>
        <w:t>·our Annual Report on Form 10-K for the year ended December 31, 2015, filed on March 23, 2016 and amended on April 25, 2016;</w:t>
      </w:r>
    </w:p>
    <w:p>
      <w:pPr>
        <w:spacing w:after="0" w:line="1" w:lineRule="exact"/>
        <w:rPr>
          <w:sz w:val="20"/>
          <w:szCs w:val="20"/>
          <w:color w:val="auto"/>
        </w:rPr>
      </w:pPr>
    </w:p>
    <w:p>
      <w:pPr>
        <w:ind w:left="320" w:right="1320"/>
        <w:spacing w:after="0" w:line="265" w:lineRule="auto"/>
        <w:rPr>
          <w:sz w:val="20"/>
          <w:szCs w:val="20"/>
          <w:color w:val="auto"/>
        </w:rPr>
      </w:pPr>
      <w:r>
        <w:rPr>
          <w:rFonts w:ascii="Arial" w:cs="Arial" w:eastAsia="Arial" w:hAnsi="Arial"/>
          <w:sz w:val="17"/>
          <w:szCs w:val="17"/>
          <w:color w:val="auto"/>
        </w:rPr>
        <w:t>·our Quarterly Report on Form 10-Q for the quarterly period ended March 31, 2016, filed on May 11, 2016; ·our Current Reports on Form 8-K filed on March 30, 2016, May 27, 2016 and June 2, 2016; and</w:t>
      </w:r>
    </w:p>
    <w:p>
      <w:pPr>
        <w:ind w:left="380" w:right="600" w:hanging="53"/>
        <w:spacing w:after="0" w:line="261" w:lineRule="auto"/>
        <w:rPr>
          <w:sz w:val="20"/>
          <w:szCs w:val="20"/>
          <w:color w:val="auto"/>
        </w:rPr>
      </w:pPr>
      <w:r>
        <w:rPr>
          <w:rFonts w:ascii="Arial" w:cs="Arial" w:eastAsia="Arial" w:hAnsi="Arial"/>
          <w:sz w:val="18"/>
          <w:szCs w:val="18"/>
          <w:color w:val="auto"/>
        </w:rPr>
        <w:t>·the description of our common stock contained in our Registration Statement on Form 8-A, filed on October 2, 2015, including any amendments or reports filed for the purposes of updating this description.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Aclaris Therapeutics, Inc., Attn: Kamil Ali-Jackson, Chief Legal Officer, 101 Lindenwood Drive, Suite 400, Malvern, PA 19355; telephone: (484) 324-7933.</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also may access these filings on our website at www.aclaristx.com.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29"/>
          <w:szCs w:val="29"/>
          <w:b w:val="1"/>
          <w:bCs w:val="1"/>
          <w:color w:val="auto"/>
        </w:rPr>
        <w:t>1,081,082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228600</wp:posOffset>
            </wp:positionV>
            <wp:extent cx="1981200"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12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80"/>
        <w:spacing w:after="0"/>
        <w:rPr>
          <w:sz w:val="20"/>
          <w:szCs w:val="20"/>
          <w:color w:val="auto"/>
        </w:rPr>
      </w:pPr>
      <w:r>
        <w:rPr>
          <w:rFonts w:ascii="Arial" w:cs="Arial" w:eastAsia="Arial" w:hAnsi="Arial"/>
          <w:sz w:val="33"/>
          <w:szCs w:val="33"/>
          <w:b w:val="1"/>
          <w:bCs w:val="1"/>
          <w:color w:val="auto"/>
        </w:rPr>
        <w:t>Aclaris Therapeutics, Inc.</w:t>
      </w: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915035</wp:posOffset>
            </wp:positionV>
            <wp:extent cx="5960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28"/>
          <w:szCs w:val="2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184785</wp:posOffset>
            </wp:positionV>
            <wp:extent cx="59601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Arial" w:cs="Arial" w:eastAsia="Arial" w:hAnsi="Arial"/>
          <w:sz w:val="25"/>
          <w:szCs w:val="2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1260475</wp:posOffset>
            </wp:positionV>
            <wp:extent cx="5960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1920875</wp:posOffset>
            </wp:positionV>
            <wp:extent cx="59601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199"/>
          </w:cols>
          <w:pgMar w:left="1260" w:top="125"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are estimates except for the SEC registration fee.</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3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36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42,825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150,000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360" w:type="dxa"/>
            <w:vAlign w:val="bottom"/>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will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may deem proper.</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permitted by the Delaware General Corporation Law, our amended and restated certificate of incorporation and bylaws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indemnification agreements require us to indemnify the officer or director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9" w:name="page20"/>
    <w:bookmarkEnd w:id="19"/>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225" w:lineRule="exact"/>
        <w:rPr>
          <w:sz w:val="20"/>
          <w:szCs w:val="20"/>
          <w:color w:val="auto"/>
        </w:rPr>
      </w:pPr>
    </w:p>
    <w:p>
      <w:pPr>
        <w:ind w:left="5"/>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2013 through the date of the prospectus that forms a part of this registration statement.</w:t>
      </w:r>
    </w:p>
    <w:p>
      <w:pPr>
        <w:spacing w:after="0" w:line="170" w:lineRule="exact"/>
        <w:rPr>
          <w:sz w:val="20"/>
          <w:szCs w:val="20"/>
          <w:color w:val="auto"/>
        </w:rPr>
      </w:pPr>
    </w:p>
    <w:p>
      <w:pPr>
        <w:ind w:left="5" w:right="40"/>
        <w:spacing w:after="0" w:line="269" w:lineRule="auto"/>
        <w:rPr>
          <w:sz w:val="20"/>
          <w:szCs w:val="20"/>
          <w:color w:val="auto"/>
        </w:rPr>
      </w:pPr>
      <w:r>
        <w:rPr>
          <w:rFonts w:ascii="Arial" w:cs="Arial" w:eastAsia="Arial" w:hAnsi="Arial"/>
          <w:sz w:val="17"/>
          <w:szCs w:val="17"/>
          <w:color w:val="auto"/>
        </w:rPr>
        <w:t>In September 2014, we issued an aggregate of 6,451,057 shares of our Series B redeemable convertible preferred stock to 25 investors at a purchase price of $1.65 per share, for aggregate consideration of $10.6 million. In August 2015, we issued an aggregate of 12,944,984 shares of our Series C convertible preferred stock to 28 investors at a purchase price of $3.09 per share, for aggregate consideration of $40.0 million. On March 24, 2016, pursuant to a stock purchase agreement, we issued an aggregate of 159,420 restricted shares of the our common stock to three entities. On June 2, 2016, pursuant to a securities purchase agreement dated May 27, 2016, we sold in a private placement 1,081,082 shares of our common stock to nine investors at a purchase price of $18.50 per share, for aggregate consideration of approximately $20.0 million. The offers, sales and issuances of these securities were exempt from registration under Section 4(a)(2) of the Securities Act and Regulation D promulgated under the Securities Act. Each of the purchasers represented to us that they acquired the securities for investment only and not with a view to or for sale in connection with any distribution thereof and appropriate legends were affixed to the securities issued in these transactions. The purchasers also represented to us that they were accredited investors as defined in Rule 501 promulgated under the Securities Act.</w:t>
      </w:r>
    </w:p>
    <w:p>
      <w:pPr>
        <w:spacing w:after="0" w:line="180" w:lineRule="exact"/>
        <w:rPr>
          <w:sz w:val="20"/>
          <w:szCs w:val="20"/>
          <w:color w:val="auto"/>
        </w:rPr>
      </w:pPr>
    </w:p>
    <w:p>
      <w:pPr>
        <w:ind w:left="5" w:right="120"/>
        <w:spacing w:after="0" w:line="257" w:lineRule="auto"/>
        <w:rPr>
          <w:sz w:val="20"/>
          <w:szCs w:val="20"/>
          <w:color w:val="auto"/>
        </w:rPr>
      </w:pPr>
      <w:r>
        <w:rPr>
          <w:rFonts w:ascii="Arial" w:cs="Arial" w:eastAsia="Arial" w:hAnsi="Arial"/>
          <w:sz w:val="18"/>
          <w:szCs w:val="18"/>
          <w:color w:val="auto"/>
        </w:rPr>
        <w:t>From January 1, 2013 through October 6, 2015, we granted options to purchase an aggregate of 1,140,524 shares of our common stock under our 2012 equity compensation plan with a weighted average exercise price of $6.50 per share. The offers, sales and issuances of these options were exempt from registration under Rule 701 promulgated under the Securities Act, in that the transactions were under a written compensatory benefit plan as provided under Rule 701. The recipients of such securities were our employees, directors or consultants.</w:t>
      </w:r>
    </w:p>
    <w:p>
      <w:pPr>
        <w:spacing w:after="0" w:line="188" w:lineRule="exact"/>
        <w:rPr>
          <w:sz w:val="20"/>
          <w:szCs w:val="20"/>
          <w:color w:val="auto"/>
        </w:rPr>
      </w:pPr>
    </w:p>
    <w:p>
      <w:pPr>
        <w:ind w:left="5" w:right="220"/>
        <w:spacing w:after="0" w:line="264" w:lineRule="auto"/>
        <w:rPr>
          <w:sz w:val="20"/>
          <w:szCs w:val="20"/>
          <w:color w:val="auto"/>
        </w:rPr>
      </w:pPr>
      <w:r>
        <w:rPr>
          <w:rFonts w:ascii="Arial" w:cs="Arial" w:eastAsia="Arial" w:hAnsi="Arial"/>
          <w:sz w:val="18"/>
          <w:szCs w:val="18"/>
          <w:color w:val="auto"/>
        </w:rPr>
        <w:t>On October 13, 2015, upon the closing of our initial public offering, all 40,286,041 shares of our then-outstanding convertible preferred stock were automatically converted into 11,677,076 shares of common stock. The issuance of such shares of common stock was exempt from the registration under Section 3(a)(9) of the Securities Act.</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exhibits to the registration statement are listed in the exhibit index attached hereto and are incorporated herein by reference.</w:t>
      </w:r>
    </w:p>
    <w:p>
      <w:pPr>
        <w:spacing w:after="0" w:line="248" w:lineRule="exact"/>
        <w:rPr>
          <w:sz w:val="20"/>
          <w:szCs w:val="20"/>
          <w:color w:val="auto"/>
        </w:rPr>
      </w:pPr>
    </w:p>
    <w:p>
      <w:pPr>
        <w:ind w:left="5"/>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5" w:right="20"/>
        <w:spacing w:after="0" w:line="342" w:lineRule="auto"/>
        <w:rPr>
          <w:sz w:val="20"/>
          <w:szCs w:val="20"/>
          <w:color w:val="auto"/>
        </w:rPr>
      </w:pPr>
      <w:r>
        <w:rPr>
          <w:rFonts w:ascii="Arial" w:cs="Arial" w:eastAsia="Arial" w:hAnsi="Arial"/>
          <w:sz w:val="16"/>
          <w:szCs w:val="16"/>
          <w:color w:val="auto"/>
        </w:rPr>
        <w:t>Financial statement schedules have been omitted, as the information required to be set forth therein is included in the consolidated financial statements or notes thereto incorporated by reference into the prospectus forming part of this registration statement.</w:t>
      </w:r>
    </w:p>
    <w:p>
      <w:pPr>
        <w:spacing w:after="0" w:line="33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45" w:hanging="245"/>
        <w:spacing w:after="0"/>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5" w:right="560" w:firstLine="436"/>
        <w:spacing w:after="0" w:line="277" w:lineRule="auto"/>
        <w:tabs>
          <w:tab w:leader="none" w:pos="701"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105" w:hanging="224"/>
        <w:spacing w:after="0"/>
        <w:tabs>
          <w:tab w:leader="none" w:pos="1105"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5" w:right="40" w:firstLine="876"/>
        <w:spacing w:after="0" w:line="254" w:lineRule="auto"/>
        <w:tabs>
          <w:tab w:leader="none" w:pos="1152" w:val="left"/>
        </w:tabs>
        <w:numPr>
          <w:ilvl w:val="2"/>
          <w:numId w:val="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0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25" w:right="1239" w:bottom="1440" w:gutter="0" w:footer="0" w:header="0"/>
        </w:sectPr>
      </w:pPr>
    </w:p>
    <w:bookmarkStart w:id="20" w:name="page21"/>
    <w:bookmarkEnd w:id="20"/>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5" w:right="560" w:firstLine="876"/>
        <w:spacing w:after="0" w:line="277" w:lineRule="auto"/>
        <w:tabs>
          <w:tab w:leader="none" w:pos="1202"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5" w:right="80" w:firstLine="436"/>
        <w:spacing w:after="0" w:line="264" w:lineRule="auto"/>
        <w:tabs>
          <w:tab w:leader="none" w:pos="70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5" w:right="520" w:firstLine="436"/>
        <w:spacing w:after="0" w:line="277" w:lineRule="auto"/>
        <w:tabs>
          <w:tab w:leader="none" w:pos="701"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 w:firstLine="436"/>
        <w:spacing w:after="0" w:line="290" w:lineRule="auto"/>
        <w:tabs>
          <w:tab w:leader="none" w:pos="701" w:val="left"/>
        </w:tabs>
        <w:numPr>
          <w:ilvl w:val="1"/>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ind w:left="5" w:right="80" w:hanging="5"/>
        <w:spacing w:after="0" w:line="293"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4" w:lineRule="exact"/>
        <w:rPr>
          <w:rFonts w:ascii="Arial" w:cs="Arial" w:eastAsia="Arial" w:hAnsi="Arial"/>
          <w:sz w:val="16"/>
          <w:szCs w:val="16"/>
          <w:color w:val="auto"/>
        </w:rPr>
      </w:pPr>
    </w:p>
    <w:p>
      <w:pPr>
        <w:ind w:left="5" w:hanging="5"/>
        <w:spacing w:after="0" w:line="289" w:lineRule="auto"/>
        <w:tabs>
          <w:tab w:leader="none" w:pos="2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for our directors, officers and controlling persons of the Registrant pursuant to our Articles of Incorporation or Amended and Restated Bylaws,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Act and will be governed by the final adjudication of such issue.</w:t>
      </w:r>
    </w:p>
    <w:p>
      <w:pPr>
        <w:spacing w:after="0" w:line="383"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0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25" w:right="1259" w:bottom="1440" w:gutter="0" w:footer="0" w:header="0"/>
        </w:sectPr>
      </w:pPr>
    </w:p>
    <w:bookmarkStart w:id="21" w:name="page22"/>
    <w:bookmarkEnd w:id="21"/>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95"/>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left="5" w:right="100"/>
        <w:spacing w:after="0" w:line="214"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Malvern, Commonwealth of Pennsylvania, on the 17</w:t>
      </w:r>
      <w:r>
        <w:rPr>
          <w:rFonts w:ascii="Arial" w:cs="Arial" w:eastAsia="Arial" w:hAnsi="Arial"/>
          <w:sz w:val="8"/>
          <w:szCs w:val="8"/>
          <w:color w:val="auto"/>
        </w:rPr>
        <w:t>th</w:t>
      </w:r>
      <w:r>
        <w:rPr>
          <w:rFonts w:ascii="Arial" w:cs="Arial" w:eastAsia="Arial" w:hAnsi="Arial"/>
          <w:sz w:val="18"/>
          <w:szCs w:val="18"/>
          <w:color w:val="auto"/>
        </w:rPr>
        <w:t xml:space="preserve"> day of June, 2016.</w:t>
      </w:r>
    </w:p>
    <w:p>
      <w:pPr>
        <w:spacing w:after="0" w:line="320" w:lineRule="exact"/>
        <w:rPr>
          <w:sz w:val="20"/>
          <w:szCs w:val="20"/>
          <w:color w:val="auto"/>
        </w:rPr>
      </w:pPr>
    </w:p>
    <w:p>
      <w:pPr>
        <w:ind w:left="4705"/>
        <w:spacing w:after="0"/>
        <w:rPr>
          <w:sz w:val="20"/>
          <w:szCs w:val="20"/>
          <w:color w:val="auto"/>
        </w:rPr>
      </w:pPr>
      <w:r>
        <w:rPr>
          <w:rFonts w:ascii="Arial" w:cs="Arial" w:eastAsia="Arial" w:hAnsi="Arial"/>
          <w:sz w:val="18"/>
          <w:szCs w:val="18"/>
          <w:b w:val="1"/>
          <w:bCs w:val="1"/>
          <w:color w:val="auto"/>
        </w:rPr>
        <w:t>ACLARIS THERAPEUTICS, INC.</w:t>
      </w:r>
    </w:p>
    <w:p>
      <w:pPr>
        <w:spacing w:after="0" w:line="94" w:lineRule="exact"/>
        <w:rPr>
          <w:sz w:val="20"/>
          <w:szCs w:val="20"/>
          <w:color w:val="auto"/>
        </w:rPr>
      </w:pPr>
    </w:p>
    <w:p>
      <w:pPr>
        <w:ind w:left="4705"/>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Neal Walker</w:t>
      </w:r>
    </w:p>
    <w:p>
      <w:pPr>
        <w:spacing w:after="0" w:line="23"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Neal Walker</w:t>
      </w:r>
    </w:p>
    <w:p>
      <w:pPr>
        <w:spacing w:after="0" w:line="9" w:lineRule="exact"/>
        <w:rPr>
          <w:sz w:val="20"/>
          <w:szCs w:val="20"/>
          <w:color w:val="auto"/>
        </w:rPr>
      </w:pPr>
    </w:p>
    <w:p>
      <w:pPr>
        <w:ind w:left="5005"/>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left="5" w:right="120"/>
        <w:spacing w:after="0" w:line="284"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Neal Walker, Kamil Ali-Jackson, Frank Ruffo and Brent B. Siler,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w:t>
      </w:r>
    </w:p>
    <w:p>
      <w:pPr>
        <w:spacing w:after="0" w:line="3" w:lineRule="exact"/>
        <w:rPr>
          <w:sz w:val="20"/>
          <w:szCs w:val="20"/>
          <w:color w:val="auto"/>
        </w:rPr>
      </w:pPr>
    </w:p>
    <w:p>
      <w:pPr>
        <w:jc w:val="both"/>
        <w:ind w:left="5" w:right="100" w:hanging="5"/>
        <w:spacing w:after="0" w:line="253" w:lineRule="auto"/>
        <w:tabs>
          <w:tab w:leader="none" w:pos="3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91" w:lineRule="exact"/>
        <w:rPr>
          <w:sz w:val="20"/>
          <w:szCs w:val="20"/>
          <w:color w:val="auto"/>
        </w:rPr>
      </w:pPr>
    </w:p>
    <w:p>
      <w:pPr>
        <w:ind w:left="5" w:right="42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194310</wp:posOffset>
            </wp:positionV>
            <wp:extent cx="5874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9505"/>
          </w:cols>
          <w:pgMar w:left="1255" w:top="125" w:right="1139" w:bottom="1440" w:gutter="0" w:footer="0" w:header="0"/>
        </w:sectPr>
      </w:pPr>
    </w:p>
    <w:p>
      <w:pPr>
        <w:spacing w:after="0" w:line="329" w:lineRule="exact"/>
        <w:rPr>
          <w:sz w:val="20"/>
          <w:szCs w:val="20"/>
          <w:color w:val="auto"/>
        </w:rPr>
      </w:pPr>
    </w:p>
    <w:p>
      <w:pPr>
        <w:ind w:left="1405"/>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26035</wp:posOffset>
            </wp:positionV>
            <wp:extent cx="1929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23495</wp:posOffset>
            </wp:positionV>
            <wp:extent cx="20154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43"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Neal Walker</w:t>
      </w:r>
    </w:p>
    <w:p>
      <w:pPr>
        <w:spacing w:after="0" w:line="171"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23495</wp:posOffset>
            </wp:positionV>
            <wp:extent cx="2015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43"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Frank Ruffo</w:t>
      </w:r>
    </w:p>
    <w:p>
      <w:pPr>
        <w:spacing w:after="0" w:line="279"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 Stephen 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31750</wp:posOffset>
            </wp:positionV>
            <wp:extent cx="20154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7"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Stephen A. Tullman</w:t>
      </w:r>
    </w:p>
    <w:p>
      <w:pPr>
        <w:spacing w:after="0" w:line="279" w:lineRule="exact"/>
        <w:rPr>
          <w:sz w:val="20"/>
          <w:szCs w:val="20"/>
          <w:color w:val="auto"/>
        </w:rPr>
      </w:pPr>
    </w:p>
    <w:p>
      <w:pPr>
        <w:jc w:val="center"/>
        <w:ind w:left="725"/>
        <w:spacing w:after="0"/>
        <w:rPr>
          <w:sz w:val="20"/>
          <w:szCs w:val="20"/>
          <w:color w:val="auto"/>
        </w:rPr>
      </w:pPr>
      <w:r>
        <w:rPr>
          <w:rFonts w:ascii="Arial" w:cs="Arial" w:eastAsia="Arial" w:hAnsi="Arial"/>
          <w:sz w:val="16"/>
          <w:szCs w:val="16"/>
          <w:color w:val="auto"/>
        </w:rPr>
        <w:t>/s/ Albert Cha,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46355</wp:posOffset>
            </wp:positionV>
            <wp:extent cx="20154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0"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Albert Cha, M.D., Ph.D.</w:t>
      </w:r>
    </w:p>
    <w:p>
      <w:pPr>
        <w:spacing w:after="0" w:line="252"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 Richard A. Bierly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23495</wp:posOffset>
            </wp:positionV>
            <wp:extent cx="2015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43"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Richard A. Bierly</w:t>
      </w:r>
    </w:p>
    <w:p>
      <w:pPr>
        <w:spacing w:after="0" w:line="279" w:lineRule="exact"/>
        <w:rPr>
          <w:sz w:val="20"/>
          <w:szCs w:val="20"/>
          <w:color w:val="auto"/>
        </w:rPr>
      </w:pPr>
    </w:p>
    <w:p>
      <w:pPr>
        <w:jc w:val="center"/>
        <w:ind w:left="725"/>
        <w:spacing w:after="0"/>
        <w:rPr>
          <w:sz w:val="20"/>
          <w:szCs w:val="20"/>
          <w:color w:val="auto"/>
        </w:rPr>
      </w:pPr>
      <w:r>
        <w:rPr>
          <w:rFonts w:ascii="Arial" w:cs="Arial" w:eastAsia="Arial" w:hAnsi="Arial"/>
          <w:sz w:val="17"/>
          <w:szCs w:val="17"/>
          <w:color w:val="auto"/>
        </w:rPr>
        <w:t>/s/ Christopher Molineaux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30480</wp:posOffset>
            </wp:positionV>
            <wp:extent cx="20154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5"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Christopher Molineaux</w:t>
      </w:r>
    </w:p>
    <w:p>
      <w:pPr>
        <w:spacing w:after="0" w:line="279"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/s/ Anand Mehra,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23495</wp:posOffset>
            </wp:positionV>
            <wp:extent cx="2015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97" w:lineRule="exact"/>
        <w:rPr>
          <w:sz w:val="20"/>
          <w:szCs w:val="20"/>
          <w:color w:val="auto"/>
        </w:rPr>
      </w:pPr>
    </w:p>
    <w:p>
      <w:pPr>
        <w:jc w:val="center"/>
        <w:ind w:left="725"/>
        <w:spacing w:after="0"/>
        <w:rPr>
          <w:sz w:val="20"/>
          <w:szCs w:val="20"/>
          <w:color w:val="auto"/>
        </w:rPr>
      </w:pPr>
      <w:r>
        <w:rPr>
          <w:rFonts w:ascii="Arial" w:cs="Arial" w:eastAsia="Arial" w:hAnsi="Arial"/>
          <w:sz w:val="18"/>
          <w:szCs w:val="18"/>
          <w:color w:val="auto"/>
        </w:rPr>
        <w:t>Anand Mehra, M.D.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0" w:type="dxa"/>
            <w:vAlign w:val="bottom"/>
          </w:tcPr>
          <w:p>
            <w:pPr>
              <w:spacing w:after="0"/>
              <w:rPr>
                <w:sz w:val="20"/>
                <w:szCs w:val="20"/>
                <w:color w:val="auto"/>
              </w:rPr>
            </w:pPr>
          </w:p>
        </w:tc>
        <w:tc>
          <w:tcPr>
            <w:tcW w:w="41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904"/>
        </w:trPr>
        <w:tc>
          <w:tcPr>
            <w:tcW w:w="4300" w:type="dxa"/>
            <w:vAlign w:val="bottom"/>
            <w:gridSpan w:val="2"/>
          </w:tcPr>
          <w:p>
            <w:pPr>
              <w:spacing w:after="0"/>
              <w:rPr>
                <w:sz w:val="20"/>
                <w:szCs w:val="20"/>
                <w:color w:val="auto"/>
              </w:rPr>
            </w:pPr>
            <w:r>
              <w:rPr>
                <w:rFonts w:ascii="Arial" w:cs="Arial" w:eastAsia="Arial" w:hAnsi="Arial"/>
                <w:sz w:val="18"/>
                <w:szCs w:val="18"/>
                <w:color w:val="auto"/>
                <w:w w:val="94"/>
              </w:rPr>
              <w:t xml:space="preserve">President, Chief Executive Officer and Director </w:t>
            </w:r>
            <w:r>
              <w:rPr>
                <w:rFonts w:ascii="Arial" w:cs="Arial" w:eastAsia="Arial" w:hAnsi="Arial"/>
                <w:sz w:val="18"/>
                <w:szCs w:val="18"/>
                <w:i w:val="1"/>
                <w:iCs w:val="1"/>
                <w:color w:val="auto"/>
                <w:w w:val="94"/>
              </w:rPr>
              <w:t>(Principal</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3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Principal Accounting</w:t>
            </w: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Chairman of the Board of Directors</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95"/>
        </w:trPr>
        <w:tc>
          <w:tcPr>
            <w:tcW w:w="4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5"/>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95"/>
        </w:trPr>
        <w:tc>
          <w:tcPr>
            <w:tcW w:w="4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5"/>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95"/>
        </w:trPr>
        <w:tc>
          <w:tcPr>
            <w:tcW w:w="4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2"/>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95"/>
        </w:trPr>
        <w:tc>
          <w:tcPr>
            <w:tcW w:w="4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2"/>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4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8"/>
                <w:szCs w:val="18"/>
                <w:color w:val="auto"/>
              </w:rPr>
              <w:t>June 17, 2016</w:t>
            </w:r>
          </w:p>
        </w:tc>
        <w:tc>
          <w:tcPr>
            <w:tcW w:w="0" w:type="dxa"/>
            <w:vAlign w:val="bottom"/>
          </w:tcPr>
          <w:p>
            <w:pPr>
              <w:spacing w:after="0"/>
              <w:rPr>
                <w:sz w:val="1"/>
                <w:szCs w:val="1"/>
                <w:color w:val="auto"/>
              </w:rPr>
            </w:pPr>
          </w:p>
        </w:tc>
      </w:tr>
      <w:tr>
        <w:trPr>
          <w:trHeight w:val="95"/>
        </w:trPr>
        <w:tc>
          <w:tcPr>
            <w:tcW w:w="4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705" w:space="600"/>
            <w:col w:w="6200"/>
          </w:cols>
          <w:pgMar w:left="1255" w:top="125" w:right="11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15"/>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5960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505"/>
          </w:cols>
          <w:pgMar w:left="1255" w:top="125" w:right="11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620" w:type="dxa"/>
            <w:vAlign w:val="bottom"/>
            <w:gridSpan w:val="2"/>
          </w:tcPr>
          <w:p>
            <w:pPr>
              <w:spacing w:after="0"/>
              <w:rPr>
                <w:rFonts w:ascii="Arial" w:cs="Arial" w:eastAsia="Arial" w:hAnsi="Arial"/>
                <w:sz w:val="18"/>
                <w:szCs w:val="18"/>
                <w:color w:val="0563C1"/>
              </w:rPr>
            </w:pPr>
            <w:hyperlink w:anchor="page4">
              <w:r>
                <w:rPr>
                  <w:rFonts w:ascii="Arial" w:cs="Arial" w:eastAsia="Arial" w:hAnsi="Arial"/>
                  <w:sz w:val="18"/>
                  <w:szCs w:val="18"/>
                  <w:color w:val="0563C1"/>
                </w:rPr>
                <w:t>Table of Contents</w:t>
              </w:r>
            </w:hyperlink>
          </w:p>
        </w:tc>
        <w:tc>
          <w:tcPr>
            <w:tcW w:w="3620" w:type="dxa"/>
            <w:vAlign w:val="bottom"/>
          </w:tcPr>
          <w:p>
            <w:pPr>
              <w:spacing w:after="0"/>
              <w:rPr>
                <w:sz w:val="17"/>
                <w:szCs w:val="17"/>
                <w:color w:val="auto"/>
              </w:rPr>
            </w:pPr>
          </w:p>
        </w:tc>
      </w:tr>
      <w:tr>
        <w:trPr>
          <w:trHeight w:val="669"/>
        </w:trPr>
        <w:tc>
          <w:tcPr>
            <w:tcW w:w="1280" w:type="dxa"/>
            <w:vAlign w:val="bottom"/>
            <w:tcBorders>
              <w:top w:val="single" w:sz="8" w:color="0563C1"/>
            </w:tcBorders>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ind w:left="1360"/>
              <w:spacing w:after="0"/>
              <w:rPr>
                <w:sz w:val="20"/>
                <w:szCs w:val="20"/>
                <w:color w:val="auto"/>
              </w:rPr>
            </w:pPr>
            <w:r>
              <w:rPr>
                <w:rFonts w:ascii="Arial" w:cs="Arial" w:eastAsia="Arial" w:hAnsi="Arial"/>
                <w:sz w:val="18"/>
                <w:szCs w:val="18"/>
                <w:b w:val="1"/>
                <w:bCs w:val="1"/>
                <w:color w:val="auto"/>
              </w:rPr>
              <w:t>EXHIBIT INDEX</w:t>
            </w:r>
          </w:p>
        </w:tc>
      </w:tr>
      <w:tr>
        <w:trPr>
          <w:trHeight w:val="427"/>
        </w:trPr>
        <w:tc>
          <w:tcPr>
            <w:tcW w:w="262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Exhibit</w:t>
            </w:r>
          </w:p>
        </w:tc>
        <w:tc>
          <w:tcPr>
            <w:tcW w:w="3620" w:type="dxa"/>
            <w:vAlign w:val="bottom"/>
          </w:tcPr>
          <w:p>
            <w:pPr>
              <w:spacing w:after="0"/>
              <w:rPr>
                <w:sz w:val="24"/>
                <w:szCs w:val="24"/>
                <w:color w:val="auto"/>
              </w:rPr>
            </w:pPr>
          </w:p>
        </w:tc>
      </w:tr>
      <w:tr>
        <w:trPr>
          <w:trHeight w:val="234"/>
        </w:trPr>
        <w:tc>
          <w:tcPr>
            <w:tcW w:w="26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4"/>
              </w:rPr>
              <w:t>Number</w:t>
            </w:r>
          </w:p>
        </w:tc>
        <w:tc>
          <w:tcPr>
            <w:tcW w:w="3620" w:type="dxa"/>
            <w:vAlign w:val="bottom"/>
          </w:tcPr>
          <w:p>
            <w:pPr>
              <w:ind w:left="1700"/>
              <w:spacing w:after="0"/>
              <w:rPr>
                <w:sz w:val="20"/>
                <w:szCs w:val="20"/>
                <w:color w:val="auto"/>
              </w:rPr>
            </w:pPr>
            <w:r>
              <w:rPr>
                <w:rFonts w:ascii="Arial" w:cs="Arial" w:eastAsia="Arial" w:hAnsi="Arial"/>
                <w:sz w:val="18"/>
                <w:szCs w:val="18"/>
                <w:b w:val="1"/>
                <w:bCs w:val="1"/>
                <w:color w:val="auto"/>
                <w:w w:val="88"/>
              </w:rPr>
              <w:t>Description of Document</w:t>
            </w:r>
          </w:p>
        </w:tc>
      </w:tr>
    </w:tbl>
    <w:p>
      <w:pPr>
        <w:ind w:left="1160" w:right="40" w:hanging="443"/>
        <w:spacing w:after="0" w:line="223" w:lineRule="auto"/>
        <w:rPr>
          <w:sz w:val="20"/>
          <w:szCs w:val="20"/>
          <w:color w:val="auto"/>
        </w:rPr>
      </w:pPr>
      <w:r>
        <w:rPr>
          <w:rFonts w:ascii="Arial" w:cs="Arial" w:eastAsia="Arial" w:hAnsi="Arial"/>
          <w:sz w:val="18"/>
          <w:szCs w:val="18"/>
          <w:color w:val="auto"/>
        </w:rPr>
        <w:t>2.1^ Stock Purchase Agreement, by and among the Registrant, Vixen Pharmaceuticals, Inc., JAK1, LLC, JAK2, LLC, JAK3, LLC and Shareholder Representative Services LLC, dated as of March 24, 2016 (incorporated by reference to Exhibit 2.1 to the Registrant’s Quarterly Report on Form 10-Q (File No. 001-37581), filed with the SEC on May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-487680</wp:posOffset>
            </wp:positionV>
            <wp:extent cx="59601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ind w:left="1160" w:right="80" w:hanging="404"/>
        <w:spacing w:after="0" w:line="255"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of the Registrant (incorporated by reference to Exhibit 3.1 to the Registrant’s Current Report on Form 8-K (File No. 001-37581), filed with the SEC on October 13, 2015).</w:t>
      </w:r>
    </w:p>
    <w:p>
      <w:pPr>
        <w:spacing w:after="0" w:line="1" w:lineRule="exact"/>
        <w:rPr>
          <w:sz w:val="20"/>
          <w:szCs w:val="20"/>
          <w:color w:val="auto"/>
        </w:rPr>
      </w:pPr>
    </w:p>
    <w:p>
      <w:pPr>
        <w:ind w:left="1160" w:right="360" w:hanging="404"/>
        <w:spacing w:after="0"/>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Amended and Restated Bylaws of the Registrant (incorporated by reference to Exhibit 3.2 to the Registrant’s Current Report on Form 8-K (File No. 001-37581), filed with the SEC on October 13, 2015).</w:t>
      </w:r>
    </w:p>
    <w:p>
      <w:pPr>
        <w:spacing w:after="0" w:line="1" w:lineRule="exact"/>
        <w:rPr>
          <w:sz w:val="20"/>
          <w:szCs w:val="20"/>
          <w:color w:val="auto"/>
        </w:rPr>
      </w:pPr>
    </w:p>
    <w:p>
      <w:pPr>
        <w:ind w:left="1160" w:right="140" w:hanging="404"/>
        <w:spacing w:after="0" w:line="224" w:lineRule="auto"/>
        <w:tabs>
          <w:tab w:leader="none" w:pos="1140" w:val="left"/>
        </w:tabs>
        <w:rPr>
          <w:sz w:val="20"/>
          <w:szCs w:val="20"/>
          <w:color w:val="auto"/>
        </w:rPr>
      </w:pPr>
      <w:r>
        <w:rPr>
          <w:rFonts w:ascii="Arial" w:cs="Arial" w:eastAsia="Arial" w:hAnsi="Arial"/>
          <w:sz w:val="18"/>
          <w:szCs w:val="18"/>
          <w:color w:val="auto"/>
        </w:rPr>
        <w:t>4.1</w:t>
        <w:tab/>
        <w:t>Specimen stock certificate evidencing shares of Common Stock (incorporated by reference to Exhibit 4.1 to Amendment No. 2 to the Registrant’s Registration Statement on Form S-1 (File No. 333-206437), filed with the SEC on September 25, 2015).</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5.1*  Opinion of Cooley LLP.</w:t>
      </w:r>
    </w:p>
    <w:p>
      <w:pPr>
        <w:spacing w:after="0" w:line="7" w:lineRule="exact"/>
        <w:rPr>
          <w:sz w:val="20"/>
          <w:szCs w:val="20"/>
          <w:color w:val="auto"/>
        </w:rPr>
      </w:pPr>
    </w:p>
    <w:p>
      <w:pPr>
        <w:ind w:left="1160" w:right="20" w:hanging="539"/>
        <w:spacing w:after="0" w:line="225" w:lineRule="auto"/>
        <w:rPr>
          <w:sz w:val="20"/>
          <w:szCs w:val="20"/>
          <w:color w:val="auto"/>
        </w:rPr>
      </w:pPr>
      <w:r>
        <w:rPr>
          <w:rFonts w:ascii="Arial" w:cs="Arial" w:eastAsia="Arial" w:hAnsi="Arial"/>
          <w:sz w:val="18"/>
          <w:szCs w:val="18"/>
          <w:color w:val="auto"/>
        </w:rPr>
        <w:t>10.1# Clinical and Commercial Supply Agreement, by and between the Registrant and PeroxyChem LLC, dated as of August 6, 2014 (incorporated by reference to Exhibit 10.1 to the Registrant’s Registration Statement on Form S-1 (File No. 333-206437), filed with the SEC on August 17, 2015).</w:t>
      </w:r>
    </w:p>
    <w:p>
      <w:pPr>
        <w:ind w:left="1160" w:right="60" w:hanging="539"/>
        <w:spacing w:after="0" w:line="252" w:lineRule="auto"/>
        <w:rPr>
          <w:sz w:val="20"/>
          <w:szCs w:val="20"/>
          <w:color w:val="auto"/>
        </w:rPr>
      </w:pPr>
      <w:r>
        <w:rPr>
          <w:rFonts w:ascii="Arial" w:cs="Arial" w:eastAsia="Arial" w:hAnsi="Arial"/>
          <w:sz w:val="16"/>
          <w:szCs w:val="16"/>
          <w:color w:val="auto"/>
        </w:rPr>
        <w:t>10.2# Services Agreement, by and between the Registrant and NST, LLC, dated as of February 5, 2014, as amended on December 19, 2014 and August 11, 2015 (incorporated by reference to Exhibit 10.2 to the Registrant’s Registration Statement on Form S-1 (File No. 333-206437), filed with the SEC on August 17, 2015).</w:t>
      </w:r>
    </w:p>
    <w:p>
      <w:pPr>
        <w:spacing w:after="0" w:line="1" w:lineRule="exact"/>
        <w:rPr>
          <w:sz w:val="20"/>
          <w:szCs w:val="20"/>
          <w:color w:val="auto"/>
        </w:rPr>
      </w:pPr>
    </w:p>
    <w:p>
      <w:pPr>
        <w:ind w:left="1160" w:right="40" w:hanging="539"/>
        <w:spacing w:after="0" w:line="223" w:lineRule="auto"/>
        <w:rPr>
          <w:sz w:val="20"/>
          <w:szCs w:val="20"/>
          <w:color w:val="auto"/>
        </w:rPr>
      </w:pPr>
      <w:r>
        <w:rPr>
          <w:rFonts w:ascii="Arial" w:cs="Arial" w:eastAsia="Arial" w:hAnsi="Arial"/>
          <w:sz w:val="18"/>
          <w:szCs w:val="18"/>
          <w:color w:val="auto"/>
        </w:rPr>
        <w:t>10.3# Assignment Agreement, by and between the Registrant and Mickey J. Miller, II, as personal representative of the estate of Mickey J. Miller, dated as of August 20, 2012 (incorporated by reference to Exhibit 10.3 to Amendment No. 2 to the Registrant’s Registration Statement on Form S-1 (File No. 333-206437), filed with the SEC on September 25, 2015).</w:t>
      </w:r>
    </w:p>
    <w:p>
      <w:pPr>
        <w:spacing w:after="0" w:line="1" w:lineRule="exact"/>
        <w:rPr>
          <w:sz w:val="20"/>
          <w:szCs w:val="20"/>
          <w:color w:val="auto"/>
        </w:rPr>
      </w:pPr>
    </w:p>
    <w:p>
      <w:pPr>
        <w:ind w:left="1160" w:right="180" w:hanging="539"/>
        <w:spacing w:after="0" w:line="224" w:lineRule="auto"/>
        <w:rPr>
          <w:sz w:val="20"/>
          <w:szCs w:val="20"/>
          <w:color w:val="auto"/>
        </w:rPr>
      </w:pPr>
      <w:r>
        <w:rPr>
          <w:rFonts w:ascii="Arial" w:cs="Arial" w:eastAsia="Arial" w:hAnsi="Arial"/>
          <w:sz w:val="18"/>
          <w:szCs w:val="18"/>
          <w:color w:val="auto"/>
        </w:rPr>
        <w:t>10.4# Finder's Services Agreement, by and between the Registrant and KPT Consulting, LLC, dated as of August 25, 2012 (incorporated by reference to Exhibit 10.4 to the Registrant’s Registration Statement on Form S-1 (File No. 333-206437), filed with the SEC on August 17, 2015).</w:t>
      </w:r>
    </w:p>
    <w:p>
      <w:pPr>
        <w:spacing w:after="0" w:line="1" w:lineRule="exact"/>
        <w:rPr>
          <w:sz w:val="20"/>
          <w:szCs w:val="20"/>
          <w:color w:val="auto"/>
        </w:rPr>
      </w:pPr>
    </w:p>
    <w:p>
      <w:pPr>
        <w:ind w:left="1160" w:right="160" w:hanging="494"/>
        <w:spacing w:after="0" w:line="223" w:lineRule="auto"/>
        <w:tabs>
          <w:tab w:leader="none" w:pos="1140" w:val="left"/>
        </w:tabs>
        <w:rPr>
          <w:sz w:val="20"/>
          <w:szCs w:val="20"/>
          <w:color w:val="auto"/>
        </w:rPr>
      </w:pPr>
      <w:r>
        <w:rPr>
          <w:rFonts w:ascii="Arial" w:cs="Arial" w:eastAsia="Arial" w:hAnsi="Arial"/>
          <w:sz w:val="18"/>
          <w:szCs w:val="18"/>
          <w:color w:val="auto"/>
        </w:rPr>
        <w:t>10.5</w:t>
        <w:tab/>
        <w:t>Second Amended and Restated Investors' Rights Agreement, dated as of August 28, 2015, by and among the Registrant and certain of its stockholders (incorporated by reference to Exhibit 10.5 to Amendment No. 1 to the Registrant’s Registration Statement on Form S-1 (File No. 333-206437), filed with the SEC on September 4, 2015).</w:t>
      </w:r>
    </w:p>
    <w:p>
      <w:pPr>
        <w:spacing w:after="0" w:line="1" w:lineRule="exact"/>
        <w:rPr>
          <w:sz w:val="20"/>
          <w:szCs w:val="20"/>
          <w:color w:val="auto"/>
        </w:rPr>
      </w:pPr>
    </w:p>
    <w:p>
      <w:pPr>
        <w:ind w:left="1160" w:right="20" w:hanging="494"/>
        <w:spacing w:after="0" w:line="252"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Amended and Restated Sublease, by and between the Registrant and NeXeption, Inc., dated as of March 3, 2014, as amended on December 2, 2014 and August 14, 2015 (incorporated by reference to Exhibit 10.6 to the Registrant’s Registration Statement on Form S-1 (File No. 333-206437), filed with the SEC on August 17, 2015).</w:t>
      </w:r>
    </w:p>
    <w:p>
      <w:pPr>
        <w:spacing w:after="0" w:line="1" w:lineRule="exact"/>
        <w:rPr>
          <w:sz w:val="20"/>
          <w:szCs w:val="20"/>
          <w:color w:val="auto"/>
        </w:rPr>
      </w:pPr>
    </w:p>
    <w:p>
      <w:pPr>
        <w:ind w:left="1160" w:right="140" w:hanging="550"/>
        <w:spacing w:after="0" w:line="224" w:lineRule="auto"/>
        <w:rPr>
          <w:sz w:val="20"/>
          <w:szCs w:val="20"/>
          <w:color w:val="auto"/>
        </w:rPr>
      </w:pPr>
      <w:r>
        <w:rPr>
          <w:rFonts w:ascii="Arial" w:cs="Arial" w:eastAsia="Arial" w:hAnsi="Arial"/>
          <w:sz w:val="18"/>
          <w:szCs w:val="18"/>
          <w:color w:val="auto"/>
        </w:rPr>
        <w:t>10.7+ Amended and Restated 2012 Equity Compensation Plan (incorporated by reference to Exhibit 10.7 to Amendment No. 1 to the Registrant’s Registration Statement on Form S-1 (File No. 333-206437), filed with the SEC on September 4, 2015)).</w:t>
      </w:r>
    </w:p>
    <w:p>
      <w:pPr>
        <w:spacing w:after="0" w:line="1" w:lineRule="exact"/>
        <w:rPr>
          <w:sz w:val="20"/>
          <w:szCs w:val="20"/>
          <w:color w:val="auto"/>
        </w:rPr>
      </w:pPr>
    </w:p>
    <w:p>
      <w:pPr>
        <w:jc w:val="both"/>
        <w:ind w:left="1160" w:right="320" w:hanging="550"/>
        <w:spacing w:after="0" w:line="224" w:lineRule="auto"/>
        <w:rPr>
          <w:sz w:val="20"/>
          <w:szCs w:val="20"/>
          <w:color w:val="auto"/>
        </w:rPr>
      </w:pPr>
      <w:r>
        <w:rPr>
          <w:rFonts w:ascii="Arial" w:cs="Arial" w:eastAsia="Arial" w:hAnsi="Arial"/>
          <w:sz w:val="18"/>
          <w:szCs w:val="18"/>
          <w:color w:val="auto"/>
        </w:rPr>
        <w:t>10.8+ Form of Stock Option Grant under Amended and Restated 2012 Equity Compensation Plan (incorporated by reference to Exhibit 10.8 to the Registrant’s Registration Statement on Form S-1 (File No. 333-206437), filed with the SEC on August 17, 2015)).</w:t>
      </w:r>
    </w:p>
    <w:p>
      <w:pPr>
        <w:spacing w:after="0" w:line="1" w:lineRule="exact"/>
        <w:rPr>
          <w:sz w:val="20"/>
          <w:szCs w:val="20"/>
          <w:color w:val="auto"/>
        </w:rPr>
      </w:pPr>
    </w:p>
    <w:p>
      <w:pPr>
        <w:ind w:left="1160" w:right="200" w:hanging="550"/>
        <w:spacing w:after="0" w:line="227" w:lineRule="auto"/>
        <w:rPr>
          <w:sz w:val="20"/>
          <w:szCs w:val="20"/>
          <w:color w:val="auto"/>
        </w:rPr>
      </w:pPr>
      <w:r>
        <w:rPr>
          <w:rFonts w:ascii="Arial" w:cs="Arial" w:eastAsia="Arial" w:hAnsi="Arial"/>
          <w:sz w:val="18"/>
          <w:szCs w:val="18"/>
          <w:color w:val="auto"/>
        </w:rPr>
        <w:t>10.9+ 2015 Equity Incentive Plan (incorporated by reference to Exhibit 4.6 to the Registrant’s Registration Statement on Form S-8 (File No. 333-207434), filed with the SEC on October 15, 2015).</w:t>
      </w:r>
    </w:p>
    <w:p>
      <w:pPr>
        <w:ind w:left="1160" w:hanging="641"/>
        <w:spacing w:after="0" w:line="224" w:lineRule="auto"/>
        <w:rPr>
          <w:sz w:val="20"/>
          <w:szCs w:val="20"/>
          <w:color w:val="auto"/>
        </w:rPr>
      </w:pPr>
      <w:r>
        <w:rPr>
          <w:rFonts w:ascii="Arial" w:cs="Arial" w:eastAsia="Arial" w:hAnsi="Arial"/>
          <w:sz w:val="18"/>
          <w:szCs w:val="18"/>
          <w:color w:val="auto"/>
        </w:rPr>
        <w:t>10.10+ Form of Stock Option Grant Notice and Stock Option Agreement under 2015 Equity Incentive Plan (incorporated by reference to Exhibit 10.10 to Amendment No. 2 to the Registrant’s Registration Statement on Form S-1 (File No. 333-206437), filed with the SEC on September 25, 2015).</w:t>
      </w:r>
    </w:p>
    <w:p>
      <w:pPr>
        <w:spacing w:after="0" w:line="1" w:lineRule="exact"/>
        <w:rPr>
          <w:sz w:val="20"/>
          <w:szCs w:val="20"/>
          <w:color w:val="auto"/>
        </w:rPr>
      </w:pPr>
    </w:p>
    <w:p>
      <w:pPr>
        <w:ind w:left="1160" w:right="160" w:hanging="634"/>
        <w:spacing w:after="0" w:line="243" w:lineRule="auto"/>
        <w:rPr>
          <w:sz w:val="20"/>
          <w:szCs w:val="20"/>
          <w:color w:val="auto"/>
        </w:rPr>
      </w:pPr>
      <w:r>
        <w:rPr>
          <w:rFonts w:ascii="Arial" w:cs="Arial" w:eastAsia="Arial" w:hAnsi="Arial"/>
          <w:sz w:val="17"/>
          <w:szCs w:val="17"/>
          <w:color w:val="auto"/>
        </w:rPr>
        <w:t>10.11+ Form of Restricted Stock Unit Grant Notice and Restricted Stock Unit Award Agreement under 2015 Equity Incentive Plan (incorporated by reference to Exhibit 10.11 to Amendment No. 2 to the Registrant’s Registration Statement on Form S-1 (File No. 333-206437), filed with the SEC on September 25, 2015).</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23" w:name="page24"/>
    <w:bookmarkEnd w:id="23"/>
    <w:p>
      <w:pPr>
        <w:ind w:left="5"/>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12" w:lineRule="exact"/>
        <w:rPr>
          <w:sz w:val="20"/>
          <w:szCs w:val="20"/>
          <w:color w:val="auto"/>
        </w:rPr>
      </w:pPr>
    </w:p>
    <w:p>
      <w:pPr>
        <w:ind w:left="1125" w:right="180" w:hanging="530"/>
        <w:spacing w:after="0" w:line="236" w:lineRule="auto"/>
        <w:rPr>
          <w:sz w:val="20"/>
          <w:szCs w:val="20"/>
          <w:color w:val="auto"/>
        </w:rPr>
      </w:pPr>
      <w:r>
        <w:rPr>
          <w:rFonts w:ascii="Arial" w:cs="Arial" w:eastAsia="Arial" w:hAnsi="Arial"/>
          <w:sz w:val="18"/>
          <w:szCs w:val="18"/>
          <w:color w:val="auto"/>
        </w:rPr>
        <w:t>10.12 Form of Indemnification Agreement (incorporated by reference to Exhibit 10.12 to the Registrant’s Registration Statement on Form S-1 (File No. 333-206437), filed with the SEC on August 17, 2015).</w:t>
      </w:r>
    </w:p>
    <w:p>
      <w:pPr>
        <w:spacing w:after="0" w:line="1" w:lineRule="exact"/>
        <w:rPr>
          <w:sz w:val="20"/>
          <w:szCs w:val="20"/>
          <w:color w:val="auto"/>
        </w:rPr>
      </w:pPr>
    </w:p>
    <w:p>
      <w:pPr>
        <w:jc w:val="both"/>
        <w:ind w:left="1125" w:hanging="586"/>
        <w:spacing w:after="0" w:line="224" w:lineRule="auto"/>
        <w:rPr>
          <w:sz w:val="20"/>
          <w:szCs w:val="20"/>
          <w:color w:val="auto"/>
        </w:rPr>
      </w:pPr>
      <w:r>
        <w:rPr>
          <w:rFonts w:ascii="Arial" w:cs="Arial" w:eastAsia="Arial" w:hAnsi="Arial"/>
          <w:sz w:val="18"/>
          <w:szCs w:val="18"/>
          <w:color w:val="auto"/>
        </w:rPr>
        <w:t>10.13+ Non-Employee Director Compensation Policy (incorporated by reference to Exhibit 10.13 to Amendment No. 2 to the Registrant’s Registration Statement on Form S-1 (File No. 333-206437), filed with the SEC on September 25, 2015).</w:t>
      </w:r>
    </w:p>
    <w:p>
      <w:pPr>
        <w:spacing w:after="0" w:line="1" w:lineRule="exact"/>
        <w:rPr>
          <w:sz w:val="20"/>
          <w:szCs w:val="20"/>
          <w:color w:val="auto"/>
        </w:rPr>
      </w:pPr>
    </w:p>
    <w:p>
      <w:pPr>
        <w:ind w:left="1125" w:right="320" w:hanging="575"/>
        <w:spacing w:after="0" w:line="223" w:lineRule="auto"/>
        <w:rPr>
          <w:sz w:val="20"/>
          <w:szCs w:val="20"/>
          <w:color w:val="auto"/>
        </w:rPr>
      </w:pPr>
      <w:r>
        <w:rPr>
          <w:rFonts w:ascii="Arial" w:cs="Arial" w:eastAsia="Arial" w:hAnsi="Arial"/>
          <w:sz w:val="18"/>
          <w:szCs w:val="18"/>
          <w:color w:val="auto"/>
        </w:rPr>
        <w:t>10.14# License and Collaboration Agreement, by and between Aclaris Therapeutics International Limited and Rigel Pharmaceuticals, Inc., dated as of August 27, 2015 (incorporated by reference to Exhibit 10.14 to Amendment No. 3 to the Registrant’s Registration Statement on Form S-1 (File No. 333-206437), filed with the SEC on October 1, 2015).</w:t>
      </w:r>
    </w:p>
    <w:p>
      <w:pPr>
        <w:spacing w:after="0" w:line="1" w:lineRule="exact"/>
        <w:rPr>
          <w:sz w:val="20"/>
          <w:szCs w:val="20"/>
          <w:color w:val="auto"/>
        </w:rPr>
      </w:pPr>
    </w:p>
    <w:p>
      <w:pPr>
        <w:jc w:val="both"/>
        <w:ind w:left="1125" w:right="320" w:hanging="586"/>
        <w:spacing w:after="0" w:line="224" w:lineRule="auto"/>
        <w:rPr>
          <w:sz w:val="20"/>
          <w:szCs w:val="20"/>
          <w:color w:val="auto"/>
        </w:rPr>
      </w:pPr>
      <w:r>
        <w:rPr>
          <w:rFonts w:ascii="Arial" w:cs="Arial" w:eastAsia="Arial" w:hAnsi="Arial"/>
          <w:sz w:val="18"/>
          <w:szCs w:val="18"/>
          <w:color w:val="auto"/>
        </w:rPr>
        <w:t>10.15+ Amended and Restated Employment Agreement, by and between the Registrant and Neal Walker, dated as of October 5, 2015 (incorporated by reference to Exhibit 10.1 to the Registrant’s Quarterly Report on Form 10-Q (File No. 001-37581), filed with the SEC on November 18, 2015).</w:t>
      </w:r>
    </w:p>
    <w:p>
      <w:pPr>
        <w:spacing w:after="0" w:line="1" w:lineRule="exact"/>
        <w:rPr>
          <w:sz w:val="20"/>
          <w:szCs w:val="20"/>
          <w:color w:val="auto"/>
        </w:rPr>
      </w:pPr>
    </w:p>
    <w:p>
      <w:pPr>
        <w:ind w:left="1125" w:right="460" w:hanging="586"/>
        <w:spacing w:after="0" w:line="224" w:lineRule="auto"/>
        <w:rPr>
          <w:sz w:val="20"/>
          <w:szCs w:val="20"/>
          <w:color w:val="auto"/>
        </w:rPr>
      </w:pPr>
      <w:r>
        <w:rPr>
          <w:rFonts w:ascii="Arial" w:cs="Arial" w:eastAsia="Arial" w:hAnsi="Arial"/>
          <w:sz w:val="18"/>
          <w:szCs w:val="18"/>
          <w:color w:val="auto"/>
        </w:rPr>
        <w:t>10.16+ Employment Agreement, by and between the Registrant and Stuart Shanler, dated as of October 4, 2015 (incorporated by reference to Exhibit 10.2 to the Registrant’s Quarterly Report on Form 10-Q (File No. 001-37581), filed with the SEC on November 18, 2015).</w:t>
      </w:r>
    </w:p>
    <w:p>
      <w:pPr>
        <w:spacing w:after="0" w:line="1" w:lineRule="exact"/>
        <w:rPr>
          <w:sz w:val="20"/>
          <w:szCs w:val="20"/>
          <w:color w:val="auto"/>
        </w:rPr>
      </w:pPr>
    </w:p>
    <w:p>
      <w:pPr>
        <w:ind w:left="1125" w:right="80" w:hanging="586"/>
        <w:spacing w:after="0" w:line="224" w:lineRule="auto"/>
        <w:rPr>
          <w:sz w:val="20"/>
          <w:szCs w:val="20"/>
          <w:color w:val="auto"/>
        </w:rPr>
      </w:pPr>
      <w:r>
        <w:rPr>
          <w:rFonts w:ascii="Arial" w:cs="Arial" w:eastAsia="Arial" w:hAnsi="Arial"/>
          <w:sz w:val="18"/>
          <w:szCs w:val="18"/>
          <w:color w:val="auto"/>
        </w:rPr>
        <w:t>10.17+ Employment Agreement, by and between the Registrant and Christopher Powala, dated as of September 17, 2015 (incorporated by reference to Exhibit 10.3 to the Registrant’s Quarterly Report on Form 10-Q (File No. 001-37581), filed with the SEC on November 18, 2015).</w:t>
      </w:r>
    </w:p>
    <w:p>
      <w:pPr>
        <w:spacing w:after="0" w:line="1" w:lineRule="exact"/>
        <w:rPr>
          <w:sz w:val="20"/>
          <w:szCs w:val="20"/>
          <w:color w:val="auto"/>
        </w:rPr>
      </w:pPr>
    </w:p>
    <w:p>
      <w:pPr>
        <w:ind w:left="1125" w:right="60" w:hanging="569"/>
        <w:spacing w:after="0" w:line="252" w:lineRule="auto"/>
        <w:rPr>
          <w:sz w:val="20"/>
          <w:szCs w:val="20"/>
          <w:color w:val="auto"/>
        </w:rPr>
      </w:pPr>
      <w:r>
        <w:rPr>
          <w:rFonts w:ascii="Arial" w:cs="Arial" w:eastAsia="Arial" w:hAnsi="Arial"/>
          <w:sz w:val="16"/>
          <w:szCs w:val="16"/>
          <w:color w:val="auto"/>
        </w:rPr>
        <w:t>10.18^ Exclusive License Agreement, by and between The Trustees of Columbia University in the City of New York and Vixen Pharmaceuticals, Inc., dated as of December 31, 2015 (incorporated by reference to Exhibit 10.1 to the Registrant’s Quarterly Report on Form 10-Q (File No. 001-37581), filed with the SEC on May 11, 2016).</w:t>
      </w:r>
    </w:p>
    <w:p>
      <w:pPr>
        <w:spacing w:after="0" w:line="1" w:lineRule="exact"/>
        <w:rPr>
          <w:sz w:val="20"/>
          <w:szCs w:val="20"/>
          <w:color w:val="auto"/>
        </w:rPr>
      </w:pPr>
    </w:p>
    <w:p>
      <w:pPr>
        <w:ind w:left="1125" w:right="40" w:hanging="569"/>
        <w:spacing w:after="0" w:line="224" w:lineRule="auto"/>
        <w:rPr>
          <w:sz w:val="20"/>
          <w:szCs w:val="20"/>
          <w:color w:val="auto"/>
        </w:rPr>
      </w:pPr>
      <w:r>
        <w:rPr>
          <w:rFonts w:ascii="Arial" w:cs="Arial" w:eastAsia="Arial" w:hAnsi="Arial"/>
          <w:sz w:val="18"/>
          <w:szCs w:val="18"/>
          <w:color w:val="auto"/>
        </w:rPr>
        <w:t>10.19^ Third Amendment to Services Agreement by and between the Registrant and NST Consulting, LLC, dated as of November 24, 2015 (incorporated by reference to Exhibit 10.2 to the Registrant’s Quarterly Report on Form 10-Q (File No. 001-37581), filed with the SEC on May 11, 2016).</w:t>
      </w:r>
    </w:p>
    <w:p>
      <w:pPr>
        <w:spacing w:after="0" w:line="1" w:lineRule="exact"/>
        <w:rPr>
          <w:sz w:val="20"/>
          <w:szCs w:val="20"/>
          <w:color w:val="auto"/>
        </w:rPr>
      </w:pPr>
    </w:p>
    <w:p>
      <w:pPr>
        <w:ind w:left="1125" w:right="100" w:hanging="569"/>
        <w:spacing w:after="0" w:line="224" w:lineRule="auto"/>
        <w:rPr>
          <w:sz w:val="20"/>
          <w:szCs w:val="20"/>
          <w:color w:val="auto"/>
        </w:rPr>
      </w:pPr>
      <w:r>
        <w:rPr>
          <w:rFonts w:ascii="Arial" w:cs="Arial" w:eastAsia="Arial" w:hAnsi="Arial"/>
          <w:sz w:val="18"/>
          <w:szCs w:val="18"/>
          <w:color w:val="auto"/>
        </w:rPr>
        <w:t>10.20^ Fourth Amendment to Services Agreement by and between the Registrant and NST Consulting, LLC, dated as of January 8, 2016 (incorporated by reference to Exhibit 10.3 to the Registrant’s Quarterly Report on Form 10-Q (File No. 001-37581), filed with the SEC on May 11, 2016).</w:t>
      </w:r>
    </w:p>
    <w:p>
      <w:pPr>
        <w:spacing w:after="0" w:line="1" w:lineRule="exact"/>
        <w:rPr>
          <w:sz w:val="20"/>
          <w:szCs w:val="20"/>
          <w:color w:val="auto"/>
        </w:rPr>
      </w:pPr>
    </w:p>
    <w:p>
      <w:pPr>
        <w:ind w:left="1125" w:right="240" w:hanging="569"/>
        <w:spacing w:after="0" w:line="224" w:lineRule="auto"/>
        <w:rPr>
          <w:sz w:val="20"/>
          <w:szCs w:val="20"/>
          <w:color w:val="auto"/>
        </w:rPr>
      </w:pPr>
      <w:r>
        <w:rPr>
          <w:rFonts w:ascii="Arial" w:cs="Arial" w:eastAsia="Arial" w:hAnsi="Arial"/>
          <w:sz w:val="18"/>
          <w:szCs w:val="18"/>
          <w:color w:val="auto"/>
        </w:rPr>
        <w:t>10.21^ Fifth Amendment to Services Agreement by and between the Registrant and NST Consulting, LLC, dated as of January 8, 2016 (incorporated by reference to Exhibit 10.4 to the Registrant’s Quarterly Report on Form 10-Q (File No. 001-37581), filed with the SEC on May 11, 2016).</w:t>
      </w:r>
    </w:p>
    <w:p>
      <w:pPr>
        <w:spacing w:after="0" w:line="1" w:lineRule="exact"/>
        <w:rPr>
          <w:sz w:val="20"/>
          <w:szCs w:val="20"/>
          <w:color w:val="auto"/>
        </w:rPr>
      </w:pPr>
    </w:p>
    <w:p>
      <w:pPr>
        <w:ind w:left="1125" w:right="60" w:hanging="530"/>
        <w:spacing w:after="0" w:line="237" w:lineRule="auto"/>
        <w:rPr>
          <w:sz w:val="20"/>
          <w:szCs w:val="20"/>
          <w:color w:val="auto"/>
        </w:rPr>
      </w:pPr>
      <w:r>
        <w:rPr>
          <w:rFonts w:ascii="Arial" w:cs="Arial" w:eastAsia="Arial" w:hAnsi="Arial"/>
          <w:sz w:val="17"/>
          <w:szCs w:val="17"/>
          <w:color w:val="auto"/>
        </w:rPr>
        <w:t>10.22 Third Amendment to Amended and Restated Sublease, by and between the Registrant and NST Consulting, LLC, dated as of February 8, 2016 (incorporated by reference to Exhibit 10.5 to the Registrant’s Quarterly Report on Form 10-Q (File No. 001-37581), filed with the SEC on May 11, 2016).</w:t>
      </w:r>
    </w:p>
    <w:p>
      <w:pPr>
        <w:spacing w:after="0" w:line="2" w:lineRule="exact"/>
        <w:rPr>
          <w:sz w:val="20"/>
          <w:szCs w:val="20"/>
          <w:color w:val="auto"/>
        </w:rPr>
      </w:pPr>
    </w:p>
    <w:p>
      <w:pPr>
        <w:ind w:left="1125" w:right="140" w:hanging="530"/>
        <w:spacing w:after="0" w:line="224" w:lineRule="auto"/>
        <w:rPr>
          <w:sz w:val="20"/>
          <w:szCs w:val="20"/>
          <w:color w:val="auto"/>
        </w:rPr>
      </w:pPr>
      <w:r>
        <w:rPr>
          <w:rFonts w:ascii="Arial" w:cs="Arial" w:eastAsia="Arial" w:hAnsi="Arial"/>
          <w:sz w:val="18"/>
          <w:szCs w:val="18"/>
          <w:color w:val="auto"/>
        </w:rPr>
        <w:t>10.23 Securities Purchase Agreement, dated May 27, 2016, by and between the Registrant and the investors named therein (incorporated by reference to Exhibit 10.1 to the Registrant’s Current Report on Form 8-K (File No. 001-37581), filed with the SEC on June 2, 2016).</w:t>
      </w:r>
    </w:p>
    <w:p>
      <w:pPr>
        <w:spacing w:after="0" w:line="1" w:lineRule="exact"/>
        <w:rPr>
          <w:sz w:val="20"/>
          <w:szCs w:val="20"/>
          <w:color w:val="auto"/>
        </w:rPr>
      </w:pPr>
    </w:p>
    <w:p>
      <w:pPr>
        <w:ind w:left="1125" w:right="140" w:hanging="530"/>
        <w:spacing w:after="0" w:line="224" w:lineRule="auto"/>
        <w:rPr>
          <w:sz w:val="20"/>
          <w:szCs w:val="20"/>
          <w:color w:val="auto"/>
        </w:rPr>
      </w:pPr>
      <w:r>
        <w:rPr>
          <w:rFonts w:ascii="Arial" w:cs="Arial" w:eastAsia="Arial" w:hAnsi="Arial"/>
          <w:sz w:val="18"/>
          <w:szCs w:val="18"/>
          <w:color w:val="auto"/>
        </w:rPr>
        <w:t>10.24 Registration Rights Agreement, dated May 27, 2016, by and between the Registrant and the investors named therein (incorporated by reference to Exhibit 10.2 to the Registrant’s Current Report on Form 8-K (File No. 001-37581), filed with the SEC on June 2, 2016).</w:t>
      </w:r>
    </w:p>
    <w:p>
      <w:pPr>
        <w:spacing w:after="0" w:line="1" w:lineRule="exact"/>
        <w:rPr>
          <w:sz w:val="20"/>
          <w:szCs w:val="20"/>
          <w:color w:val="auto"/>
        </w:rPr>
      </w:pPr>
    </w:p>
    <w:p>
      <w:pPr>
        <w:ind w:left="1125" w:right="500" w:hanging="575"/>
        <w:spacing w:after="0" w:line="227" w:lineRule="auto"/>
        <w:rPr>
          <w:sz w:val="20"/>
          <w:szCs w:val="20"/>
          <w:color w:val="auto"/>
        </w:rPr>
      </w:pPr>
      <w:r>
        <w:rPr>
          <w:rFonts w:ascii="Arial" w:cs="Arial" w:eastAsia="Arial" w:hAnsi="Arial"/>
          <w:sz w:val="18"/>
          <w:szCs w:val="18"/>
          <w:color w:val="auto"/>
        </w:rPr>
        <w:t>10.25* Amendment to Assignment Agreement, by and between the Registrant and Mickey J. Miller, II, as personal representative of the estate of Mickey J. Miller, dated as of June 15, 2016.</w:t>
      </w:r>
    </w:p>
    <w:p>
      <w:pPr>
        <w:ind w:left="605"/>
        <w:spacing w:after="0" w:line="235" w:lineRule="auto"/>
        <w:rPr>
          <w:sz w:val="20"/>
          <w:szCs w:val="20"/>
          <w:color w:val="auto"/>
        </w:rPr>
      </w:pPr>
      <w:r>
        <w:rPr>
          <w:rFonts w:ascii="Arial" w:cs="Arial" w:eastAsia="Arial" w:hAnsi="Arial"/>
          <w:sz w:val="18"/>
          <w:szCs w:val="18"/>
          <w:color w:val="auto"/>
        </w:rPr>
        <w:t>21.1*  Subsidiaries of the Registrant.</w:t>
      </w:r>
    </w:p>
    <w:p>
      <w:pPr>
        <w:ind w:left="645"/>
        <w:spacing w:after="0" w:line="219" w:lineRule="auto"/>
        <w:rPr>
          <w:sz w:val="20"/>
          <w:szCs w:val="20"/>
          <w:color w:val="auto"/>
        </w:rPr>
      </w:pPr>
      <w:r>
        <w:rPr>
          <w:rFonts w:ascii="Arial" w:cs="Arial" w:eastAsia="Arial" w:hAnsi="Arial"/>
          <w:sz w:val="18"/>
          <w:szCs w:val="18"/>
          <w:color w:val="auto"/>
        </w:rPr>
        <w:t>23.1* Consent of PricewaterhouseCoopers LLP, independent registered public accounting firm.</w:t>
      </w:r>
    </w:p>
    <w:p>
      <w:pPr>
        <w:ind w:left="645"/>
        <w:spacing w:after="0"/>
        <w:rPr>
          <w:sz w:val="20"/>
          <w:szCs w:val="20"/>
          <w:color w:val="auto"/>
        </w:rPr>
      </w:pPr>
      <w:r>
        <w:rPr>
          <w:rFonts w:ascii="Arial" w:cs="Arial" w:eastAsia="Arial" w:hAnsi="Arial"/>
          <w:sz w:val="18"/>
          <w:szCs w:val="18"/>
          <w:color w:val="auto"/>
        </w:rPr>
        <w:t>24.1* Power of Attorney (contained on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14922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305" w:hanging="305"/>
        <w:spacing w:after="0"/>
        <w:tabs>
          <w:tab w:leader="none" w:pos="3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5" w:hanging="325"/>
        <w:spacing w:after="0"/>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305" w:hanging="305"/>
        <w:spacing w:after="0"/>
        <w:tabs>
          <w:tab w:leader="none" w:pos="3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indicated by asterisks, which portions have</w:t>
      </w:r>
    </w:p>
    <w:p>
      <w:pPr>
        <w:spacing w:after="0" w:line="32" w:lineRule="exact"/>
        <w:rPr>
          <w:sz w:val="20"/>
          <w:szCs w:val="20"/>
          <w:color w:val="auto"/>
        </w:rPr>
      </w:pPr>
    </w:p>
    <w:p>
      <w:pPr>
        <w:ind w:left="325"/>
        <w:spacing w:after="0"/>
        <w:rPr>
          <w:sz w:val="20"/>
          <w:szCs w:val="20"/>
          <w:color w:val="auto"/>
        </w:rPr>
      </w:pPr>
      <w:r>
        <w:rPr>
          <w:rFonts w:ascii="Arial" w:cs="Arial" w:eastAsia="Arial" w:hAnsi="Arial"/>
          <w:sz w:val="18"/>
          <w:szCs w:val="18"/>
          <w:color w:val="auto"/>
        </w:rPr>
        <w:t>been separately filed with the SEC.</w:t>
      </w:r>
    </w:p>
    <w:p>
      <w:pPr>
        <w:spacing w:after="0" w:line="9" w:lineRule="exact"/>
        <w:rPr>
          <w:sz w:val="20"/>
          <w:szCs w:val="20"/>
          <w:color w:val="auto"/>
        </w:rPr>
      </w:pPr>
    </w:p>
    <w:p>
      <w:pPr>
        <w:ind w:left="325" w:right="80" w:hanging="325"/>
        <w:spacing w:after="0" w:line="261" w:lineRule="auto"/>
        <w:tabs>
          <w:tab w:leader="none" w:pos="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indicated by asterisks, which portions have been filed separately with the SEC.</w:t>
      </w:r>
    </w:p>
    <w:p>
      <w:pPr>
        <w:spacing w:after="0" w:line="400"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0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25" w:right="1259" w:bottom="1440" w:gutter="0" w:footer="0" w:header="0"/>
        </w:sectPr>
      </w:pPr>
    </w:p>
    <w:bookmarkStart w:id="24" w:name="page25"/>
    <w:bookmarkEnd w:id="2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1166495" cy="377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ind w:left="260"/>
        <w:spacing w:after="0"/>
        <w:tabs>
          <w:tab w:leader="none" w:pos="7900" w:val="left"/>
        </w:tabs>
        <w:rPr>
          <w:sz w:val="20"/>
          <w:szCs w:val="20"/>
          <w:color w:val="auto"/>
        </w:rPr>
      </w:pPr>
      <w:r>
        <w:rPr>
          <w:rFonts w:ascii="Arial" w:cs="Arial" w:eastAsia="Arial" w:hAnsi="Arial"/>
          <w:sz w:val="16"/>
          <w:szCs w:val="16"/>
          <w:color w:val="auto"/>
        </w:rPr>
        <w:t>Brian F. Leaf</w:t>
      </w:r>
      <w:r>
        <w:rPr>
          <w:sz w:val="20"/>
          <w:szCs w:val="20"/>
          <w:color w:val="auto"/>
        </w:rPr>
        <w:tab/>
      </w:r>
      <w:r>
        <w:rPr>
          <w:rFonts w:ascii="Arial" w:cs="Arial" w:eastAsia="Arial" w:hAnsi="Arial"/>
          <w:sz w:val="14"/>
          <w:szCs w:val="14"/>
          <w:b w:val="1"/>
          <w:bCs w:val="1"/>
          <w:color w:val="auto"/>
        </w:rPr>
        <w:t>EXHIBIT 5.1</w:t>
      </w:r>
    </w:p>
    <w:p>
      <w:pPr>
        <w:spacing w:after="0" w:line="22" w:lineRule="exact"/>
        <w:rPr>
          <w:sz w:val="20"/>
          <w:szCs w:val="20"/>
          <w:color w:val="auto"/>
        </w:rPr>
      </w:pPr>
    </w:p>
    <w:p>
      <w:pPr>
        <w:jc w:val="both"/>
        <w:ind w:left="260" w:right="7659" w:firstLine="7"/>
        <w:spacing w:after="0" w:line="361"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+1703 456 8053 bleaf@cooley.com</w:t>
      </w: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June 17, 2016</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Aclaris Therapeutics, Inc.</w:t>
      </w:r>
    </w:p>
    <w:p>
      <w:pPr>
        <w:ind w:left="160"/>
        <w:spacing w:after="0" w:line="234" w:lineRule="auto"/>
        <w:rPr>
          <w:sz w:val="20"/>
          <w:szCs w:val="20"/>
          <w:color w:val="auto"/>
        </w:rPr>
      </w:pPr>
      <w:r>
        <w:rPr>
          <w:rFonts w:ascii="Arial" w:cs="Arial" w:eastAsia="Arial" w:hAnsi="Arial"/>
          <w:sz w:val="18"/>
          <w:szCs w:val="18"/>
          <w:color w:val="auto"/>
        </w:rPr>
        <w:t>101 Lindenwood Drive, Suite 400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Malvern, PA 19355</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left="160" w:right="139"/>
        <w:spacing w:after="0" w:line="205" w:lineRule="exact"/>
        <w:rPr>
          <w:sz w:val="20"/>
          <w:szCs w:val="20"/>
          <w:color w:val="auto"/>
        </w:rPr>
      </w:pPr>
      <w:r>
        <w:rPr>
          <w:rFonts w:ascii="Arial" w:cs="Arial" w:eastAsia="Arial" w:hAnsi="Arial"/>
          <w:sz w:val="18"/>
          <w:szCs w:val="18"/>
          <w:color w:val="auto"/>
        </w:rPr>
        <w:t>You have requested our opinion, as counsel to Aclaris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the registration for resale of 1,081,082 shares of the Company’s common stock, par value $ 0.00001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held by certain selling stockholders identified in the Prospectus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92" w:lineRule="exact"/>
        <w:rPr>
          <w:sz w:val="20"/>
          <w:szCs w:val="20"/>
          <w:color w:val="auto"/>
        </w:rPr>
      </w:pPr>
    </w:p>
    <w:p>
      <w:pPr>
        <w:jc w:val="both"/>
        <w:ind w:left="160" w:right="139"/>
        <w:spacing w:after="0" w:line="23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Prospectus, (b) the Company’s Amended and Restated Certificate of Incorporation and the Company’s Amended and Restated Bylaws, each as currently in effect, and (c) the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of such documents. As to certain factual matters, we have relied upon a certificate of an officer of the Company and have not sought independently to verify such matters.</w:t>
      </w:r>
    </w:p>
    <w:p>
      <w:pPr>
        <w:spacing w:after="0" w:line="192"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as to whether the laws of any particular jurisdiction other than those identified above are applicable to the subject matter of this opinion. We are not rendering any opinion as to compliance with any federal or state law, rule or regulation relating to securities, or to the sale or issuance thereof.</w:t>
      </w:r>
    </w:p>
    <w:p>
      <w:pPr>
        <w:spacing w:after="0" w:line="188" w:lineRule="exact"/>
        <w:rPr>
          <w:sz w:val="20"/>
          <w:szCs w:val="20"/>
          <w:color w:val="auto"/>
        </w:rPr>
      </w:pPr>
    </w:p>
    <w:p>
      <w:pPr>
        <w:jc w:val="both"/>
        <w:ind w:left="160" w:right="139"/>
        <w:spacing w:after="0" w:line="246" w:lineRule="auto"/>
        <w:rPr>
          <w:sz w:val="20"/>
          <w:szCs w:val="20"/>
          <w:color w:val="auto"/>
        </w:rPr>
      </w:pPr>
      <w:r>
        <w:rPr>
          <w:rFonts w:ascii="Arial" w:cs="Arial" w:eastAsia="Arial" w:hAnsi="Arial"/>
          <w:sz w:val="18"/>
          <w:szCs w:val="18"/>
          <w:color w:val="auto"/>
        </w:rPr>
        <w:t>On the basis of the foregoing, and in reliance thereon, we are of the opinion that the Shares have been validly issued and are fully paid and nonassessable.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 /s/ Brian F. 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6350</wp:posOffset>
            </wp:positionV>
            <wp:extent cx="15093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Brian F. Leaf</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One Freedom Square, Reston Town Center, 11951 Freedom Drive, Reston, VA 20190-5656 T: (703) 456-8000 F: (703) 456-8100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80645</wp:posOffset>
            </wp:positionV>
            <wp:extent cx="55486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ind w:left="7660"/>
        <w:spacing w:after="0"/>
        <w:rPr>
          <w:sz w:val="20"/>
          <w:szCs w:val="20"/>
          <w:color w:val="auto"/>
        </w:rPr>
      </w:pPr>
      <w:r>
        <w:rPr>
          <w:rFonts w:ascii="Arial" w:cs="Arial" w:eastAsia="Arial" w:hAnsi="Arial"/>
          <w:sz w:val="19"/>
          <w:szCs w:val="19"/>
          <w:b w:val="1"/>
          <w:bCs w:val="1"/>
          <w:color w:val="auto"/>
        </w:rPr>
        <w:t>Exhibit 10.25</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TO ASSIGNMENT AGREEMENT</w:t>
      </w:r>
    </w:p>
    <w:p>
      <w:pPr>
        <w:spacing w:after="0" w:line="179" w:lineRule="exact"/>
        <w:rPr>
          <w:sz w:val="20"/>
          <w:szCs w:val="20"/>
          <w:color w:val="auto"/>
        </w:rPr>
      </w:pPr>
    </w:p>
    <w:p>
      <w:pPr>
        <w:jc w:val="both"/>
        <w:ind w:left="160" w:right="139" w:firstLine="648"/>
        <w:spacing w:after="0" w:line="254" w:lineRule="auto"/>
        <w:rPr>
          <w:sz w:val="20"/>
          <w:szCs w:val="20"/>
          <w:color w:val="auto"/>
        </w:rPr>
      </w:pPr>
      <w:r>
        <w:rPr>
          <w:rFonts w:ascii="Arial" w:cs="Arial" w:eastAsia="Arial" w:hAnsi="Arial"/>
          <w:sz w:val="19"/>
          <w:szCs w:val="19"/>
          <w:color w:val="auto"/>
        </w:rPr>
        <w:t>This Amendment to Assignment Agreement (the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is entered into effective as of June 15, 2016, by and between </w:t>
      </w:r>
      <w:r>
        <w:rPr>
          <w:rFonts w:ascii="Arial" w:cs="Arial" w:eastAsia="Arial" w:hAnsi="Arial"/>
          <w:sz w:val="19"/>
          <w:szCs w:val="19"/>
          <w:b w:val="1"/>
          <w:bCs w:val="1"/>
          <w:color w:val="auto"/>
        </w:rPr>
        <w:t>ACLARIS THERAPEUTICS, INC.</w:t>
      </w:r>
      <w:r>
        <w:rPr>
          <w:rFonts w:ascii="Arial" w:cs="Arial" w:eastAsia="Arial" w:hAnsi="Arial"/>
          <w:sz w:val="19"/>
          <w:szCs w:val="19"/>
          <w:color w:val="auto"/>
        </w:rPr>
        <w:t>, a Delaware corporation, having an address of 101 Lindenwood Drive, Suite 400, Malvern, Pennsylvania 19355 (“</w:t>
      </w:r>
      <w:r>
        <w:rPr>
          <w:rFonts w:ascii="Arial" w:cs="Arial" w:eastAsia="Arial" w:hAnsi="Arial"/>
          <w:sz w:val="19"/>
          <w:szCs w:val="19"/>
          <w:b w:val="1"/>
          <w:bCs w:val="1"/>
          <w:color w:val="auto"/>
        </w:rPr>
        <w:t>Assignee</w:t>
      </w:r>
      <w:r>
        <w:rPr>
          <w:rFonts w:ascii="Arial" w:cs="Arial" w:eastAsia="Arial" w:hAnsi="Arial"/>
          <w:sz w:val="19"/>
          <w:szCs w:val="19"/>
          <w:color w:val="auto"/>
        </w:rPr>
        <w:t xml:space="preserve">”), and </w:t>
      </w:r>
      <w:r>
        <w:rPr>
          <w:rFonts w:ascii="Arial" w:cs="Arial" w:eastAsia="Arial" w:hAnsi="Arial"/>
          <w:sz w:val="19"/>
          <w:szCs w:val="19"/>
          <w:b w:val="1"/>
          <w:bCs w:val="1"/>
          <w:color w:val="auto"/>
        </w:rPr>
        <w:t>MICKEY J. MILLER, II,</w:t>
      </w:r>
      <w:r>
        <w:rPr>
          <w:rFonts w:ascii="Arial" w:cs="Arial" w:eastAsia="Arial" w:hAnsi="Arial"/>
          <w:sz w:val="19"/>
          <w:szCs w:val="19"/>
          <w:color w:val="auto"/>
        </w:rPr>
        <w:t xml:space="preserve"> of 5757 Preston View Blvd, Appt. #130, Dallas, Texas 75240, as Personal Representative of the estate of Mickey J. Miller (“</w:t>
      </w:r>
      <w:r>
        <w:rPr>
          <w:rFonts w:ascii="Arial" w:cs="Arial" w:eastAsia="Arial" w:hAnsi="Arial"/>
          <w:sz w:val="19"/>
          <w:szCs w:val="19"/>
          <w:b w:val="1"/>
          <w:bCs w:val="1"/>
          <w:color w:val="auto"/>
        </w:rPr>
        <w:t>Miller Estate</w:t>
      </w:r>
      <w:r>
        <w:rPr>
          <w:rFonts w:ascii="Arial" w:cs="Arial" w:eastAsia="Arial" w:hAnsi="Arial"/>
          <w:sz w:val="19"/>
          <w:szCs w:val="19"/>
          <w:color w:val="auto"/>
        </w:rPr>
        <w: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left="160" w:right="159" w:firstLine="639"/>
        <w:spacing w:after="0" w:line="257" w:lineRule="auto"/>
        <w:tabs>
          <w:tab w:leader="none" w:pos="15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Assignee and Miller Estate have entered into that certain Assignment Agreement having an effective date of August 20, 2012, (the “</w:t>
      </w:r>
      <w:r>
        <w:rPr>
          <w:rFonts w:ascii="Arial" w:cs="Arial" w:eastAsia="Arial" w:hAnsi="Arial"/>
          <w:sz w:val="19"/>
          <w:szCs w:val="19"/>
          <w:b w:val="1"/>
          <w:bCs w:val="1"/>
          <w:color w:val="auto"/>
        </w:rPr>
        <w:t>Agreement</w:t>
      </w:r>
      <w:r>
        <w:rPr>
          <w:rFonts w:ascii="Arial" w:cs="Arial" w:eastAsia="Arial" w:hAnsi="Arial"/>
          <w:sz w:val="19"/>
          <w:szCs w:val="19"/>
          <w:color w:val="auto"/>
        </w:rPr>
        <w:t>”), which provides for the assignment and conveyance from Miller Estate to Assignee of certain personal property described in the Agreement, including the Transferred Patents and Transferred Know-How.</w:t>
      </w:r>
    </w:p>
    <w:p>
      <w:pPr>
        <w:spacing w:after="0" w:line="144" w:lineRule="exact"/>
        <w:rPr>
          <w:rFonts w:ascii="Arial" w:cs="Arial" w:eastAsia="Arial" w:hAnsi="Arial"/>
          <w:sz w:val="19"/>
          <w:szCs w:val="19"/>
          <w:color w:val="auto"/>
        </w:rPr>
      </w:pPr>
    </w:p>
    <w:p>
      <w:pPr>
        <w:ind w:left="160" w:right="139" w:firstLine="639"/>
        <w:spacing w:after="0" w:line="232" w:lineRule="auto"/>
        <w:tabs>
          <w:tab w:leader="none" w:pos="153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probate court having jurisdiction has determined that Mickey J. Miller II and Mickey Lyon are the sole heirs of Mickey J. Miller I and his estate.</w:t>
      </w:r>
    </w:p>
    <w:p>
      <w:pPr>
        <w:spacing w:after="0" w:line="159" w:lineRule="exact"/>
        <w:rPr>
          <w:rFonts w:ascii="Arial" w:cs="Arial" w:eastAsia="Arial" w:hAnsi="Arial"/>
          <w:sz w:val="22"/>
          <w:szCs w:val="22"/>
          <w:color w:val="auto"/>
        </w:rPr>
      </w:pPr>
    </w:p>
    <w:p>
      <w:pPr>
        <w:jc w:val="both"/>
        <w:ind w:left="160" w:right="139" w:firstLine="639"/>
        <w:spacing w:after="0" w:line="212" w:lineRule="auto"/>
        <w:tabs>
          <w:tab w:leader="none" w:pos="15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Agreement provides in Section 10.5 that Assignee’s sole responsibility with respect to each payment due under the Agreement is to make that payment to Miller Estate in accordance with the Agreement, or if the estate has been closed, then to Mickey J. Miller II or the single legal entity designated by him in writing under the next paragraph. Section 10.5 further provides that Assignee shall not be required to split payments among different heirs nor to deal with more than one representative of Miller Estate and/or designee for receipt of payment if the estate has been closed.</w:t>
      </w:r>
    </w:p>
    <w:p>
      <w:pPr>
        <w:spacing w:after="0" w:line="164" w:lineRule="exact"/>
        <w:rPr>
          <w:rFonts w:ascii="Arial" w:cs="Arial" w:eastAsia="Arial" w:hAnsi="Arial"/>
          <w:sz w:val="22"/>
          <w:szCs w:val="22"/>
          <w:color w:val="auto"/>
        </w:rPr>
      </w:pPr>
    </w:p>
    <w:p>
      <w:pPr>
        <w:jc w:val="both"/>
        <w:ind w:left="160" w:right="139" w:firstLine="639"/>
        <w:spacing w:after="0" w:line="218" w:lineRule="auto"/>
        <w:tabs>
          <w:tab w:leader="none" w:pos="1531" w:val="left"/>
        </w:tabs>
        <w:numPr>
          <w:ilvl w:val="0"/>
          <w:numId w:val="17"/>
        </w:numPr>
        <w:rPr>
          <w:rFonts w:ascii="Arial" w:cs="Arial" w:eastAsia="Arial" w:hAnsi="Arial"/>
          <w:sz w:val="22"/>
          <w:szCs w:val="22"/>
          <w:color w:val="auto"/>
        </w:rPr>
      </w:pPr>
      <w:r>
        <w:rPr>
          <w:rFonts w:ascii="Arial" w:cs="Arial" w:eastAsia="Arial" w:hAnsi="Arial"/>
          <w:sz w:val="22"/>
          <w:szCs w:val="22"/>
          <w:color w:val="auto"/>
        </w:rPr>
        <w:t>Pursuant to that certain Final Order Changing the Name of an Adult filed in the District Court of Travis County, Texas, on February 18, 2015, in Cause Number D-1-FM-15-000946 (a copy of which is attached to this amendment), Mickey Lyon’s name has been changed from Mickey Joe Lyon to Mickey Lyon Jamail.</w:t>
      </w:r>
    </w:p>
    <w:p>
      <w:pPr>
        <w:spacing w:after="0" w:line="161" w:lineRule="exact"/>
        <w:rPr>
          <w:rFonts w:ascii="Arial" w:cs="Arial" w:eastAsia="Arial" w:hAnsi="Arial"/>
          <w:sz w:val="22"/>
          <w:szCs w:val="22"/>
          <w:color w:val="auto"/>
        </w:rPr>
      </w:pPr>
    </w:p>
    <w:p>
      <w:pPr>
        <w:ind w:left="1500" w:hanging="701"/>
        <w:spacing w:after="0"/>
        <w:tabs>
          <w:tab w:leader="none" w:pos="15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parties now wish to amend and supplement the Agreement as provided in this</w:t>
      </w:r>
    </w:p>
    <w:p>
      <w:pPr>
        <w:spacing w:after="0" w:line="15"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AGREEMENTS:</w:t>
      </w:r>
    </w:p>
    <w:p>
      <w:pPr>
        <w:spacing w:after="0" w:line="185"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22"/>
          <w:szCs w:val="22"/>
          <w:color w:val="auto"/>
        </w:rPr>
        <w:t>NOW, THEREFORE, in consideration of the foregoing, and other good and valuable consideration, the receipt and sufficiency of which are hereby acknowledged, Assignee and Miller Estate agree as follows:</w:t>
      </w:r>
    </w:p>
    <w:p>
      <w:pPr>
        <w:spacing w:after="0" w:line="200" w:lineRule="exact"/>
        <w:rPr>
          <w:sz w:val="20"/>
          <w:szCs w:val="20"/>
          <w:color w:val="auto"/>
        </w:rPr>
      </w:pPr>
    </w:p>
    <w:p>
      <w:pPr>
        <w:spacing w:after="0" w:line="283" w:lineRule="exact"/>
        <w:rPr>
          <w:sz w:val="20"/>
          <w:szCs w:val="20"/>
          <w:color w:val="auto"/>
        </w:rPr>
      </w:pPr>
    </w:p>
    <w:p>
      <w:pPr>
        <w:ind w:left="800" w:right="399" w:hanging="1"/>
        <w:spacing w:after="0" w:line="232" w:lineRule="auto"/>
        <w:tabs>
          <w:tab w:leader="none" w:pos="1466" w:val="left"/>
        </w:tabs>
        <w:numPr>
          <w:ilvl w:val="0"/>
          <w:numId w:val="18"/>
        </w:numPr>
        <w:rPr>
          <w:rFonts w:ascii="Arial" w:cs="Arial" w:eastAsia="Arial" w:hAnsi="Arial"/>
          <w:sz w:val="22"/>
          <w:szCs w:val="22"/>
          <w:color w:val="auto"/>
        </w:rPr>
      </w:pPr>
      <w:r>
        <w:rPr>
          <w:rFonts w:ascii="Arial" w:cs="Arial" w:eastAsia="Arial" w:hAnsi="Arial"/>
          <w:sz w:val="22"/>
          <w:szCs w:val="22"/>
          <w:color w:val="auto"/>
        </w:rPr>
        <w:t>Capitalized terms used but not otherwise defined herein shall have the meaning set forth in the Agreement.</w:t>
      </w:r>
    </w:p>
    <w:p>
      <w:pPr>
        <w:spacing w:after="0" w:line="51" w:lineRule="exact"/>
        <w:rPr>
          <w:rFonts w:ascii="Arial" w:cs="Arial" w:eastAsia="Arial" w:hAnsi="Arial"/>
          <w:sz w:val="22"/>
          <w:szCs w:val="22"/>
          <w:color w:val="auto"/>
        </w:rPr>
      </w:pPr>
    </w:p>
    <w:p>
      <w:pPr>
        <w:ind w:left="800" w:right="159" w:hanging="1"/>
        <w:spacing w:after="0" w:line="298" w:lineRule="auto"/>
        <w:tabs>
          <w:tab w:leader="none" w:pos="146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second and third paragraphs of Section 10.5 of the Agreement are hereby deleted in their entirety and the following two paragraphs are hereby substituted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89535</wp:posOffset>
            </wp:positionV>
            <wp:extent cx="554863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440" w:right="199"/>
        <w:spacing w:after="0" w:line="241" w:lineRule="auto"/>
        <w:rPr>
          <w:sz w:val="20"/>
          <w:szCs w:val="20"/>
          <w:color w:val="auto"/>
        </w:rPr>
      </w:pPr>
      <w:r>
        <w:rPr>
          <w:rFonts w:ascii="Arial" w:cs="Arial" w:eastAsia="Arial" w:hAnsi="Arial"/>
          <w:sz w:val="19"/>
          <w:szCs w:val="19"/>
          <w:color w:val="auto"/>
        </w:rPr>
        <w:t>It is understood and agreed that Miller Estate may divide the proceeds due to it under this Agreement amongst the heirs to the estate, and commit to the heirs to do so as regards future payments. It may distribute to the heirs or enter into written agreements with the heirs for the distribution of such proceeds, and the heirs may further transfer or assign their rights to such proceeds. Any such written agreement or activity shall not be considered in breach of and is hereby explicitly allowed under this Section 10.5. It is further understood and agreed that whatever the distribution between the Miller Estate and the heirs, Assignee’s sole responsibility with respect to each payment due is to make that payment to Miller Estate in accordance with this Agreement, or if the estate has been closed, then to Mickey J. Miller II or the single legal entity designated by him in writing under the next paragraph, or if Mickey J. Miller II has requested that split payments be made to the heirs, then to such heirs as designated by him in writing under the next paragraph. Except as set forth otherwise in the next paragraph, Assignee shall not be required to split payments among different heirs nor to deal with more than one representative of Miller Estate and/or designee for receipt of payment if the estate has been closed.</w:t>
      </w:r>
    </w:p>
    <w:p>
      <w:pPr>
        <w:spacing w:after="0" w:line="164" w:lineRule="exact"/>
        <w:rPr>
          <w:sz w:val="20"/>
          <w:szCs w:val="20"/>
          <w:color w:val="auto"/>
        </w:rPr>
      </w:pPr>
    </w:p>
    <w:p>
      <w:pPr>
        <w:ind w:left="1440" w:right="159"/>
        <w:spacing w:after="0"/>
        <w:rPr>
          <w:sz w:val="20"/>
          <w:szCs w:val="20"/>
          <w:color w:val="auto"/>
        </w:rPr>
      </w:pPr>
      <w:r>
        <w:rPr>
          <w:rFonts w:ascii="Arial" w:cs="Arial" w:eastAsia="Arial" w:hAnsi="Arial"/>
          <w:sz w:val="19"/>
          <w:szCs w:val="19"/>
          <w:color w:val="auto"/>
        </w:rPr>
        <w:t>It is understood and agreed that during the term of this Agreement the estate of Mickey J. Miller I is likely to be closed because probate will not remain open over the life of this Agreement. If the Miller Estate is closed prior to any payment coming due under this Agreement, then notwithstanding anything express or implied in this Agreement, after the date that the Miller Estate is closed, Assignee shall make all subsequent payments that would have been due to Miller Estate, instead, to Mickey J. Miller II in his personal capacity, or to such other single legal entity as may be specified by Mickey J. Miller II in writing no later than ten (10) Business Days prior to the payment due date. As among the Parties and the heirs of the Miller Estate, it shall be Mickey J. Miller II’s responsibility to distribute payments to any and all heirs of the estate and/or their successors, or, in the case that Mickey J. Miller II has designated a different single legal entity to receive payment, it shall be that entity’s responsibility to do so. Notwithstanding the foregoing, Assignee acknowledges and agrees that Mickey J. Miller II may designate in writing, before or after the Miller Estate is closed and no later than ten (10) Business Days prior to the payment due date, that Assignee split subsequent payment(s) and make them to each of the heirs of the Miller Estate (</w:t>
      </w:r>
      <w:r>
        <w:rPr>
          <w:rFonts w:ascii="Arial" w:cs="Arial" w:eastAsia="Arial" w:hAnsi="Arial"/>
          <w:sz w:val="19"/>
          <w:szCs w:val="19"/>
          <w:i w:val="1"/>
          <w:iCs w:val="1"/>
          <w:color w:val="auto"/>
        </w:rPr>
        <w:t>i.e.</w:t>
      </w:r>
      <w:r>
        <w:rPr>
          <w:rFonts w:ascii="Arial" w:cs="Arial" w:eastAsia="Arial" w:hAnsi="Arial"/>
          <w:sz w:val="19"/>
          <w:szCs w:val="19"/>
          <w:color w:val="auto"/>
        </w:rPr>
        <w:t>, to Mickey J. Miller II and Mickey Lyon Jamail formerly known as Mickey Lyon) in equal percentages; and in the event of such written designation, Assignee will do so. Except as set forth in this paragraph, Assignee shall have no responsibility whatsoever to the heirs, nor to their successors, and Assignee’s sole responsibility is to make payment to Miller Estate, Mickey J. Miller II, or the single legal entity designated in writing by him to receive payment as provided for above, or to make the split payments to the heirs designated in writing by him to receive payment as provided for above, as applicable.</w:t>
      </w:r>
    </w:p>
    <w:p>
      <w:pPr>
        <w:spacing w:after="0" w:line="377" w:lineRule="exact"/>
        <w:rPr>
          <w:sz w:val="20"/>
          <w:szCs w:val="20"/>
          <w:color w:val="auto"/>
        </w:rPr>
      </w:pPr>
    </w:p>
    <w:p>
      <w:pPr>
        <w:ind w:left="800" w:right="159" w:hanging="1"/>
        <w:spacing w:after="0" w:line="218" w:lineRule="auto"/>
        <w:tabs>
          <w:tab w:leader="none" w:pos="1466" w:val="left"/>
        </w:tabs>
        <w:numPr>
          <w:ilvl w:val="0"/>
          <w:numId w:val="19"/>
        </w:numPr>
        <w:rPr>
          <w:rFonts w:ascii="Arial" w:cs="Arial" w:eastAsia="Arial" w:hAnsi="Arial"/>
          <w:sz w:val="22"/>
          <w:szCs w:val="22"/>
          <w:color w:val="auto"/>
        </w:rPr>
      </w:pPr>
      <w:r>
        <w:rPr>
          <w:rFonts w:ascii="Arial" w:cs="Arial" w:eastAsia="Arial" w:hAnsi="Arial"/>
          <w:sz w:val="22"/>
          <w:szCs w:val="22"/>
          <w:color w:val="auto"/>
        </w:rPr>
        <w:t>Except as amended by this Amendment, all provisions of the Agreement as originally written shall remain in full force and effect. This Amendment may be executed simultaneously or in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124460</wp:posOffset>
            </wp:positionV>
            <wp:extent cx="554863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160" w:right="159" w:firstLine="648"/>
        <w:spacing w:after="0" w:line="233" w:lineRule="auto"/>
        <w:rPr>
          <w:sz w:val="20"/>
          <w:szCs w:val="20"/>
          <w:color w:val="auto"/>
        </w:rPr>
      </w:pPr>
      <w:r>
        <w:rPr>
          <w:rFonts w:ascii="Arial" w:cs="Arial" w:eastAsia="Arial" w:hAnsi="Arial"/>
          <w:sz w:val="22"/>
          <w:szCs w:val="22"/>
          <w:color w:val="auto"/>
        </w:rPr>
        <w:t>IN WITNESS WHEREOF, the parties thereto have executed this Amendment as of the day and year first above written.</w:t>
      </w:r>
    </w:p>
    <w:p>
      <w:pPr>
        <w:spacing w:after="0" w:line="382"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3780" w:type="dxa"/>
            <w:vAlign w:val="bottom"/>
            <w:gridSpan w:val="2"/>
          </w:tcPr>
          <w:p>
            <w:pPr>
              <w:ind w:left="20"/>
              <w:spacing w:after="0"/>
              <w:rPr>
                <w:sz w:val="20"/>
                <w:szCs w:val="20"/>
                <w:color w:val="auto"/>
              </w:rPr>
            </w:pPr>
            <w:r>
              <w:rPr>
                <w:rFonts w:ascii="Arial" w:cs="Arial" w:eastAsia="Arial" w:hAnsi="Arial"/>
                <w:sz w:val="22"/>
                <w:szCs w:val="22"/>
                <w:b w:val="1"/>
                <w:bCs w:val="1"/>
                <w:color w:val="auto"/>
              </w:rPr>
              <w:t>Aclaris Therapeutics, Inc</w:t>
            </w:r>
          </w:p>
        </w:tc>
        <w:tc>
          <w:tcPr>
            <w:tcW w:w="4940" w:type="dxa"/>
            <w:vAlign w:val="bottom"/>
            <w:gridSpan w:val="2"/>
          </w:tcPr>
          <w:p>
            <w:pPr>
              <w:ind w:left="560"/>
              <w:spacing w:after="0"/>
              <w:rPr>
                <w:sz w:val="20"/>
                <w:szCs w:val="20"/>
                <w:color w:val="auto"/>
              </w:rPr>
            </w:pPr>
            <w:r>
              <w:rPr>
                <w:rFonts w:ascii="Arial" w:cs="Arial" w:eastAsia="Arial" w:hAnsi="Arial"/>
                <w:sz w:val="22"/>
                <w:szCs w:val="22"/>
                <w:b w:val="1"/>
                <w:bCs w:val="1"/>
                <w:color w:val="auto"/>
              </w:rPr>
              <w:t>Miller Estate</w:t>
            </w:r>
          </w:p>
        </w:tc>
        <w:tc>
          <w:tcPr>
            <w:tcW w:w="20" w:type="dxa"/>
            <w:vAlign w:val="bottom"/>
          </w:tcPr>
          <w:p>
            <w:pPr>
              <w:spacing w:after="0"/>
              <w:rPr>
                <w:sz w:val="24"/>
                <w:szCs w:val="24"/>
                <w:color w:val="auto"/>
              </w:rPr>
            </w:pPr>
          </w:p>
        </w:tc>
      </w:tr>
      <w:tr>
        <w:trPr>
          <w:trHeight w:val="409"/>
        </w:trPr>
        <w:tc>
          <w:tcPr>
            <w:tcW w:w="660" w:type="dxa"/>
            <w:vAlign w:val="bottom"/>
          </w:tcPr>
          <w:p>
            <w:pPr>
              <w:ind w:left="20"/>
              <w:spacing w:after="0"/>
              <w:rPr>
                <w:sz w:val="20"/>
                <w:szCs w:val="20"/>
                <w:color w:val="auto"/>
              </w:rPr>
            </w:pPr>
            <w:r>
              <w:rPr>
                <w:rFonts w:ascii="Arial" w:cs="Arial" w:eastAsia="Arial" w:hAnsi="Arial"/>
                <w:sz w:val="22"/>
                <w:szCs w:val="22"/>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Neal Walker</w:t>
            </w:r>
          </w:p>
        </w:tc>
        <w:tc>
          <w:tcPr>
            <w:tcW w:w="1240" w:type="dxa"/>
            <w:vAlign w:val="bottom"/>
          </w:tcPr>
          <w:p>
            <w:pPr>
              <w:ind w:left="560"/>
              <w:spacing w:after="0"/>
              <w:rPr>
                <w:sz w:val="20"/>
                <w:szCs w:val="20"/>
                <w:color w:val="auto"/>
              </w:rPr>
            </w:pPr>
            <w:r>
              <w:rPr>
                <w:rFonts w:ascii="Arial" w:cs="Arial" w:eastAsia="Arial" w:hAnsi="Arial"/>
                <w:sz w:val="22"/>
                <w:szCs w:val="22"/>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Mickey J. Miller, II</w:t>
            </w:r>
          </w:p>
        </w:tc>
        <w:tc>
          <w:tcPr>
            <w:tcW w:w="20" w:type="dxa"/>
            <w:vAlign w:val="bottom"/>
          </w:tcPr>
          <w:p>
            <w:pPr>
              <w:spacing w:after="0"/>
              <w:rPr>
                <w:sz w:val="24"/>
                <w:szCs w:val="24"/>
                <w:color w:val="auto"/>
              </w:rPr>
            </w:pPr>
          </w:p>
        </w:tc>
      </w:tr>
      <w:tr>
        <w:trPr>
          <w:trHeight w:val="426"/>
        </w:trPr>
        <w:tc>
          <w:tcPr>
            <w:tcW w:w="660" w:type="dxa"/>
            <w:vAlign w:val="bottom"/>
          </w:tcPr>
          <w:p>
            <w:pPr>
              <w:ind w:left="20"/>
              <w:spacing w:after="0"/>
              <w:rPr>
                <w:sz w:val="20"/>
                <w:szCs w:val="20"/>
                <w:color w:val="auto"/>
              </w:rPr>
            </w:pPr>
            <w:r>
              <w:rPr>
                <w:rFonts w:ascii="Arial" w:cs="Arial" w:eastAsia="Arial" w:hAnsi="Arial"/>
                <w:sz w:val="22"/>
                <w:szCs w:val="22"/>
                <w:color w:val="auto"/>
                <w:w w:val="95"/>
              </w:rPr>
              <w:t>Name:</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Neal Walker</w:t>
            </w:r>
          </w:p>
        </w:tc>
        <w:tc>
          <w:tcPr>
            <w:tcW w:w="1240" w:type="dxa"/>
            <w:vAlign w:val="bottom"/>
          </w:tcPr>
          <w:p>
            <w:pPr>
              <w:ind w:left="560"/>
              <w:spacing w:after="0"/>
              <w:rPr>
                <w:sz w:val="20"/>
                <w:szCs w:val="20"/>
                <w:color w:val="auto"/>
              </w:rPr>
            </w:pPr>
            <w:r>
              <w:rPr>
                <w:rFonts w:ascii="Arial" w:cs="Arial" w:eastAsia="Arial" w:hAnsi="Arial"/>
                <w:sz w:val="22"/>
                <w:szCs w:val="22"/>
                <w:color w:val="auto"/>
              </w:rPr>
              <w:t>Name:</w:t>
            </w:r>
          </w:p>
        </w:tc>
        <w:tc>
          <w:tcPr>
            <w:tcW w:w="3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Mickey J. Miller, II</w:t>
            </w:r>
          </w:p>
        </w:tc>
        <w:tc>
          <w:tcPr>
            <w:tcW w:w="20" w:type="dxa"/>
            <w:vAlign w:val="bottom"/>
          </w:tcPr>
          <w:p>
            <w:pPr>
              <w:spacing w:after="0"/>
              <w:rPr>
                <w:sz w:val="24"/>
                <w:szCs w:val="24"/>
                <w:color w:val="auto"/>
              </w:rPr>
            </w:pPr>
          </w:p>
        </w:tc>
      </w:tr>
      <w:tr>
        <w:trPr>
          <w:trHeight w:val="426"/>
        </w:trPr>
        <w:tc>
          <w:tcPr>
            <w:tcW w:w="660" w:type="dxa"/>
            <w:vAlign w:val="bottom"/>
          </w:tcPr>
          <w:p>
            <w:pPr>
              <w:ind w:left="20"/>
              <w:spacing w:after="0"/>
              <w:rPr>
                <w:sz w:val="20"/>
                <w:szCs w:val="20"/>
                <w:color w:val="auto"/>
              </w:rPr>
            </w:pPr>
            <w:r>
              <w:rPr>
                <w:rFonts w:ascii="Arial" w:cs="Arial" w:eastAsia="Arial" w:hAnsi="Arial"/>
                <w:sz w:val="22"/>
                <w:szCs w:val="22"/>
                <w:color w:val="auto"/>
              </w:rPr>
              <w:t>Title:</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 and CEO</w:t>
            </w:r>
          </w:p>
        </w:tc>
        <w:tc>
          <w:tcPr>
            <w:tcW w:w="1240" w:type="dxa"/>
            <w:vAlign w:val="bottom"/>
          </w:tcPr>
          <w:p>
            <w:pPr>
              <w:ind w:left="560"/>
              <w:spacing w:after="0"/>
              <w:rPr>
                <w:sz w:val="20"/>
                <w:szCs w:val="20"/>
                <w:color w:val="auto"/>
              </w:rPr>
            </w:pPr>
            <w:r>
              <w:rPr>
                <w:rFonts w:ascii="Arial" w:cs="Arial" w:eastAsia="Arial" w:hAnsi="Arial"/>
                <w:sz w:val="22"/>
                <w:szCs w:val="22"/>
                <w:color w:val="auto"/>
              </w:rPr>
              <w:t>Title:</w:t>
            </w:r>
          </w:p>
        </w:tc>
        <w:tc>
          <w:tcPr>
            <w:tcW w:w="3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Personal Representative</w:t>
            </w:r>
          </w:p>
        </w:tc>
        <w:tc>
          <w:tcPr>
            <w:tcW w:w="20" w:type="dxa"/>
            <w:vAlign w:val="bottom"/>
          </w:tcPr>
          <w:p>
            <w:pPr>
              <w:spacing w:after="0"/>
              <w:rPr>
                <w:sz w:val="24"/>
                <w:szCs w:val="24"/>
                <w:color w:val="auto"/>
              </w:rPr>
            </w:pPr>
          </w:p>
        </w:tc>
      </w:tr>
      <w:tr>
        <w:trPr>
          <w:trHeight w:val="426"/>
        </w:trPr>
        <w:tc>
          <w:tcPr>
            <w:tcW w:w="660" w:type="dxa"/>
            <w:vAlign w:val="bottom"/>
          </w:tcPr>
          <w:p>
            <w:pPr>
              <w:ind w:left="20"/>
              <w:spacing w:after="0"/>
              <w:rPr>
                <w:sz w:val="20"/>
                <w:szCs w:val="20"/>
                <w:color w:val="auto"/>
              </w:rPr>
            </w:pPr>
            <w:r>
              <w:rPr>
                <w:rFonts w:ascii="Arial" w:cs="Arial" w:eastAsia="Arial" w:hAnsi="Arial"/>
                <w:sz w:val="22"/>
                <w:szCs w:val="22"/>
                <w:color w:val="auto"/>
              </w:rPr>
              <w:t>Date:</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6/15/16</w:t>
            </w:r>
          </w:p>
        </w:tc>
        <w:tc>
          <w:tcPr>
            <w:tcW w:w="1240" w:type="dxa"/>
            <w:vAlign w:val="bottom"/>
          </w:tcPr>
          <w:p>
            <w:pPr>
              <w:ind w:left="560"/>
              <w:spacing w:after="0"/>
              <w:rPr>
                <w:sz w:val="20"/>
                <w:szCs w:val="20"/>
                <w:color w:val="auto"/>
              </w:rPr>
            </w:pPr>
            <w:r>
              <w:rPr>
                <w:rFonts w:ascii="Arial" w:cs="Arial" w:eastAsia="Arial" w:hAnsi="Arial"/>
                <w:sz w:val="22"/>
                <w:szCs w:val="22"/>
                <w:color w:val="auto"/>
              </w:rPr>
              <w:t>Date:</w:t>
            </w:r>
          </w:p>
        </w:tc>
        <w:tc>
          <w:tcPr>
            <w:tcW w:w="3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6/1/16</w:t>
            </w:r>
          </w:p>
        </w:tc>
        <w:tc>
          <w:tcPr>
            <w:tcW w:w="20" w:type="dxa"/>
            <w:vAlign w:val="bottom"/>
          </w:tcPr>
          <w:p>
            <w:pPr>
              <w:spacing w:after="0"/>
              <w:rPr>
                <w:sz w:val="24"/>
                <w:szCs w:val="24"/>
                <w:color w:val="auto"/>
              </w:rPr>
            </w:pPr>
          </w:p>
        </w:tc>
      </w:tr>
      <w:tr>
        <w:trPr>
          <w:trHeight w:val="446"/>
        </w:trPr>
        <w:tc>
          <w:tcPr>
            <w:tcW w:w="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4" w:right="1440" w:bottom="1440" w:gutter="0" w:footer="0" w:header="0"/>
        </w:sectPr>
      </w:pPr>
    </w:p>
    <w:bookmarkStart w:id="28" w:name="page29"/>
    <w:bookmarkEnd w:id="28"/>
    <w:p>
      <w:pPr>
        <w:ind w:left="7940"/>
        <w:spacing w:after="0"/>
        <w:rPr>
          <w:sz w:val="20"/>
          <w:szCs w:val="20"/>
          <w:color w:val="auto"/>
        </w:rPr>
      </w:pPr>
      <w:r>
        <w:rPr>
          <w:rFonts w:ascii="Arial" w:cs="Arial" w:eastAsia="Arial" w:hAnsi="Arial"/>
          <w:sz w:val="16"/>
          <w:szCs w:val="16"/>
          <w:b w:val="1"/>
          <w:bCs w:val="1"/>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Aclaris Therapeutics, Inc.</w:t>
      </w:r>
    </w:p>
    <w:p>
      <w:pPr>
        <w:spacing w:after="0" w:line="12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8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 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Aclaris Therapeutics International, Ltd.</w:t>
            </w:r>
          </w:p>
        </w:tc>
        <w:tc>
          <w:tcPr>
            <w:tcW w:w="180" w:type="dxa"/>
            <w:vAlign w:val="bottom"/>
            <w:shd w:val="clear" w:color="auto" w:fill="CCEEFF"/>
          </w:tcPr>
          <w:p>
            <w:pPr>
              <w:spacing w:after="0"/>
              <w:rPr>
                <w:sz w:val="12"/>
                <w:szCs w:val="12"/>
                <w:color w:val="auto"/>
              </w:rPr>
            </w:pPr>
          </w:p>
        </w:tc>
        <w:tc>
          <w:tcPr>
            <w:tcW w:w="426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9"/>
              </w:rPr>
              <w:t>United Kingdom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Vixen Pharmaceuticals, Inc.</w:t>
            </w:r>
          </w:p>
        </w:tc>
        <w:tc>
          <w:tcPr>
            <w:tcW w:w="180" w:type="dxa"/>
            <w:vAlign w:val="bottom"/>
            <w:shd w:val="clear" w:color="auto" w:fill="CCEEFF"/>
          </w:tcPr>
          <w:p>
            <w:pPr>
              <w:spacing w:after="0"/>
              <w:rPr>
                <w:sz w:val="21"/>
                <w:szCs w:val="21"/>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29" w:name="page30"/>
    <w:bookmarkEnd w:id="29"/>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left="160" w:right="279" w:firstLine="486"/>
        <w:spacing w:after="0" w:line="21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March 23, 2016, relating to the financial statements, which appears in Aclaris Therapeutics, Inc.’s Annual Report on Form 10-K for the year ended December 31, 2015. We also consent to the reference to us under the heading “Experts” in such Registration Statement.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PricewaterhouseCoopers LLP</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Philadelphia, Pennsylvania</w:t>
      </w:r>
    </w:p>
    <w:p>
      <w:pPr>
        <w:ind w:left="160"/>
        <w:spacing w:after="0"/>
        <w:rPr>
          <w:sz w:val="20"/>
          <w:szCs w:val="20"/>
          <w:color w:val="auto"/>
        </w:rPr>
      </w:pPr>
      <w:r>
        <w:rPr>
          <w:rFonts w:ascii="Arial" w:cs="Arial" w:eastAsia="Arial" w:hAnsi="Arial"/>
          <w:sz w:val="18"/>
          <w:szCs w:val="18"/>
          <w:color w:val="auto"/>
        </w:rPr>
        <w:t>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8">
    <w:nsid w:val="DED726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
    <w:nsid w:val="7FDCC233"/>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
    <w:nsid w:val="1BEFD79F"/>
    <w:multiLevelType w:val="hybridMultilevel"/>
    <w:lvl w:ilvl="0">
      <w:lvlJc w:val="left"/>
      <w:lvlText w:val="(%1)"/>
      <w:numFmt w:val="lowerRoman"/>
      <w:start w:val="3"/>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upperLetter"/>
      <w:start w:val="20"/>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2019-12-08T22:56:59Z</dcterms:created>
  <dcterms:modified xsi:type="dcterms:W3CDTF">2019-12-08T22:56:59Z</dcterms:modified>
</cp:coreProperties>
</file>