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24" w:space="1" w:color="000000"/>
        </w:pBdr>
        <w:bidi w:val="0"/>
        <w:spacing w:before="0" w:after="0"/>
        <w:ind w:left="0" w:right="0" w:hanging="0"/>
        <w:jc w:val="left"/>
        <w:rPr/>
      </w:pPr>
      <w:bookmarkStart w:id="0" w:name="acrs-20260806x8k.htm"/>
      <w:bookmarkStart w:id="1" w:name="ksacrs20260806x8k"/>
      <w:bookmarkEnd w:id="0"/>
      <w:bookmarkEnd w:id="1"/>
      <w:r>
        <w:rPr/>
        <w:t>​</w:t>
      </w:r>
    </w:p>
    <w:p>
      <w:pPr>
        <w:pStyle w:val="TextBody"/>
        <w:bidi w:val="0"/>
        <w:spacing w:lineRule="auto" w:line="285" w:before="0" w:after="0"/>
        <w:ind w:left="0" w:right="0" w:hanging="0"/>
        <w:jc w:val="center"/>
        <w:rPr>
          <w:rFonts w:ascii="Times New Roman;Times;serif" w:hAnsi="Times New Roman;Times;serif"/>
          <w:b/>
          <w:spacing w:val="0"/>
          <w:sz w:val="28"/>
        </w:rPr>
      </w:pPr>
      <w:bookmarkStart w:id="2" w:name="_50f8f7f5_93c7_4997_99c0_3e2abed16fd9"/>
      <w:bookmarkEnd w:id="2"/>
      <w:r>
        <w:rPr>
          <w:rFonts w:ascii="Times New Roman;Times;serif" w:hAnsi="Times New Roman;Times;serif"/>
          <w:b/>
          <w:spacing w:val="0"/>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 of</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Report (Date of earliest event reported): August 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Aclaris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p7F798sKHkyuN5L_DrsyIw_2_4"/>
      <w:bookmarkStart w:id="4" w:name="Tc_NievTIIjWEG2HI2B3p54Eg_2_2"/>
      <w:bookmarkStart w:id="5" w:name="Tc_hhd6T5Ly_UGcOF4OD0ycQg_2_0"/>
      <w:bookmarkStart w:id="6" w:name="_a83eb2cc_1bf4_4f51_b25b_284cc2f2a7e7"/>
      <w:bookmarkStart w:id="7" w:name="Tc_p7F798sKHkyuN5L_DrsyIw_2_4"/>
      <w:bookmarkStart w:id="8" w:name="Tc_NievTIIjWEG2HI2B3p54Eg_2_2"/>
      <w:bookmarkStart w:id="9" w:name="Tc_hhd6T5Ly_UGcOF4OD0ycQg_2_0"/>
      <w:bookmarkStart w:id="10" w:name="_a83eb2cc_1bf4_4f51_b25b_284cc2f2a7e7"/>
      <w:bookmarkEnd w:id="7"/>
      <w:bookmarkEnd w:id="8"/>
      <w:bookmarkEnd w:id="9"/>
      <w:bookmarkEnd w:id="10"/>
    </w:p>
    <w:tbl>
      <w:tblPr>
        <w:tblW w:w="6956" w:type="dxa"/>
        <w:jc w:val="left"/>
        <w:tblInd w:w="0" w:type="dxa"/>
        <w:tblLayout w:type="fixed"/>
        <w:tblCellMar>
          <w:top w:w="0" w:type="dxa"/>
          <w:left w:w="0" w:type="dxa"/>
          <w:bottom w:w="0" w:type="dxa"/>
          <w:right w:w="0" w:type="dxa"/>
        </w:tblCellMar>
      </w:tblPr>
      <w:tblGrid>
        <w:gridCol w:w="3211"/>
        <w:gridCol w:w="109"/>
        <w:gridCol w:w="2071"/>
        <w:gridCol w:w="109"/>
        <w:gridCol w:w="1456"/>
      </w:tblGrid>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001-37581</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46-0571712</w:t>
            </w:r>
          </w:p>
        </w:tc>
      </w:tr>
      <w:tr>
        <w:trPr/>
        <w:tc>
          <w:tcPr>
            <w:tcW w:w="32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w:t>
            </w:r>
          </w:p>
        </w:tc>
        <w:tc>
          <w:tcPr>
            <w:tcW w:w="109"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701 Lee Road, Suite 103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Wayne, PA</w:t>
      </w:r>
      <w:r>
        <w:rPr>
          <w:rFonts w:ascii="Times New Roman;Times;serif" w:hAnsi="Times New Roman;Times;serif"/>
          <w:sz w:val="20"/>
        </w:rPr>
        <w:t xml:space="preserve"> </w:t>
      </w:r>
      <w:r>
        <w:rPr>
          <w:rFonts w:ascii="Times New Roman;Times;serif" w:hAnsi="Times New Roman;Times;serif"/>
          <w:b/>
          <w:sz w:val="18"/>
        </w:rPr>
        <w:t>19087</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including zip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(484) 324-7933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spacing w:val="-2"/>
        </w:rPr>
      </w:pPr>
      <w:r>
        <w:rPr>
          <w:spacing w:val="-2"/>
        </w:rPr>
        <w:t>​</w:t>
      </w:r>
    </w:p>
    <w:p>
      <w:pPr>
        <w:pStyle w:val="TextBody"/>
        <w:bidi w:val="0"/>
        <w:spacing w:before="100" w:after="10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pBdr/>
        <w:bidi w:val="0"/>
        <w:spacing w:before="100" w:after="100"/>
        <w:ind w:left="0" w:right="0" w:hanging="285"/>
        <w:jc w:val="left"/>
        <w:rPr/>
      </w:pPr>
      <w:r>
        <w:rPr/>
        <w:t xml:space="preserve">☐ </w:t>
      </w:r>
      <w:r>
        <w:rPr>
          <w:rFonts w:ascii="Times New Roman;Times;serif" w:hAnsi="Times New Roman;Times;serif"/>
          <w:sz w:val="18"/>
        </w:rPr>
        <w:t>Written communications pursuant to Rule 425 under the Securities Act (17 CFR 230.425)</w:t>
      </w:r>
    </w:p>
    <w:p>
      <w:pPr>
        <w:pStyle w:val="TextBody"/>
        <w:pBdr/>
        <w:bidi w:val="0"/>
        <w:spacing w:before="100" w:after="100"/>
        <w:ind w:left="0" w:right="0" w:hanging="285"/>
        <w:jc w:val="left"/>
        <w:rPr/>
      </w:pPr>
      <w:r>
        <w:rPr/>
        <w:t xml:space="preserve">☐ </w:t>
      </w:r>
      <w:r>
        <w:rPr>
          <w:rFonts w:ascii="Times New Roman;Times;serif" w:hAnsi="Times New Roman;Times;serif"/>
          <w:sz w:val="18"/>
        </w:rPr>
        <w:t>Soliciting material pursuant to Rule 14a-12 under the Exchange Act (17 CFR 240.14a-12)</w:t>
      </w:r>
    </w:p>
    <w:p>
      <w:pPr>
        <w:pStyle w:val="TextBody"/>
        <w:pBdr/>
        <w:bidi w:val="0"/>
        <w:spacing w:before="100" w:after="100"/>
        <w:ind w:left="0" w:right="0" w:hanging="285"/>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pBdr/>
        <w:bidi w:val="0"/>
        <w:spacing w:before="0" w:after="0"/>
        <w:ind w:left="0" w:right="0" w:hanging="285"/>
        <w:jc w:val="left"/>
        <w:rPr>
          <w:spacing w:val="-2"/>
        </w:rPr>
      </w:pPr>
      <w:r>
        <w:rPr>
          <w:spacing w:val="0"/>
        </w:rPr>
        <w:t xml:space="preserve">☐ </w:t>
      </w:r>
      <w:r>
        <w:rPr>
          <w:rFonts w:ascii="Times New Roman;Times;serif" w:hAnsi="Times New Roman;Times;serif"/>
          <w:spacing w:val="0"/>
          <w:sz w:val="18"/>
        </w:rPr>
        <w:t>Pre-commencement communications pursuant to Rule 13e-4(c) under the Exchange Act (17 CFR 240.13e-4(c))</w:t>
      </w:r>
    </w:p>
    <w:p>
      <w:pPr>
        <w:pStyle w:val="TextBody"/>
        <w:pBdr/>
        <w:bidi w:val="0"/>
        <w:spacing w:before="0" w:after="0"/>
        <w:ind w:left="0" w:right="0" w:hanging="285"/>
        <w:jc w:val="left"/>
        <w:rPr>
          <w:spacing w:val="0"/>
        </w:rPr>
      </w:pPr>
      <w:r>
        <w:rPr>
          <w:spacing w:val="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K_17NEC6uUaG6aja2GVLbg_2_4"/>
      <w:bookmarkStart w:id="12" w:name="Tc_B7HVin5SjkGdatpG9R28vg_2_2"/>
      <w:bookmarkStart w:id="13" w:name="Tc_JLbiZF9byUOLApkHfFTJYg_2_0"/>
      <w:bookmarkStart w:id="14" w:name="_30beb46a_da73_4626_b1c2_eec2c54fea5b"/>
      <w:bookmarkStart w:id="15" w:name="Tc_K_17NEC6uUaG6aja2GVLbg_2_4"/>
      <w:bookmarkStart w:id="16" w:name="Tc_B7HVin5SjkGdatpG9R28vg_2_2"/>
      <w:bookmarkStart w:id="17" w:name="Tc_JLbiZF9byUOLApkHfFTJYg_2_0"/>
      <w:bookmarkStart w:id="18" w:name="_30beb46a_da73_4626_b1c2_eec2c54fea5b"/>
      <w:bookmarkEnd w:id="15"/>
      <w:bookmarkEnd w:id="16"/>
      <w:bookmarkEnd w:id="17"/>
      <w:bookmarkEnd w:id="18"/>
    </w:p>
    <w:tbl>
      <w:tblPr>
        <w:tblW w:w="8225" w:type="dxa"/>
        <w:jc w:val="left"/>
        <w:tblInd w:w="0" w:type="dxa"/>
        <w:tblLayout w:type="fixed"/>
        <w:tblCellMar>
          <w:top w:w="0" w:type="dxa"/>
          <w:left w:w="0" w:type="dxa"/>
          <w:bottom w:w="0" w:type="dxa"/>
          <w:right w:w="0" w:type="dxa"/>
        </w:tblCellMar>
      </w:tblPr>
      <w:tblGrid>
        <w:gridCol w:w="2686"/>
        <w:gridCol w:w="346"/>
        <w:gridCol w:w="1456"/>
        <w:gridCol w:w="346"/>
        <w:gridCol w:w="33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05610" cy="29210"/>
                      <wp:effectExtent l="0" t="0" r="0" b="0"/>
                      <wp:wrapNone/>
                      <wp:docPr id="3" name="Frame3"/>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53285" cy="29210"/>
                      <wp:effectExtent l="0" t="0" r="0" b="0"/>
                      <wp:wrapNone/>
                      <wp:docPr id="5" name="Frame5"/>
                      <a:graphic xmlns:a="http://schemas.openxmlformats.org/drawingml/2006/main">
                        <a:graphicData uri="http://schemas.microsoft.com/office/word/2010/wordprocessingShape">
                          <wps:wsp>
                            <wps:cNvSpPr txBox="1"/>
                            <wps:spPr>
                              <a:xfrm>
                                <a:off x="0" y="0"/>
                                <a:ext cx="2153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391" w:type="dxa"/>
            <w:tcBorders/>
            <w:vAlign w:val="center"/>
          </w:tcPr>
          <w:p>
            <w:pPr>
              <w:pStyle w:val="TableContents"/>
              <w:bidi w:val="0"/>
              <w:spacing w:before="0" w:after="0"/>
              <w:ind w:left="0" w:right="0" w:hanging="0"/>
              <w:jc w:val="left"/>
              <w:rPr/>
            </w:pPr>
            <w:r>
              <w:rPr/>
              <w:t> </w:t>
            </w:r>
          </w:p>
        </w:tc>
      </w:tr>
      <w:tr>
        <w:trPr/>
        <w:tc>
          <w:tcPr>
            <w:tcW w:w="2686"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14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46" w:type="dxa"/>
            <w:tcBorders/>
            <w:vAlign w:val="center"/>
          </w:tcPr>
          <w:p>
            <w:pPr>
              <w:pStyle w:val="TableContents"/>
              <w:bidi w:val="0"/>
              <w:spacing w:before="0" w:after="0"/>
              <w:ind w:left="0" w:right="0" w:hanging="0"/>
              <w:jc w:val="center"/>
              <w:rPr/>
            </w:pPr>
            <w:r>
              <w:rPr/>
              <w:t>  ​ ​ ​</w:t>
            </w:r>
          </w:p>
        </w:tc>
        <w:tc>
          <w:tcPr>
            <w:tcW w:w="33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686" w:type="dxa"/>
            <w:tcBorders>
              <w:top w:val="single" w:sz="8"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346" w:type="dxa"/>
            <w:tcBorders/>
            <w:vAlign w:val="center"/>
          </w:tcPr>
          <w:p>
            <w:pPr>
              <w:pStyle w:val="TableContents"/>
              <w:bidi w:val="0"/>
              <w:spacing w:before="0" w:after="0"/>
              <w:ind w:left="0" w:right="0" w:hanging="0"/>
              <w:jc w:val="left"/>
              <w:rPr/>
            </w:pPr>
            <w:r>
              <w:rPr/>
              <w:t> </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ACRS</w:t>
            </w:r>
          </w:p>
        </w:tc>
        <w:tc>
          <w:tcPr>
            <w:tcW w:w="346" w:type="dxa"/>
            <w:tcBorders/>
            <w:vAlign w:val="center"/>
          </w:tcPr>
          <w:p>
            <w:pPr>
              <w:pStyle w:val="TableContents"/>
              <w:bidi w:val="0"/>
              <w:spacing w:before="0" w:after="0"/>
              <w:ind w:left="0" w:right="0" w:hanging="0"/>
              <w:jc w:val="center"/>
              <w:rPr/>
            </w:pPr>
            <w:r>
              <w:rPr/>
              <w:t> </w:t>
            </w:r>
          </w:p>
        </w:tc>
        <w:tc>
          <w:tcPr>
            <w:tcW w:w="339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9" w:name="_4bb0f047_cfd8_432a_9e3a_4daff6a2d8d5"/>
      <w:bookmarkEnd w:id="19"/>
      <w:r>
        <w:rPr>
          <w:rFonts w:ascii="Times New Roman;Times;serif" w:hAnsi="Times New Roman;Times;serif"/>
          <w:b/>
          <w:sz w:val="20"/>
        </w:rPr>
        <w:t xml:space="preserve">Item 1.01  Entry into a Material Definitive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6, 2026, Aclaris Therapeutics, Inc. (the “Company”)</w:t>
      </w:r>
      <w:r>
        <w:rPr>
          <w:rFonts w:ascii="Times New Roman;Times;serif" w:hAnsi="Times New Roman;Times;serif"/>
          <w:sz w:val="20"/>
          <w:shd w:fill="FFFFFF" w:val="clear"/>
        </w:rPr>
        <w:t xml:space="preserve"> </w:t>
      </w:r>
      <w:r>
        <w:rPr>
          <w:rFonts w:ascii="Times New Roman;Times;serif" w:hAnsi="Times New Roman;Times;serif"/>
          <w:sz w:val="20"/>
        </w:rPr>
        <w:t>entered into a Second Amended and Restated Sales Agreement (the “Amended ATM Agreement”) with Leerink Partners LLC (“Leerink”) and Cantor Fitzgerald &amp; Co. (“Cantor”) under which the Company may offer and sell, from time to time at the Company’s sole discretion, shares of common stock through Leerink and Cantor as sales agents. The issuance and sale, if any, of common stock under the Amended ATM Agreement will be made pursuant to a registration statement on Form S-3. The Amended ATM Agreement amends and restates the amended and restated sales agreement with Leerink and Cantor, dated February 27, 2025, which provided for the offer and sale of up to $100.0 million of common stock from time to time through Leerink and Cantor as sales agents.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Leerink and Cantor may sell shares of the Company’s common stock by any method permitted by law deemed to be an “at the market offering” as defined in Rule 415 of the Securities Act of 1933, as amended. Leerink and Cantor have agreed to use commercially reasonable efforts to sell the Company’s common stock from time to time, based on the Company’s instructions (including any price, time or size limits or other customary parameters or conditions the Company may impose). The Company will pay Leerink and Cantor a commission equal to 3.0% of the gross sales proceeds of any common stock sold through Leerink and Cantor under the Amended ATM Agreement. The Company provided customary representations, warranties and covenants, and the parties agreed to customary indemnification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not obligated to make any sales of common stock under the Amended ATM Agreement. The offering of shares of common stock pursuant to the Amended ATM Agreement will terminate upon the termination of the Amended ATM Agreement in accordance with its terms.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foregoing description of the Amended ATM Agreement is not complete and is qualified in its entirety by reference to the full text of the Amended ATM Agreement, a copy of which is filed herewith as Exhibit 10.1 to this Current Report on Form 8-K and is incorporated herein by reference.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Current Report on Form 8-K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pStyle w:val="TextBody"/>
        <w:shd w:fill="FFFFFF" w:val="clea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Exhibits</w:t>
      </w:r>
    </w:p>
    <w:tbl>
      <w:tblPr>
        <w:tblW w:w="10205" w:type="dxa"/>
        <w:jc w:val="left"/>
        <w:tblInd w:w="0" w:type="dxa"/>
        <w:tblLayout w:type="fixed"/>
        <w:tblCellMar>
          <w:top w:w="0" w:type="dxa"/>
          <w:left w:w="0" w:type="dxa"/>
          <w:bottom w:w="0" w:type="dxa"/>
          <w:right w:w="0" w:type="dxa"/>
        </w:tblCellMar>
      </w:tblPr>
      <w:tblGrid>
        <w:gridCol w:w="811"/>
        <w:gridCol w:w="109"/>
        <w:gridCol w:w="9285"/>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29210"/>
                      <wp:effectExtent l="0" t="0" r="0" b="0"/>
                      <wp:wrapNone/>
                      <wp:docPr id="6" name="Frame6"/>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895975" cy="29210"/>
                      <wp:effectExtent l="0" t="0" r="0" b="0"/>
                      <wp:wrapNone/>
                      <wp:docPr id="7" name="Frame7"/>
                      <a:graphic xmlns:a="http://schemas.openxmlformats.org/drawingml/2006/main">
                        <a:graphicData uri="http://schemas.microsoft.com/office/word/2010/wordprocessingShape">
                          <wps:wsp>
                            <wps:cNvSpPr txBox="1"/>
                            <wps:spPr>
                              <a:xfrm>
                                <a:off x="0" y="0"/>
                                <a:ext cx="58959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5"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5" w:type="dxa"/>
            <w:tcBorders/>
            <w:vAlign w:val="center"/>
          </w:tcPr>
          <w:p>
            <w:pPr>
              <w:pStyle w:val="TableContents"/>
              <w:bidi w:val="0"/>
              <w:spacing w:before="0" w:after="0"/>
              <w:ind w:left="0" w:right="0" w:hanging="0"/>
              <w:jc w:val="center"/>
              <w:rPr/>
            </w:pPr>
            <w:r>
              <w:rPr/>
              <w:t> </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Description</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5" w:type="dxa"/>
            <w:tcBorders/>
            <w:vAlign w:val="center"/>
          </w:tcPr>
          <w:p>
            <w:pPr>
              <w:pStyle w:val="TableContents"/>
              <w:bidi w:val="0"/>
              <w:spacing w:before="0" w:after="0"/>
              <w:ind w:left="0" w:right="0" w:hanging="0"/>
              <w:jc w:val="left"/>
              <w:rPr/>
            </w:pPr>
            <w:hyperlink w:anchor="acrs-20260806xex10d1.htm">
              <w:r>
                <w:rPr>
                  <w:rStyle w:val="InternetLink"/>
                  <w:rFonts w:ascii="Times New Roman;Times;serif" w:hAnsi="Times New Roman;Times;serif"/>
                  <w:b w:val="false"/>
                  <w:i w:val="false"/>
                  <w:caps w:val="false"/>
                  <w:smallCaps w:val="false"/>
                  <w:sz w:val="20"/>
                  <w:shd w:fill="FFFFFF" w:val="clear"/>
                </w:rPr>
                <w:t>Second Amended and Restated Sales Agreement, dated August 6, 2026, by and among the Company, Leerink Partners LLC and Cantor Fitzgerald &amp; Co.</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5" w:type="dxa"/>
            <w:tcBorders/>
            <w:vAlign w:val="center"/>
          </w:tcPr>
          <w:p>
            <w:pPr>
              <w:pStyle w:val="TableContents"/>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cover page from Aclaris Therapeutics, Inc.’s Form 8-K filed on August 6, 2026, formatted in Inline XBRL.</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100" w:after="10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240"/>
        <w:ind w:left="0" w:right="0" w:hanging="0"/>
        <w:jc w:val="center"/>
        <w:rPr>
          <w:rFonts w:ascii="Times New Roman;Times;serif" w:hAnsi="Times New Roman;Times;serif"/>
          <w:b/>
          <w:spacing w:val="0"/>
          <w:sz w:val="20"/>
        </w:rPr>
      </w:pPr>
      <w:bookmarkStart w:id="20" w:name="_cdc3c503_cece_4edb_8b81_8730e9f96173"/>
      <w:bookmarkStart w:id="21" w:name="_Hlk130806694"/>
      <w:bookmarkEnd w:id="20"/>
      <w:bookmarkEnd w:id="21"/>
      <w:r>
        <w:rPr>
          <w:rFonts w:ascii="Times New Roman;Times;serif" w:hAnsi="Times New Roman;Times;serif"/>
          <w:b/>
          <w:spacing w:val="0"/>
          <w:sz w:val="20"/>
        </w:rPr>
        <w:t>SIGNATURES</w:t>
      </w:r>
    </w:p>
    <w:p>
      <w:pPr>
        <w:pStyle w:val="TextBody"/>
        <w:bidi w:val="0"/>
        <w:spacing w:before="0" w:after="0"/>
        <w:ind w:left="0" w:right="0" w:firstLine="741"/>
        <w:jc w:val="both"/>
        <w:rPr>
          <w:rFonts w:ascii="Times New Roman;Times;serif" w:hAnsi="Times New Roman;Times;serif"/>
          <w:spacing w:val="0"/>
          <w:sz w:val="20"/>
        </w:rPr>
      </w:pPr>
      <w:r>
        <w:rPr>
          <w:rFonts w:ascii="Times New Roman;Times;serif" w:hAnsi="Times New Roman;Times;serif"/>
          <w:spacing w:val="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5313" w:type="dxa"/>
        <w:jc w:val="left"/>
        <w:tblInd w:w="0" w:type="dxa"/>
        <w:tblLayout w:type="fixed"/>
        <w:tblCellMar>
          <w:top w:w="0" w:type="dxa"/>
          <w:left w:w="0" w:type="dxa"/>
          <w:bottom w:w="0" w:type="dxa"/>
          <w:right w:w="0" w:type="dxa"/>
        </w:tblCellMar>
      </w:tblPr>
      <w:tblGrid>
        <w:gridCol w:w="1846"/>
        <w:gridCol w:w="406"/>
        <w:gridCol w:w="306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ACLARIS THERAPEUTICS,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Balthaser</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before="0" w:after="0"/>
              <w:ind w:left="0" w:right="0" w:hanging="0"/>
              <w:jc w:val="right"/>
              <w:rPr/>
            </w:pPr>
            <w:r>
              <w:rPr/>
              <w:t>​</w:t>
            </w:r>
          </w:p>
        </w:tc>
        <w:tc>
          <w:tcPr>
            <w:tcW w:w="30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tc>
      </w:tr>
      <w:tr>
        <w:trPr/>
        <w:tc>
          <w:tcPr>
            <w:tcW w:w="184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240" w:after="283"/>
        <w:ind w:left="0" w:right="0" w:hanging="0"/>
        <w:jc w:val="left"/>
        <w:rPr/>
      </w:pPr>
      <w:r>
        <w:rPr/>
        <w:t>​</w:t>
      </w:r>
    </w:p>
    <w:p>
      <w:pPr>
        <w:pStyle w:val="TextBody"/>
        <w:bidi w:val="0"/>
        <w:spacing w:before="240" w:after="283"/>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bookmarkStart w:id="22" w:name="acrs-20260806xex10d1.htm"/>
      <w:bookmarkStart w:id="23" w:name="ksacrs20260806xex10d1"/>
      <w:bookmarkEnd w:id="22"/>
      <w:bookmarkEnd w:id="23"/>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of Common Stock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($0.00001 par value per share)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AMENDED AND RESTATED SALES AGREEMENT</w:t>
      </w:r>
    </w:p>
    <w:p>
      <w:pPr>
        <w:pStyle w:val="TextBody"/>
        <w:bidi w:val="0"/>
        <w:spacing w:before="0" w:after="0"/>
        <w:ind w:left="0" w:right="0" w:hanging="0"/>
        <w:jc w:val="center"/>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August 6,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LEERINK PARTNERS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1301 Avenue of the Americas, 5th Floor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New York 10019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CANTOR FITZGERALD &amp; CO.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110 East 59th Street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New York 10022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Aclaris Therapeutics, Inc., a Delaware corporation (the “</w:t>
      </w:r>
      <w:r>
        <w:rPr>
          <w:rFonts w:ascii="Times New Roman;Times;serif" w:hAnsi="Times New Roman;Times;serif"/>
          <w:b/>
          <w:sz w:val="20"/>
        </w:rPr>
        <w:t>Company</w:t>
      </w:r>
      <w:r>
        <w:rPr>
          <w:rFonts w:ascii="Times New Roman;Times;serif" w:hAnsi="Times New Roman;Times;serif"/>
          <w:sz w:val="20"/>
        </w:rPr>
        <w:t>”), and Leerink Partners LLC and Cantor Fitzgerald &amp; Co., as sales agents and/or principals (collectively the “</w:t>
      </w:r>
      <w:r>
        <w:rPr>
          <w:rFonts w:ascii="Times New Roman;Times;serif" w:hAnsi="Times New Roman;Times;serif"/>
          <w:b/>
          <w:sz w:val="20"/>
        </w:rPr>
        <w:t>Agents</w:t>
      </w:r>
      <w:r>
        <w:rPr>
          <w:rFonts w:ascii="Times New Roman;Times;serif" w:hAnsi="Times New Roman;Times;serif"/>
          <w:sz w:val="20"/>
        </w:rPr>
        <w:t>,” and each individually an “</w:t>
      </w:r>
      <w:r>
        <w:rPr>
          <w:rFonts w:ascii="Times New Roman;Times;serif" w:hAnsi="Times New Roman;Times;serif"/>
          <w:b/>
          <w:sz w:val="20"/>
        </w:rPr>
        <w:t>Agent</w:t>
      </w:r>
      <w:r>
        <w:rPr>
          <w:rFonts w:ascii="Times New Roman;Times;serif" w:hAnsi="Times New Roman;Times;serif"/>
          <w:sz w:val="20"/>
        </w:rPr>
        <w:t>”), are parties to that certain Amended and Restated Sales Agreement dated February 27, 2025 (the “</w:t>
      </w:r>
      <w:r>
        <w:rPr>
          <w:rFonts w:ascii="Times New Roman;Times;serif" w:hAnsi="Times New Roman;Times;serif"/>
          <w:b/>
          <w:sz w:val="20"/>
        </w:rPr>
        <w:t>Original Agreement</w:t>
      </w:r>
      <w:r>
        <w:rPr>
          <w:rFonts w:ascii="Times New Roman;Times;serif" w:hAnsi="Times New Roman;Times;serif"/>
          <w:sz w:val="20"/>
        </w:rPr>
        <w:t>”).  The Company and Agents desire to amend and restate the Original Agreement in its entirety as set forth in this Second Amended and Restated Sales Agreement (this “</w:t>
      </w:r>
      <w:r>
        <w:rPr>
          <w:rFonts w:ascii="Times New Roman;Times;serif" w:hAnsi="Times New Roman;Times;serif"/>
          <w:b/>
          <w:sz w:val="20"/>
        </w:rPr>
        <w:t>Agreement</w:t>
      </w:r>
      <w:r>
        <w:rPr>
          <w:rFonts w:ascii="Times New Roman;Times;serif" w:hAnsi="Times New Roman;Times;serif"/>
          <w:sz w:val="20"/>
        </w:rPr>
        <w:t>”) and propose, subject to the terms and conditions stated herein, to issue and sell from time to time through Agents shares of the Company’s common stock, par value $0.00001 per share (the “</w:t>
      </w:r>
      <w:r>
        <w:rPr>
          <w:rFonts w:ascii="Times New Roman;Times;serif" w:hAnsi="Times New Roman;Times;serif"/>
          <w:b/>
          <w:sz w:val="20"/>
        </w:rPr>
        <w:t>Common Shares</w:t>
      </w:r>
      <w:r>
        <w:rPr>
          <w:rFonts w:ascii="Times New Roman;Times;serif" w:hAnsi="Times New Roman;Times;serif"/>
          <w:sz w:val="20"/>
        </w:rPr>
        <w:t>”), on the terms set forth in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confirms this Agreement with Agents as follows:</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1. 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Certain Definitions</w:t>
      </w:r>
      <w:r>
        <w:rPr>
          <w:rFonts w:ascii="Times New Roman;Times;serif" w:hAnsi="Times New Roman;Times;serif"/>
          <w:sz w:val="20"/>
        </w:rPr>
        <w:t>.  For purposes of this Agreement, capitalized terms used herein and not otherwise defined shall have the following respective meanings:</w:t>
      </w:r>
    </w:p>
    <w:p>
      <w:pPr>
        <w:pStyle w:val="TextBody"/>
        <w:bidi w:val="0"/>
        <w:spacing w:before="0" w:after="240"/>
        <w:ind w:left="0" w:right="0" w:firstLine="720"/>
        <w:jc w:val="both"/>
        <w:rPr/>
      </w:pPr>
      <w:r>
        <w:rPr/>
        <w:t>“</w:t>
      </w:r>
      <w:r>
        <w:rPr>
          <w:rFonts w:ascii="Times New Roman;Times;serif" w:hAnsi="Times New Roman;Times;serif"/>
          <w:b/>
          <w:sz w:val="20"/>
        </w:rPr>
        <w:t>Affiliate</w:t>
      </w:r>
      <w:r>
        <w:rPr>
          <w:rFonts w:ascii="Times New Roman;Times;serif" w:hAnsi="Times New Roman;Times;serif"/>
          <w:sz w:val="20"/>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240"/>
        <w:ind w:left="0" w:right="0" w:firstLine="720"/>
        <w:jc w:val="both"/>
        <w:rPr/>
      </w:pPr>
      <w:r>
        <w:rPr/>
        <w:t>“</w:t>
      </w:r>
      <w:r>
        <w:rPr>
          <w:rFonts w:ascii="Times New Roman;Times;serif" w:hAnsi="Times New Roman;Times;serif"/>
          <w:b/>
          <w:sz w:val="20"/>
        </w:rPr>
        <w:t>Agency Period</w:t>
      </w:r>
      <w:r>
        <w:rPr>
          <w:rFonts w:ascii="Times New Roman;Times;serif" w:hAnsi="Times New Roman;Times;serif"/>
          <w:sz w:val="20"/>
        </w:rPr>
        <w:t>” means the period commencing on the date of this Agreement and expiring on the earliest to occur of (x) the date on which the Designated Agent shall have placed the Maximum Program Amount pursuant to this Agreement and (y) the date this Agreement is terminated pursuant to Section 7.</w:t>
      </w:r>
    </w:p>
    <w:p>
      <w:pPr>
        <w:pStyle w:val="TextBody"/>
        <w:bidi w:val="0"/>
        <w:spacing w:before="0" w:after="240"/>
        <w:ind w:left="0" w:right="0" w:firstLine="720"/>
        <w:jc w:val="both"/>
        <w:rPr/>
      </w:pPr>
      <w:r>
        <w:rPr/>
        <w:t>“</w:t>
      </w:r>
      <w:r>
        <w:rPr>
          <w:rFonts w:ascii="Times New Roman;Times;serif" w:hAnsi="Times New Roman;Times;serif"/>
          <w:b/>
          <w:sz w:val="20"/>
        </w:rPr>
        <w:t>Commission</w:t>
      </w:r>
      <w:r>
        <w:rPr>
          <w:rFonts w:ascii="Times New Roman;Times;serif" w:hAnsi="Times New Roman;Times;serif"/>
          <w:sz w:val="20"/>
        </w:rPr>
        <w:t>” means the U.S. Securities and Exchange Commission.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0"/>
        </w:rPr>
        <w:t>Designated Agent</w:t>
      </w:r>
      <w:r>
        <w:rPr>
          <w:rFonts w:ascii="Times New Roman;Times;serif" w:hAnsi="Times New Roman;Times;serif"/>
          <w:sz w:val="20"/>
        </w:rPr>
        <w:t>” means, as of any given time, an Agent that the Company has designated as sales agent to sell Shares pursuant to the terms of this Agreement.</w:t>
      </w:r>
    </w:p>
    <w:p>
      <w:pPr>
        <w:pStyle w:val="TextBody"/>
        <w:bidi w:val="0"/>
        <w:spacing w:before="0" w:after="240"/>
        <w:ind w:left="0" w:right="0" w:firstLine="720"/>
        <w:jc w:val="both"/>
        <w:rPr/>
      </w:pPr>
      <w:r>
        <w:rPr/>
        <w:t>“</w:t>
      </w:r>
      <w:r>
        <w:rPr>
          <w:rFonts w:ascii="Times New Roman;Times;serif" w:hAnsi="Times New Roman;Times;serif"/>
          <w:b/>
          <w:sz w:val="20"/>
        </w:rPr>
        <w:t>Exchange Act</w:t>
      </w:r>
      <w:r>
        <w:rPr>
          <w:rFonts w:ascii="Times New Roman;Times;serif" w:hAnsi="Times New Roman;Times;serif"/>
          <w:sz w:val="20"/>
        </w:rPr>
        <w:t>” means the Securities Exchange Act of 1934, as amended, and the rules and regulations of the Commission thereunder.</w:t>
      </w:r>
    </w:p>
    <w:p>
      <w:pPr>
        <w:pStyle w:val="TextBody"/>
        <w:bidi w:val="0"/>
        <w:spacing w:before="0" w:after="240"/>
        <w:ind w:left="0" w:right="0" w:firstLine="720"/>
        <w:jc w:val="both"/>
        <w:rPr/>
      </w:pPr>
      <w:r>
        <w:rPr/>
        <w:t>“</w:t>
      </w:r>
      <w:r>
        <w:rPr>
          <w:rFonts w:ascii="Times New Roman;Times;serif" w:hAnsi="Times New Roman;Times;serif"/>
          <w:b/>
          <w:sz w:val="20"/>
        </w:rPr>
        <w:t>Issuance Amount</w:t>
      </w:r>
      <w:r>
        <w:rPr>
          <w:rFonts w:ascii="Times New Roman;Times;serif" w:hAnsi="Times New Roman;Times;serif"/>
          <w:sz w:val="20"/>
        </w:rPr>
        <w:t>” means the aggregate Sales Price of the Shares to be sold by the Designated Agent pursuant to any Issuance Notice.</w:t>
      </w:r>
    </w:p>
    <w:p>
      <w:pPr>
        <w:pStyle w:val="TextBody"/>
        <w:bidi w:val="0"/>
        <w:spacing w:before="0" w:after="240"/>
        <w:ind w:left="0" w:right="0" w:firstLine="720"/>
        <w:jc w:val="both"/>
        <w:rPr/>
      </w:pPr>
      <w:r>
        <w:rPr/>
        <w:t>“</w:t>
      </w:r>
      <w:r>
        <w:rPr>
          <w:rFonts w:ascii="Times New Roman;Times;serif" w:hAnsi="Times New Roman;Times;serif"/>
          <w:b/>
          <w:sz w:val="20"/>
        </w:rPr>
        <w:t>Issuance Notice</w:t>
      </w:r>
      <w:r>
        <w:rPr>
          <w:rFonts w:ascii="Times New Roman;Times;serif" w:hAnsi="Times New Roman;Times;serif"/>
          <w:sz w:val="20"/>
        </w:rPr>
        <w:t>” means a written notice delivered to the Designated Agent by the Company in accordance with this Agreement in the form attached hereto as Exhibit A that is executed by its Chief Executive Officer, President or Chief Financial Officer.</w:t>
      </w:r>
    </w:p>
    <w:p>
      <w:pPr>
        <w:pStyle w:val="TextBody"/>
        <w:bidi w:val="0"/>
        <w:spacing w:before="0" w:after="240"/>
        <w:ind w:left="0" w:right="0" w:firstLine="720"/>
        <w:jc w:val="both"/>
        <w:rPr/>
      </w:pPr>
      <w:r>
        <w:rPr/>
        <w:t>“</w:t>
      </w:r>
      <w:r>
        <w:rPr>
          <w:rFonts w:ascii="Times New Roman;Times;serif" w:hAnsi="Times New Roman;Times;serif"/>
          <w:b/>
          <w:sz w:val="20"/>
        </w:rPr>
        <w:t>Issuance Notice Date</w:t>
      </w:r>
      <w:r>
        <w:rPr>
          <w:rFonts w:ascii="Times New Roman;Times;serif" w:hAnsi="Times New Roman;Times;serif"/>
          <w:sz w:val="20"/>
        </w:rPr>
        <w:t>” means any Trading Day during the Agency Period that an Issuance Notice is delivered pursuant to Section 3(c)(i).  “Issuance Price” means the Sales Price less the Selling Commission.</w:t>
      </w:r>
    </w:p>
    <w:p>
      <w:pPr>
        <w:pStyle w:val="TextBody"/>
        <w:bidi w:val="0"/>
        <w:spacing w:before="0" w:after="240"/>
        <w:ind w:left="0" w:right="0" w:firstLine="720"/>
        <w:jc w:val="both"/>
        <w:rPr/>
      </w:pPr>
      <w:r>
        <w:rPr/>
        <w:t>“</w:t>
      </w:r>
      <w:r>
        <w:rPr>
          <w:rFonts w:ascii="Times New Roman;Times;serif" w:hAnsi="Times New Roman;Times;serif"/>
          <w:b/>
          <w:sz w:val="20"/>
        </w:rPr>
        <w:t>Maximum Program Amount</w:t>
      </w:r>
      <w:r>
        <w:rPr>
          <w:rFonts w:ascii="Times New Roman;Times;serif" w:hAnsi="Times New Roman;Times;serif"/>
          <w:sz w:val="20"/>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pStyle w:val="TextBody"/>
        <w:bidi w:val="0"/>
        <w:spacing w:before="0" w:after="240"/>
        <w:ind w:left="0" w:right="0" w:firstLine="720"/>
        <w:jc w:val="both"/>
        <w:rPr/>
      </w:pPr>
      <w:r>
        <w:rPr/>
        <w:t>“</w:t>
      </w:r>
      <w:r>
        <w:rPr>
          <w:rFonts w:ascii="Times New Roman;Times;serif" w:hAnsi="Times New Roman;Times;serif"/>
          <w:b/>
          <w:sz w:val="20"/>
        </w:rPr>
        <w:t>Person</w:t>
      </w:r>
      <w:r>
        <w:rPr>
          <w:rFonts w:ascii="Times New Roman;Times;serif" w:hAnsi="Times New Roman;Times;serif"/>
          <w:sz w:val="20"/>
        </w:rPr>
        <w:t>” means an individual or a corporation, partnership, limited liability company, trust, incorporated or unincorporated association, joint venture, joint stock company, governmental authority or other entity of any kind.</w:t>
      </w:r>
    </w:p>
    <w:p>
      <w:pPr>
        <w:pStyle w:val="TextBody"/>
        <w:bidi w:val="0"/>
        <w:spacing w:before="0" w:after="240"/>
        <w:ind w:left="0" w:right="0" w:firstLine="720"/>
        <w:jc w:val="both"/>
        <w:rPr/>
      </w:pPr>
      <w:r>
        <w:rPr/>
        <w:t>“</w:t>
      </w:r>
      <w:r>
        <w:rPr>
          <w:rFonts w:ascii="Times New Roman;Times;serif" w:hAnsi="Times New Roman;Times;serif"/>
          <w:b/>
          <w:sz w:val="20"/>
        </w:rPr>
        <w:t>Principal Market</w:t>
      </w:r>
      <w:r>
        <w:rPr>
          <w:rFonts w:ascii="Times New Roman;Times;serif" w:hAnsi="Times New Roman;Times;serif"/>
          <w:sz w:val="20"/>
        </w:rPr>
        <w:t>” means the Nasdaq Global Select Market or such other national securities exchange on which the Common Shares, including any Shares, are then listed.</w:t>
      </w:r>
    </w:p>
    <w:p>
      <w:pPr>
        <w:pStyle w:val="TextBody"/>
        <w:bidi w:val="0"/>
        <w:spacing w:before="0" w:after="240"/>
        <w:ind w:left="0" w:right="0" w:firstLine="720"/>
        <w:jc w:val="both"/>
        <w:rPr/>
      </w:pPr>
      <w:r>
        <w:rPr/>
        <w:t>“</w:t>
      </w:r>
      <w:r>
        <w:rPr>
          <w:rFonts w:ascii="Times New Roman;Times;serif" w:hAnsi="Times New Roman;Times;serif"/>
          <w:b/>
          <w:sz w:val="20"/>
        </w:rPr>
        <w:t>Sales Price</w:t>
      </w:r>
      <w:r>
        <w:rPr>
          <w:rFonts w:ascii="Times New Roman;Times;serif" w:hAnsi="Times New Roman;Times;serif"/>
          <w:sz w:val="20"/>
        </w:rPr>
        <w:t>” means the actual sale execution price of each Share placed by the Designated Agent pursuant to this Agreement.</w:t>
      </w:r>
    </w:p>
    <w:p>
      <w:pPr>
        <w:pStyle w:val="TextBody"/>
        <w:bidi w:val="0"/>
        <w:spacing w:before="0" w:after="240"/>
        <w:ind w:left="0" w:right="0" w:firstLine="720"/>
        <w:jc w:val="both"/>
        <w:rPr/>
      </w:pPr>
      <w:r>
        <w:rPr/>
        <w:t>“</w:t>
      </w:r>
      <w:r>
        <w:rPr>
          <w:rFonts w:ascii="Times New Roman;Times;serif" w:hAnsi="Times New Roman;Times;serif"/>
          <w:b/>
          <w:sz w:val="20"/>
        </w:rPr>
        <w:t>Securities Act</w:t>
      </w:r>
      <w:r>
        <w:rPr>
          <w:rFonts w:ascii="Times New Roman;Times;serif" w:hAnsi="Times New Roman;Times;serif"/>
          <w:sz w:val="20"/>
        </w:rPr>
        <w:t>” means the Securities Act of 1933, as amended, and the rules and regulations of the Commission thereunder.</w:t>
      </w:r>
    </w:p>
    <w:p>
      <w:pPr>
        <w:pStyle w:val="TextBody"/>
        <w:bidi w:val="0"/>
        <w:spacing w:before="0" w:after="240"/>
        <w:ind w:left="0" w:right="0" w:firstLine="720"/>
        <w:jc w:val="both"/>
        <w:rPr/>
      </w:pPr>
      <w:r>
        <w:rPr/>
        <w:t>“</w:t>
      </w:r>
      <w:r>
        <w:rPr>
          <w:rFonts w:ascii="Times New Roman;Times;serif" w:hAnsi="Times New Roman;Times;serif"/>
          <w:b/>
          <w:sz w:val="20"/>
        </w:rPr>
        <w:t>Selling Commission</w:t>
      </w:r>
      <w:r>
        <w:rPr>
          <w:rFonts w:ascii="Times New Roman;Times;serif" w:hAnsi="Times New Roman;Times;serif"/>
          <w:sz w:val="20"/>
        </w:rPr>
        <w:t>” means three percent (3%) of the gross proceeds of Shares sold pursuant to this Agreement, or as otherwise agreed between the Company and the Designated Agent with respect to any Shares sold pursuant to this Agreement.</w:t>
      </w:r>
    </w:p>
    <w:p>
      <w:pPr>
        <w:pStyle w:val="TextBody"/>
        <w:bidi w:val="0"/>
        <w:spacing w:before="0" w:after="240"/>
        <w:ind w:left="0" w:right="0" w:firstLine="720"/>
        <w:jc w:val="both"/>
        <w:rPr/>
      </w:pPr>
      <w:r>
        <w:rPr/>
        <w:t>“</w:t>
      </w:r>
      <w:r>
        <w:rPr>
          <w:rFonts w:ascii="Times New Roman;Times;serif" w:hAnsi="Times New Roman;Times;serif"/>
          <w:b/>
          <w:sz w:val="20"/>
        </w:rPr>
        <w:t>Settlement Date</w:t>
      </w:r>
      <w:r>
        <w:rPr>
          <w:rFonts w:ascii="Times New Roman;Times;serif" w:hAnsi="Times New Roman;Times;serif"/>
          <w:sz w:val="20"/>
        </w:rPr>
        <w:t>” means the first business day following each Trading Day during the period set forth in the Issuance Notice on which Shares are sold pursuant to this Agreement, when the Company shall deliver to the Designated Agent the amount of Shares sold on such Trading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Day and the Designated Agent shall deliver to the Company the Issuance Price received on such sales.</w:t>
      </w:r>
    </w:p>
    <w:p>
      <w:pPr>
        <w:pStyle w:val="TextBody"/>
        <w:bidi w:val="0"/>
        <w:spacing w:before="0" w:after="240"/>
        <w:ind w:left="0" w:right="0" w:firstLine="720"/>
        <w:jc w:val="both"/>
        <w:rPr/>
      </w:pPr>
      <w:r>
        <w:rPr/>
        <w:t>“</w:t>
      </w:r>
      <w:r>
        <w:rPr>
          <w:rFonts w:ascii="Times New Roman;Times;serif" w:hAnsi="Times New Roman;Times;serif"/>
          <w:b/>
          <w:sz w:val="20"/>
        </w:rPr>
        <w:t>Shares</w:t>
      </w:r>
      <w:r>
        <w:rPr>
          <w:rFonts w:ascii="Times New Roman;Times;serif" w:hAnsi="Times New Roman;Times;serif"/>
          <w:sz w:val="20"/>
        </w:rPr>
        <w:t>” shall mean the Company’s Common Shares issued or issuable pursuant to this Agreement.</w:t>
      </w:r>
    </w:p>
    <w:p>
      <w:pPr>
        <w:pStyle w:val="TextBody"/>
        <w:bidi w:val="0"/>
        <w:spacing w:before="0" w:after="240"/>
        <w:ind w:left="0" w:right="0" w:firstLine="720"/>
        <w:jc w:val="both"/>
        <w:rPr/>
      </w:pPr>
      <w:r>
        <w:rPr/>
        <w:t>“</w:t>
      </w:r>
      <w:r>
        <w:rPr>
          <w:rFonts w:ascii="Times New Roman;Times;serif" w:hAnsi="Times New Roman;Times;serif"/>
          <w:b/>
          <w:sz w:val="20"/>
        </w:rPr>
        <w:t>Trading Day</w:t>
      </w:r>
      <w:r>
        <w:rPr>
          <w:rFonts w:ascii="Times New Roman;Times;serif" w:hAnsi="Times New Roman;Times;serif"/>
          <w:sz w:val="20"/>
        </w:rPr>
        <w:t>” means any day on which the Principal Market is open for trading.</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2. REPRESENTATIONS AND WARRANTIES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represents and warrants to, and agrees with, each Agent that as of (1) the date of this Agreement, (2) each Issuance Notice Date, (3) each Settlement Date, (4) each Triggering Event Date and (5) as of each Time of Sale (as defined below) (each of the times referenced above is referred to herein as a “</w:t>
      </w:r>
      <w:r>
        <w:rPr>
          <w:rFonts w:ascii="Times New Roman;Times;serif" w:hAnsi="Times New Roman;Times;serif"/>
          <w:b/>
          <w:sz w:val="20"/>
        </w:rPr>
        <w:t>Representation Date</w:t>
      </w:r>
      <w:r>
        <w:rPr>
          <w:rFonts w:ascii="Times New Roman;Times;serif" w:hAnsi="Times New Roman;Times;serif"/>
          <w:sz w:val="20"/>
        </w:rPr>
        <w:t>”), except as may be disclosed in the Prospectus (including any documents incorporated by reference therein and any supplements thereto) on or before a Representation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Registration Statement</w:t>
      </w:r>
      <w:r>
        <w:rPr>
          <w:rFonts w:ascii="Times New Roman;Times;serif" w:hAnsi="Times New Roman;Times;serif"/>
          <w:sz w:val="20"/>
        </w:rPr>
        <w:t>.  The Company has prepared and will file with the Commission an automatic shelf registration statement on Form S-3 that contains a base prospectus.  Such registration statement will register the issuance and sale by the Company of certain securities, including the Shares, under the Securities Act. The Company has prepared a prospectus specifically relating to the Shares (the “</w:t>
      </w:r>
      <w:r>
        <w:rPr>
          <w:rFonts w:ascii="Times New Roman;Times;serif" w:hAnsi="Times New Roman;Times;serif"/>
          <w:b/>
          <w:sz w:val="20"/>
        </w:rPr>
        <w:t>ATM Prospectus</w:t>
      </w:r>
      <w:r>
        <w:rPr>
          <w:rFonts w:ascii="Times New Roman;Times;serif" w:hAnsi="Times New Roman;Times;serif"/>
          <w:sz w:val="20"/>
        </w:rPr>
        <w:t>”) included as part of such registration statement and shall, if necessary, prepare a prospectus supplement specifically relating to the Shares (the “</w:t>
      </w:r>
      <w:r>
        <w:rPr>
          <w:rFonts w:ascii="Times New Roman;Times;serif" w:hAnsi="Times New Roman;Times;serif"/>
          <w:b/>
          <w:sz w:val="20"/>
        </w:rPr>
        <w:t>Prospectus Supplement</w:t>
      </w:r>
      <w:r>
        <w:rPr>
          <w:rFonts w:ascii="Times New Roman;Times;serif" w:hAnsi="Times New Roman;Times;serif"/>
          <w:sz w:val="20"/>
        </w:rPr>
        <w:t>”) to the base prospectus and/or to the ATM Prospectus included as part of such registration statement.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and any post-effective amendment thereto, as amended when it becomes effective, including any information deemed to be a part thereof pursuant to Rule 430B or Rule 462(b) under the Securities Act, or any subsequent registration statement on Form S-3 filed pursuant to Rule 415(a)(6) under the Securities Act by the Company to cover any Shares, and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Times;serif" w:hAnsi="Times New Roman;Times;serif"/>
          <w:b/>
          <w:sz w:val="20"/>
        </w:rPr>
        <w:t>Registration Statement</w:t>
      </w:r>
      <w:r>
        <w:rPr>
          <w:rFonts w:ascii="Times New Roman;Times;serif" w:hAnsi="Times New Roman;Times;serif"/>
          <w:sz w:val="20"/>
        </w:rPr>
        <w:t>.” The base prospectus included in the Registration Statement, as it may be supplemented by the ATM Prospectus and any Prospectus Supplement, in the form in which such prospectus, ATM Prospectus and/or Prospectus Supplement have most recently been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together with any “issuer free writing prospectus,” as defined in Rule 433 under the Securities Act regulations (“</w:t>
      </w:r>
      <w:r>
        <w:rPr>
          <w:rFonts w:ascii="Times New Roman;Times;serif" w:hAnsi="Times New Roman;Times;serif"/>
          <w:b/>
          <w:sz w:val="20"/>
        </w:rPr>
        <w:t>Rule 433</w:t>
      </w:r>
      <w:r>
        <w:rPr>
          <w:rFonts w:ascii="Times New Roman;Times;serif" w:hAnsi="Times New Roman;Times;serif"/>
          <w:sz w:val="20"/>
        </w:rPr>
        <w:t>”), relating to the Shares that (i) is required to be filed with the Commission by the Company or (ii) is exempt from filing pursuant to Rule 433(d)(5)(i) under the Securities Act, in each case in the form filed or required to be filed with the Commission or, if not required to be filed, in the form retained in the Company’s records pursuant to Rule 433(g) under the Securities Act, is referred to herein as the “</w:t>
      </w:r>
      <w:r>
        <w:rPr>
          <w:rFonts w:ascii="Times New Roman;Times;serif" w:hAnsi="Times New Roman;Times;serif"/>
          <w:b/>
          <w:sz w:val="20"/>
        </w:rPr>
        <w:t>Prospectus</w:t>
      </w:r>
      <w:r>
        <w:rPr>
          <w:rFonts w:ascii="Times New Roman;Times;serif" w:hAnsi="Times New Roman;Times;serif"/>
          <w:sz w:val="20"/>
        </w:rPr>
        <w:t>,” except that if any revised prospectus is provided to the Agents by the Company for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use in connection with the offering of the Shares that is not required to be filed by the Company pursuant to Rule 424(b) under the Securities Act, the term “</w:t>
      </w:r>
      <w:r>
        <w:rPr>
          <w:rFonts w:ascii="Times New Roman;Times;serif" w:hAnsi="Times New Roman;Times;serif"/>
          <w:b/>
          <w:sz w:val="20"/>
        </w:rPr>
        <w:t>Prospectus</w:t>
      </w:r>
      <w:r>
        <w:rPr>
          <w:rFonts w:ascii="Times New Roman;Times;serif" w:hAnsi="Times New Roman;Times;serif"/>
          <w:sz w:val="20"/>
        </w:rPr>
        <w:t>” shall refer to such revised prospectus from and after the time it is first provided to the Agents for such use. The Registration Statement at the time it originally became effective is herein called the “</w:t>
      </w:r>
      <w:r>
        <w:rPr>
          <w:rFonts w:ascii="Times New Roman;Times;serif" w:hAnsi="Times New Roman;Times;serif"/>
          <w:b/>
          <w:sz w:val="20"/>
        </w:rPr>
        <w:t>Original Registration Statement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Times;serif" w:hAnsi="Times New Roman;Times;serif"/>
          <w:b/>
          <w:sz w:val="20"/>
        </w:rPr>
        <w:t>EDGAR</w:t>
      </w:r>
      <w:r>
        <w:rPr>
          <w:rFonts w:ascii="Times New Roman;Times;serif" w:hAnsi="Times New Roman;Times;serif"/>
          <w:sz w:val="20"/>
        </w:rPr>
        <w:t>”) (except that, upon the Agents’ request, the Company shall provide a signed and printed copy of the Registration Statement and of any signed amendment or supplement thereto).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time the Registration Statement becomes effective and at the time the Company’s most recent annual report on Form 10-K is filed with the Commission, the Company will meet the then-applicable requirements for use of Form S-3 under the Securities Act.  During the Agency Period, each time the Company files an annual report on Form 10-K the Company will meet the then-applicable requirements for use of Form S-3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Compliance with Registration Requirements</w:t>
      </w:r>
      <w:r>
        <w:rPr>
          <w:rFonts w:ascii="Times New Roman;Times;serif" w:hAnsi="Times New Roman;Times;serif"/>
          <w:sz w:val="20"/>
        </w:rPr>
        <w:t>.  Prior to the issuance of any Issuance Notice by the Company, the Original Registration Statement will have become effective under the Securities Act.  The Company has complied and will comply to the Commission’s satisfaction with all requests of the Commission for additional or supplemental information.  No stop order suspending the effectiveness of the Registration Statement has been or shall have been issued, and no proceedings for such purpose have been instituted or are pending or, to the knowledge of the Company, contemplated or threatened by the Commission.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Prospectus will comply or, when filed, complied, as applicable, in all material respects with the Securities Act and, if filed with the Commission through EDGAR (except as may be permitted by Regulation S-T under the Securities Act), was identical to the copy thereof delivered to the Agents for use in connection with the issuance and sale of the Shares.  Each of the Registration Statement and any post-effective amendment thereto, at the time it became effective and at all subsequent times, the Prospectus and any Free Writing Prospectus (as defined below) considered together (collectively, the “</w:t>
      </w:r>
      <w:r>
        <w:rPr>
          <w:rFonts w:ascii="Times New Roman;Times;serif" w:hAnsi="Times New Roman;Times;serif"/>
          <w:b/>
          <w:sz w:val="20"/>
        </w:rPr>
        <w:t>Time of Sale Information</w:t>
      </w:r>
      <w:r>
        <w:rPr>
          <w:rFonts w:ascii="Times New Roman;Times;serif" w:hAnsi="Times New Roman;Times;serif"/>
          <w:sz w:val="20"/>
        </w:rPr>
        <w:t>”), as amended or supplemented, as of its date and as of each Representation Date, did not and will not contain any untrue statement of a material fact or omit to state a material fact necessary in order to make the statements therein, in the light of the circumstances under which they were made, not misleading.  The representations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information relating to the Agents furnished to the Company in writing by the Agents expressly for use therein, it being understood and agreed that the only such information furnished by the Agents to the Company consists of the information described in Section 6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and will meet the requirements of Rule 415 under the Securities Act and comply and will comply in all material respects with said rule.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Ineligible Issuer Status</w:t>
      </w:r>
      <w:r>
        <w:rPr>
          <w:rFonts w:ascii="Times New Roman;Times;serif" w:hAnsi="Times New Roman;Times;serif"/>
          <w:sz w:val="20"/>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Agents before first use, the Company has not prepared, used or referred to, and will not, without the Agents’ prior consent, prepare, use or refer to, any Free Writing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Well-Known Seasoned Issuer</w:t>
      </w:r>
      <w:r>
        <w:rPr>
          <w:rFonts w:ascii="Times New Roman;Times;serif" w:hAnsi="Times New Roman;Times;serif"/>
          <w:sz w:val="20"/>
        </w:rPr>
        <w:t>. (i) At the original effectiveness of the Registration Statement, (ii) at the time of the most recent amendment thereto for the purpose of complying with Section 10(a)(3) of the Securities Act (whether such amendment was by post-effective amendment, an incorporated report filed pursuant to Section 13 or 15(d) of the Exchange Act or form of prospectus), and (iii) at the time the Company or any person acting on its behalf (within the meaning, for this clause only, of Rule 163(c) of the Securities Act) made any offer relating to the Shares in reliance on the exemption of Rule 163 of the Securities Act, the Company was a “well-known seasoned issuer” as defined in Rule 405 of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Incorporated Documents</w:t>
      </w:r>
      <w:r>
        <w:rPr>
          <w:rFonts w:ascii="Times New Roman;Times;serif" w:hAnsi="Times New Roman;Times;serif"/>
          <w:sz w:val="20"/>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Exchange Act Compliance</w:t>
      </w:r>
      <w:r>
        <w:rPr>
          <w:rFonts w:ascii="Times New Roman;Times;serif" w:hAnsi="Times New Roman;Times;serif"/>
          <w:sz w:val="20"/>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Statistical and Market-Related Data</w:t>
      </w:r>
      <w:r>
        <w:rPr>
          <w:rFonts w:ascii="Times New Roman;Times;serif" w:hAnsi="Times New Roman;Times;serif"/>
          <w:sz w:val="20"/>
        </w:rPr>
        <w:t>.  The statistical, demographic and market-related data included or incorporated by reference in the Registration Statement and the Prospectus are based on or derived from sources that the Company believes to be reliable and accurate or represent the Company’s good faith estimates that are made on the basis of data derived from such 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Disclosure Controls and Procedures; Deficiencies in or Changes to Internal Control Over Financial Reporting</w:t>
      </w:r>
      <w:r>
        <w:rPr>
          <w:rFonts w:ascii="Times New Roman;Times;serif" w:hAnsi="Times New Roman;Times;serif"/>
          <w:sz w:val="20"/>
        </w:rPr>
        <w:t>.  The Company has established and maintains disclosure controls and procedures (as defined in Exchange Act Rules 13a-15(e) and 15d-15(e)),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Based on the most recent evaluation of its disclosure controls and procedures, the Company is not aware of (i) any significant deficiencies or material weaknesses in the design or operation of internal control over financial reporting which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Authorization of the Agreement</w:t>
      </w:r>
      <w:r>
        <w:rPr>
          <w:rFonts w:ascii="Times New Roman;Times;serif" w:hAnsi="Times New Roman;Times;serif"/>
          <w:sz w:val="20"/>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Authorization of the Shares</w:t>
      </w:r>
      <w:r>
        <w:rPr>
          <w:rFonts w:ascii="Times New Roman;Times;serif" w:hAnsi="Times New Roman;Times;serif"/>
          <w:sz w:val="20"/>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XBRL</w:t>
      </w:r>
      <w:r>
        <w:rPr>
          <w:rFonts w:ascii="Times New Roman;Times;serif" w:hAnsi="Times New Roman;Times;serif"/>
          <w:sz w:val="20"/>
        </w:rPr>
        <w:t>.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No Applicable Registration or Other Similar Rights</w:t>
      </w:r>
      <w:r>
        <w:rPr>
          <w:rFonts w:ascii="Times New Roman;Times;serif" w:hAnsi="Times New Roman;Times;serif"/>
          <w:sz w:val="20"/>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No Material Adverse Change</w:t>
      </w:r>
      <w:r>
        <w:rPr>
          <w:rFonts w:ascii="Times New Roman;Times;serif" w:hAnsi="Times New Roman;Times;serif"/>
          <w:sz w:val="20"/>
        </w:rPr>
        <w:t>.  Except as otherwise disclosed in the Registration Statement and Prospectus, subsequent to the respective dates as of which information is given in the Registration Statement and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Times;serif" w:hAnsi="Times New Roman;Times;serif"/>
          <w:b/>
          <w:sz w:val="20"/>
        </w:rPr>
        <w:t>Material Adverse Change</w:t>
      </w:r>
      <w:r>
        <w:rPr>
          <w:rFonts w:ascii="Times New Roman;Times;serif" w:hAnsi="Times New Roman;Times;serif"/>
          <w:sz w:val="20"/>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by any of its subsidiaries on any class of capital stock or repurchase or redemption by the Company or any of its subsidiaries of any class of capital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Independent Accountants</w:t>
      </w:r>
      <w:r>
        <w:rPr>
          <w:rFonts w:ascii="Times New Roman;Times;serif" w:hAnsi="Times New Roman;Times;serif"/>
          <w:sz w:val="20"/>
        </w:rPr>
        <w:t>.  The independent registered public accounting firm that has expressed its opinion with respect to the financial statements (which term as used in this Agreement includes the related notes thereto) filed with the Commission or incorporated by reference as a part of the Registration Statement and included in the Prospectus is (i) an independent public or certified public accountant as required by the Securities Act and the Exchange Act, (ii) in compliance with the applicable requirements relating to the qualification of accountants under Rule 2-01 of Regulation S-X; and (iii) a registered public accounting firm as defined by the Public Company Accounting Oversight Board (the “</w:t>
      </w:r>
      <w:r>
        <w:rPr>
          <w:rFonts w:ascii="Times New Roman;Times;serif" w:hAnsi="Times New Roman;Times;serif"/>
          <w:b/>
          <w:sz w:val="20"/>
        </w:rPr>
        <w:t>PCAOB</w:t>
      </w:r>
      <w:r>
        <w:rPr>
          <w:rFonts w:ascii="Times New Roman;Times;serif" w:hAnsi="Times New Roman;Times;serif"/>
          <w:sz w:val="20"/>
        </w:rPr>
        <w:t>”) whose registration has not been suspended or revoked and who has not requested such registration to be withdrawn.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Preparation of the Financial Statements</w:t>
      </w:r>
      <w:r>
        <w:rPr>
          <w:rFonts w:ascii="Times New Roman;Times;serif" w:hAnsi="Times New Roman;Times;serif"/>
          <w:sz w:val="20"/>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Such financial statements have been prepared in conformity with generally accepted accounting principles as applied in the United States (“</w:t>
      </w:r>
      <w:r>
        <w:rPr>
          <w:rFonts w:ascii="Times New Roman;Times;serif" w:hAnsi="Times New Roman;Times;serif"/>
          <w:b/>
          <w:sz w:val="20"/>
        </w:rPr>
        <w:t>GAAP</w:t>
      </w:r>
      <w:r>
        <w:rPr>
          <w:rFonts w:ascii="Times New Roman;Times;serif" w:hAnsi="Times New Roman;Times;serif"/>
          <w:sz w:val="20"/>
        </w:rPr>
        <w:t>”)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No other financial statements or supporting schedules are required to be included in or incorporated in the Registration Statement or the Prospectus.  The financial data set forth or incorporated in the Prospectus fairly present, in all material respects,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set forth therein on a basis consistent with that of the audited financial statements contained, incorporated or deemed to be incorporated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included in the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Company’s Accounting System</w:t>
      </w:r>
      <w:r>
        <w:rPr>
          <w:rFonts w:ascii="Times New Roman;Times;serif" w:hAnsi="Times New Roman;Times;serif"/>
          <w:sz w:val="20"/>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Incorporation and Good Standing of the Company</w:t>
      </w:r>
      <w:r>
        <w:rPr>
          <w:rFonts w:ascii="Times New Roman;Times;serif" w:hAnsi="Times New Roman;Times;serif"/>
          <w:sz w:val="20"/>
        </w:rPr>
        <w:t>.  The Company has been duly incorporated and is validly existing as a corporation in good standing under the laws of the State of Delaware and has the power and authority (corporate or other) to own, lease and operate its properties and to conduct its business as described in the Prospectus and to enter into and perform its obligations under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or to be in good standing, individually or in the aggregate, would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u w:val="single"/>
        </w:rPr>
        <w:t>Incorporation and Good Standing of the Company’s Subsidiaries</w:t>
      </w:r>
      <w:r>
        <w:rPr>
          <w:rFonts w:ascii="Times New Roman;Times;serif" w:hAnsi="Times New Roman;Times;serif"/>
          <w:sz w:val="20"/>
        </w:rPr>
        <w:t>.  Each subsidiary of the Company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Prospectus and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result in a Material Adverse Change.  All of the issued and outstanding capital stock or other equity or ownership interests of each subsidiary have been duly authorized and validly issued, are fully paid and nonassessable and are owned by the Company, directly or through subsidiaries, free and clear of any security interest, mortgage, pledge, lien, encumbrance or adverse claim.  The Company does not own or control, directly or indirectly, any corporation, association or other entity other than (i) the subsidiaries listed on Exhibit 21.1 to the Company’s most recent annual report on Form 10-K and (ii)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entities omitted from Exhibit 21.1 which, when such omitted entities are considered in the aggregate as a single subsidiary, would not constitute a “significant subsidiary” within the meaning of Rule 1-02(w) of Regulation S-X.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u w:val="single"/>
        </w:rPr>
        <w:t>Capitalization and Other Capital Stock Matters</w:t>
      </w:r>
      <w:r>
        <w:rPr>
          <w:rFonts w:ascii="Times New Roman;Times;serif" w:hAnsi="Times New Roman;Times;serif"/>
          <w:sz w:val="20"/>
        </w:rPr>
        <w:t>.  The authorized, issued and outstanding capital stock of the Company is as set forth in the Prospectus under the caption “Description of Capital Stock” (other than for subsequent issuances, if any, pursuant to employee benefit plans described in the Prospectus or upon the exercise of outstanding options or warrants, in each case as described in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federal and state securities laws.  None of the outstanding Common Shares were issued in violation of any preemptive rights, rights of first refusal or other similar rights to subscribe for or purchase securities of the Company that have not been duly waived or satisfied.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u w:val="single"/>
        </w:rPr>
        <w:t>Stock Exchange Listing</w:t>
      </w:r>
      <w:r>
        <w:rPr>
          <w:rFonts w:ascii="Times New Roman;Times;serif" w:hAnsi="Times New Roman;Times;serif"/>
          <w:sz w:val="20"/>
        </w:rPr>
        <w:t>.  The Company is subject to and in compliance in all material respects with the reporting requirements of Section 13 or Section 15(d) of the Exchange Act.  The Common Shares are registered pursuant to Section 12(b) of the Exchange Act and are listed on the Principal Market, and the Company has taken no action designed to, or reasonably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u w:val="single"/>
        </w:rPr>
        <w:t>Non-Contravention of Existing Instruments; No Further Authorizations or Approvals Required</w:t>
      </w:r>
      <w:r>
        <w:rPr>
          <w:rFonts w:ascii="Times New Roman;Times;serif" w:hAnsi="Times New Roman;Times;serif"/>
          <w:sz w:val="20"/>
        </w:rPr>
        <w:t>.  Neither the Company nor any of its subsidiaries is in violation of its charter or by-laws, partnership agreement or operating agreement or similar organizational document, as applicable, or is in default (or, with the giving of notice or lapse of time, would be in default) (“</w:t>
      </w:r>
      <w:r>
        <w:rPr>
          <w:rFonts w:ascii="Times New Roman;Times;serif" w:hAnsi="Times New Roman;Times;serif"/>
          <w:b/>
          <w:sz w:val="20"/>
        </w:rPr>
        <w:t>Default</w:t>
      </w:r>
      <w:r>
        <w:rPr>
          <w:rFonts w:ascii="Times New Roman;Times;serif" w:hAnsi="Times New Roman;Times;serif"/>
          <w:sz w:val="20"/>
        </w:rPr>
        <w:t>”) under any indenture, mortgage, loan or credit agreement, note, contract, franchise, lease or other instrument to which the Company or any of its subsidiaries is a party or by which it or any of them may be bound (including, without limitation, any credit agreement, indenture, pledge agreement, security agreement or other instrument or agreement evidencing, guaranteeing, securing or relating to indebtedness of the Company or any of its subsidiaries), or to which any of the property or assets of the Company or any of its subsidiaries is subject (each, an “</w:t>
      </w:r>
      <w:r>
        <w:rPr>
          <w:rFonts w:ascii="Times New Roman;Times;serif" w:hAnsi="Times New Roman;Times;serif"/>
          <w:b/>
          <w:sz w:val="20"/>
        </w:rPr>
        <w:t>Existing Instrument</w:t>
      </w:r>
      <w:r>
        <w:rPr>
          <w:rFonts w:ascii="Times New Roman;Times;serif" w:hAnsi="Times New Roman;Times;serif"/>
          <w:sz w:val="20"/>
        </w:rPr>
        <w:t>”), except for such Defaults as would not, individually or in the aggregate, result in a Material Adverse Change.  The Company’s execution, delivery and performance of this Agreement, consummation of the transactions contemplated hereby and by each applicable Prospectus and the issuance and sale of the Shares (i) have been duly authorized by all necessary corporate action and will not result in any violation of the provisions of the charter or by-laws,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partnership agreement or operating agreement or similar organizational document of the Company or any subsidiary, as applicable;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Times;serif" w:hAnsi="Times New Roman;Times;serif"/>
          <w:b/>
          <w:sz w:val="20"/>
        </w:rPr>
        <w:t>FINRA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u w:val="single"/>
        </w:rPr>
        <w:t>No Material Actions or Proceedings</w:t>
      </w:r>
      <w:r>
        <w:rPr>
          <w:rFonts w:ascii="Times New Roman;Times;serif" w:hAnsi="Times New Roman;Times;serif"/>
          <w:sz w:val="20"/>
        </w:rPr>
        <w:t>.  Except as otherwise disclosed in the Prospectus, there are no material legal or governmental actions, suits or proceedings pending or, to the Company’s knowledge, threatened (i) against or affecting the Company or any of its subsidiaries; (ii) which have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such subsidiary or such officer or director, (B) any such action, suit or proceeding, if so determined adversely, would reasonably be expected to result in a Material Adverse Change or adversely affect the consummation of the transactions contemplated by this Agreement or (C) any such action, suit or proceeding is or would be material in the context of the sale of Shares. Except as otherwise disclosed in the Prospectus, no material labor dispute with the employees of the Company or any of its subsidiaries, or with the employees of any principal supplier, manufacturer, customer or contractor of the Company, exists or, to the Company’s knowledge, is threatened or imminent.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sz w:val="20"/>
          <w:u w:val="single"/>
        </w:rPr>
        <w:t>Intellectual Property Rights</w:t>
      </w:r>
      <w:r>
        <w:rPr>
          <w:rFonts w:ascii="Times New Roman;Times;serif" w:hAnsi="Times New Roman;Times;serif"/>
          <w:sz w:val="20"/>
        </w:rPr>
        <w:t>.  The Company and its subsidiaries own or possess the valid right to use all (i) patents, patent applications, trademarks, trademark registrations, service marks, service mark registrations, Internet domain name registrations, copyrights, copyright registrations, licenses, trade secret rights (“</w:t>
      </w:r>
      <w:r>
        <w:rPr>
          <w:rFonts w:ascii="Times New Roman;Times;serif" w:hAnsi="Times New Roman;Times;serif"/>
          <w:b/>
          <w:sz w:val="20"/>
        </w:rPr>
        <w:t>Intellectual Property Rights</w:t>
      </w:r>
      <w:r>
        <w:rPr>
          <w:rFonts w:ascii="Times New Roman;Times;serif" w:hAnsi="Times New Roman;Times;serif"/>
          <w:sz w:val="20"/>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Times;serif" w:hAnsi="Times New Roman;Times;serif"/>
          <w:b/>
          <w:sz w:val="20"/>
        </w:rPr>
        <w:t>Intellectual Property Assets</w:t>
      </w:r>
      <w:r>
        <w:rPr>
          <w:rFonts w:ascii="Times New Roman;Times;serif" w:hAnsi="Times New Roman;Times;serif"/>
          <w:sz w:val="20"/>
        </w:rPr>
        <w:t>”) necessary to conduct their respective businesses described in the Prospectus, except where the failure to own or possess the valid right to use the Intellectual Property Assets would not, individually or in the aggregate, result in a Material Adverse Change.  The Company and its subsidiaries have not received any opinion from their legal counsel concluding that any activities of their respective businesses infringe, misappropriate, or otherwise violate, valid and enforceable Intellectual Property Rights of any other person.  The Company and its subsidiaries have not received written notice of any challenge, which is to their knowledge still pending, by any other person to the rights of the Company and its subsidiaries with respect to any Intellectual Property Rights or Intellectual Property Assets owned or used by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or its subsidiaries that would reasonably be expected to result in a Material Adverse Change.  To the knowledge of the Company,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Rights license, and the Company has no knowledge of any breach or anticipated breach by any other person to any Intellectual Property Rights license.  Except as described in the Prospectus, no claim has been made against the Company alleging the infringement by the Company of any patent, trademark, service mark, trade name, copyright, trade secret, license in or other intellectual property right or franchise right of any person that would reasonably be expected to result in a Material Adverse Change.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u w:val="single"/>
        </w:rPr>
        <w:t>All Necessary Permits, etc</w:t>
      </w:r>
      <w:r>
        <w:rPr>
          <w:rFonts w:ascii="Times New Roman;Times;serif" w:hAnsi="Times New Roman;Times;serif"/>
          <w:sz w:val="20"/>
        </w:rPr>
        <w:t>.  Except as otherwise disclosed in the Prospectus, the Company and each subsidiary possess such valid and current certificates, authorizations or permits issued by the appropriate state, federal or foreign regulatory agencies or bodies necessary for the ownership or lease of its properties or the conduct of its businesses (“</w:t>
      </w:r>
      <w:r>
        <w:rPr>
          <w:rFonts w:ascii="Times New Roman;Times;serif" w:hAnsi="Times New Roman;Times;serif"/>
          <w:b/>
          <w:sz w:val="20"/>
        </w:rPr>
        <w:t>Permits</w:t>
      </w:r>
      <w:r>
        <w:rPr>
          <w:rFonts w:ascii="Times New Roman;Times;serif" w:hAnsi="Times New Roman;Times;serif"/>
          <w:sz w:val="20"/>
        </w:rPr>
        <w:t>”) as described in the Registration, Statement and the Prospectus, or to permit all clinical and nonclinical studies and trials conducted by or on behalf of the Company and its subsidiaries, except where failure to so possess would not reasonably be expected to, individually or in the aggregate, result in a Material Adverse Change; and neither the Company nor any subsidiary has received, or has any reason to believe that it will receive, any notice of proceedings relating to the revocation or modification of, or non-compliance with, any such certificate, authorization or permit which, singly or in the aggregate, if the subject of an unfavorable decision, ruling or finding, could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sz w:val="20"/>
          <w:u w:val="single"/>
        </w:rPr>
        <w:t>Title to Properties</w:t>
      </w:r>
      <w:r>
        <w:rPr>
          <w:rFonts w:ascii="Times New Roman;Times;serif" w:hAnsi="Times New Roman;Times;serif"/>
          <w:sz w:val="20"/>
        </w:rPr>
        <w:t>.  The Company and its subsidiaries have good and marketable title to all of the real and personal property and other assets reflected as owned in the financial statements referred to in Section 2(o)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(z)</w:t>
      </w:r>
      <w:r>
        <w:rPr>
          <w:rFonts w:ascii="Times New Roman;Times;serif" w:hAnsi="Times New Roman;Times;serif"/>
          <w:sz w:val="20"/>
          <w:u w:val="single"/>
        </w:rPr>
        <w:t>Tax Law Compliance</w:t>
      </w:r>
      <w:r>
        <w:rPr>
          <w:rFonts w:ascii="Times New Roman;Times;serif" w:hAnsi="Times New Roman;Times;serif"/>
          <w:sz w:val="20"/>
        </w:rPr>
        <w:t>.  The Company and its consolidated subsidiaries have filed all necessary federal, state and foreign income, property and franchise tax returns (or have properly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2(o) above in respect of all federal, state and foreign income, property and franchise taxes for all periods as to which the tax liability of the Company or any of its consolidated subsidiaries has not been finally determined.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(aa)</w:t>
      </w:r>
      <w:r>
        <w:rPr>
          <w:rFonts w:ascii="Times New Roman;Times;serif" w:hAnsi="Times New Roman;Times;serif"/>
          <w:sz w:val="20"/>
          <w:u w:val="single"/>
        </w:rPr>
        <w:t>Company Not an “Investment Company.”</w:t>
      </w:r>
      <w:r>
        <w:rPr>
          <w:rFonts w:ascii="Times New Roman;Times;serif" w:hAnsi="Times New Roman;Times;serif"/>
          <w:sz w:val="20"/>
        </w:rPr>
        <w:t xml:space="preserve">  The Company is not, and after receipt of payment for the Shares will not be, an “investment company” within the meaning of the Investment Company Act of 1940, as amended (the “</w:t>
      </w:r>
      <w:r>
        <w:rPr>
          <w:rFonts w:ascii="Times New Roman;Times;serif" w:hAnsi="Times New Roman;Times;serif"/>
          <w:b/>
          <w:sz w:val="20"/>
        </w:rPr>
        <w:t>Investment Company Act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(bb)</w:t>
      </w:r>
      <w:r>
        <w:rPr>
          <w:rFonts w:ascii="Times New Roman;Times;serif" w:hAnsi="Times New Roman;Times;serif"/>
          <w:sz w:val="20"/>
          <w:u w:val="single"/>
        </w:rPr>
        <w:t>Insurance.</w:t>
      </w:r>
      <w:r>
        <w:rPr>
          <w:rFonts w:ascii="Times New Roman;Times;serif" w:hAnsi="Times New Roman;Times;serif"/>
          <w:sz w:val="20"/>
        </w:rPr>
        <w:t xml:space="preserve">  Except as otherwise disclosed in the Prospectus,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  Neither of the Company nor any subsidiary has been denied any insurance coverage which it has sought or for which it has applied.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(cc)</w:t>
      </w:r>
      <w:r>
        <w:rPr>
          <w:rFonts w:ascii="Times New Roman;Times;serif" w:hAnsi="Times New Roman;Times;serif"/>
          <w:sz w:val="20"/>
          <w:u w:val="single"/>
        </w:rPr>
        <w:t>No Price Stabilization or Manipulation; Compliance with Regulation M</w:t>
      </w:r>
      <w:r>
        <w:rPr>
          <w:rFonts w:ascii="Times New Roman;Times;serif" w:hAnsi="Times New Roman;Times;serif"/>
          <w:sz w:val="20"/>
        </w:rPr>
        <w:t>.  Neither the Company nor any of its subsidiaries has taken, directly or indirectly, any action designed to or that would reasonably be expected to cause or result in stabilization or manipulation of the price of the Common Shares or any other “reference security” (as defined in Rule 100 of Regulation M under the Exchange Act (“</w:t>
      </w:r>
      <w:r>
        <w:rPr>
          <w:rFonts w:ascii="Times New Roman;Times;serif" w:hAnsi="Times New Roman;Times;serif"/>
          <w:b/>
          <w:sz w:val="20"/>
        </w:rPr>
        <w:t>Regulation M</w:t>
      </w:r>
      <w:r>
        <w:rPr>
          <w:rFonts w:ascii="Times New Roman;Times;serif" w:hAnsi="Times New Roman;Times;serif"/>
          <w:sz w:val="20"/>
        </w:rPr>
        <w:t>”)), whether to facilitate the sale or resale of the Shares or otherwise, and has taken no action which would directly or indirectly violate Regulation M.  The Company acknowledges that the Agents may engage in passive market making transactions in the Shares on the Principal Market in accordance with Regulation M.  The Common Shares are “actively traded securities” (as defined in Regulation 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(dd)</w:t>
      </w:r>
      <w:r>
        <w:rPr>
          <w:rFonts w:ascii="Times New Roman;Times;serif" w:hAnsi="Times New Roman;Times;serif"/>
          <w:sz w:val="20"/>
          <w:u w:val="single"/>
        </w:rPr>
        <w:t>Related Party Transactions</w:t>
      </w:r>
      <w:r>
        <w:rPr>
          <w:rFonts w:ascii="Times New Roman;Times;serif" w:hAnsi="Times New Roman;Times;serif"/>
          <w:sz w:val="20"/>
        </w:rPr>
        <w:t>.  There are no business relationships or related-party transactions involving the Company or any of its subsidiaries or any other person required to be described in the Prospectus which have not been described as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(ee)</w:t>
      </w:r>
      <w:r>
        <w:rPr>
          <w:rFonts w:ascii="Times New Roman;Times;serif" w:hAnsi="Times New Roman;Times;serif"/>
          <w:sz w:val="20"/>
          <w:u w:val="single"/>
        </w:rPr>
        <w:t>FINRA Matters</w:t>
      </w:r>
      <w:r>
        <w:rPr>
          <w:rFonts w:ascii="Times New Roman;Times;serif" w:hAnsi="Times New Roman;Times;serif"/>
          <w:sz w:val="20"/>
        </w:rPr>
        <w:t>.  All of the information provided to the Agents or to counsel for the Agents by the Company, its officers and directors and the holders of any securities (debt or equity) or options to acquire any securities of the Company in connection with letters, filings or other supplemental information provided to FINRA pursuant to FINRA Rules 5110, 5190 and 5121 is true, complete and correct.  The Company meets the definition of an “experienced issuer” as specified in FINRA Rule 5110(j)(6).  Neither the Company nor any of its Affiliates directly, or indirectly through one or more intermediaries, controls, or is controlled by, or is under common control with, or is a person associated with any member firm of FINRA.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(ff)</w:t>
      </w:r>
      <w:r>
        <w:rPr>
          <w:rFonts w:ascii="Times New Roman;Times;serif" w:hAnsi="Times New Roman;Times;serif"/>
          <w:sz w:val="20"/>
          <w:u w:val="single"/>
        </w:rPr>
        <w:t>No Unlawful Contributions or Other Payments</w:t>
      </w:r>
      <w:r>
        <w:rPr>
          <w:rFonts w:ascii="Times New Roman;Times;serif" w:hAnsi="Times New Roman;Times;serif"/>
          <w:sz w:val="20"/>
        </w:rPr>
        <w:t>.  Except as otherwise disclosed in the Prospectus,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(gg)</w:t>
      </w:r>
      <w:r>
        <w:rPr>
          <w:rFonts w:ascii="Times New Roman;Times;serif" w:hAnsi="Times New Roman;Times;serif"/>
          <w:sz w:val="20"/>
          <w:u w:val="single"/>
        </w:rPr>
        <w:t>Compliance with Environmental Laws</w:t>
      </w:r>
      <w:r>
        <w:rPr>
          <w:rFonts w:ascii="Times New Roman;Times;serif" w:hAnsi="Times New Roman;Times;serif"/>
          <w:sz w:val="20"/>
        </w:rPr>
        <w:t>.  Except as otherwise described in the Prospectus, and 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Times;serif" w:hAnsi="Times New Roman;Times;serif"/>
          <w:b/>
          <w:sz w:val="20"/>
        </w:rPr>
        <w:t>Materials of Environmental Concern</w:t>
      </w:r>
      <w:r>
        <w:rPr>
          <w:rFonts w:ascii="Times New Roman;Times;serif" w:hAnsi="Times New Roman;Times;serif"/>
          <w:sz w:val="20"/>
        </w:rPr>
        <w:t>”), or otherwise relating to the manufacture, processing, distribution, use, treatment, storage, disposal, transport or handling of Materials of Environmental Concern (collectively, “</w:t>
      </w:r>
      <w:r>
        <w:rPr>
          <w:rFonts w:ascii="Times New Roman;Times;serif" w:hAnsi="Times New Roman;Times;serif"/>
          <w:b/>
          <w:sz w:val="20"/>
        </w:rPr>
        <w:t>Environmental Laws</w:t>
      </w:r>
      <w:r>
        <w:rPr>
          <w:rFonts w:ascii="Times New Roman;Times;serif" w:hAnsi="Times New Roman;Times;serif"/>
          <w:sz w:val="20"/>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Times;serif" w:hAnsi="Times New Roman;Times;serif"/>
          <w:b/>
          <w:sz w:val="20"/>
        </w:rPr>
        <w:t>Environmental Claims</w:t>
      </w:r>
      <w:r>
        <w:rPr>
          <w:rFonts w:ascii="Times New Roman;Times;serif" w:hAnsi="Times New Roman;Times;serif"/>
          <w:sz w:val="20"/>
        </w:rPr>
        <w:t>”),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(hh)</w:t>
      </w:r>
      <w:r>
        <w:rPr>
          <w:rFonts w:ascii="Times New Roman;Times;serif" w:hAnsi="Times New Roman;Times;serif"/>
          <w:sz w:val="20"/>
          <w:u w:val="single"/>
        </w:rPr>
        <w:t>ERISA Compliance</w:t>
      </w:r>
      <w:r>
        <w:rPr>
          <w:rFonts w:ascii="Times New Roman;Times;serif" w:hAnsi="Times New Roman;Times;serif"/>
          <w:sz w:val="20"/>
        </w:rPr>
        <w:t>.  The Company and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sz w:val="20"/>
        </w:rPr>
        <w:t>ERISA</w:t>
      </w:r>
      <w:r>
        <w:rPr>
          <w:rFonts w:ascii="Times New Roman;Times;serif" w:hAnsi="Times New Roman;Times;serif"/>
          <w:sz w:val="20"/>
        </w:rPr>
        <w:t>”)) established or maintained by the Company, its subsidiaries or their “</w:t>
      </w:r>
      <w:r>
        <w:rPr>
          <w:rFonts w:ascii="Times New Roman;Times;serif" w:hAnsi="Times New Roman;Times;serif"/>
          <w:b/>
          <w:sz w:val="20"/>
        </w:rPr>
        <w:t>ERISA Affiliates</w:t>
      </w:r>
      <w:r>
        <w:rPr>
          <w:rFonts w:ascii="Times New Roman;Times;serif" w:hAnsi="Times New Roman;Times;serif"/>
          <w:sz w:val="20"/>
        </w:rPr>
        <w:t>” (as defined below), are in compliance in all material respects with ERISA.  “ERISA Affiliate” means, with respect to the Company or any of its subsidiaries, any member of any group of organizations described in Sections 414(b), (c), (m) or (o) of the Internal Revenue Code of 1986, as amended, and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regulations and published interpretations thereunder (the “</w:t>
      </w:r>
      <w:r>
        <w:rPr>
          <w:rFonts w:ascii="Times New Roman;Times;serif" w:hAnsi="Times New Roman;Times;serif"/>
          <w:b/>
          <w:sz w:val="20"/>
        </w:rPr>
        <w:t>Code</w:t>
      </w:r>
      <w:r>
        <w:rPr>
          <w:rFonts w:ascii="Times New Roman;Times;serif" w:hAnsi="Times New Roman;Times;serif"/>
          <w:sz w:val="20"/>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Except as would not reasonably be expected, individually or in the aggregate, to result in a Material Adverse Change,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Brokers</w:t>
      </w:r>
      <w:r>
        <w:rPr>
          <w:rFonts w:ascii="Times New Roman;Times;serif" w:hAnsi="Times New Roman;Times;serif"/>
          <w:sz w:val="20"/>
        </w:rPr>
        <w:t>.  Except for the Agents, there is no broker, finder or other party that is entitled to receive from the Company any brokerage or finder’s fee or other fee or commission as a result of any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(jj)</w:t>
      </w:r>
      <w:r>
        <w:rPr>
          <w:rFonts w:ascii="Times New Roman;Times;serif" w:hAnsi="Times New Roman;Times;serif"/>
          <w:sz w:val="20"/>
          <w:u w:val="single"/>
        </w:rPr>
        <w:t>No Outstanding Loans or Other Extensions of Credit</w:t>
      </w:r>
      <w:r>
        <w:rPr>
          <w:rFonts w:ascii="Times New Roman;Times;serif" w:hAnsi="Times New Roman;Times;serif"/>
          <w:sz w:val="20"/>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immediate family members of any of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(kk)</w:t>
      </w:r>
      <w:r>
        <w:rPr>
          <w:rFonts w:ascii="Times New Roman;Times;serif" w:hAnsi="Times New Roman;Times;serif"/>
          <w:sz w:val="20"/>
          <w:u w:val="single"/>
        </w:rPr>
        <w:t>Compliance with Laws</w:t>
      </w:r>
      <w:r>
        <w:rPr>
          <w:rFonts w:ascii="Times New Roman;Times;serif" w:hAnsi="Times New Roman;Times;serif"/>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be reasonably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(ll)</w:t>
      </w:r>
      <w:r>
        <w:rPr>
          <w:rFonts w:ascii="Times New Roman;Times;serif" w:hAnsi="Times New Roman;Times;serif"/>
          <w:sz w:val="20"/>
          <w:u w:val="single"/>
        </w:rPr>
        <w:t>Dividend Restrictions</w:t>
      </w:r>
      <w:r>
        <w:rPr>
          <w:rFonts w:ascii="Times New Roman;Times;serif" w:hAnsi="Times New Roman;Times;serif"/>
          <w:sz w:val="20"/>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(mm)</w:t>
      </w:r>
      <w:r>
        <w:rPr>
          <w:rFonts w:ascii="Times New Roman;Times;serif" w:hAnsi="Times New Roman;Times;serif"/>
          <w:sz w:val="20"/>
          <w:u w:val="single"/>
        </w:rPr>
        <w:t>Anti-Corruption and Anti-Bribery Laws</w:t>
      </w:r>
      <w:r>
        <w:rPr>
          <w:rFonts w:ascii="Times New Roman;Times;serif" w:hAnsi="Times New Roman;Times;serif"/>
          <w:sz w:val="20"/>
        </w:rPr>
        <w:t>.  Neither the Company nor any of its subsidiaries nor, to the knowledge of the Company, any 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organization, or any political party, party official, or candidate for political office; (iii) violated or is in violation of any provision of the U.S.  Foreign Corrupt Practices Act of 1977, as amended (the “</w:t>
      </w:r>
      <w:r>
        <w:rPr>
          <w:rFonts w:ascii="Times New Roman;Times;serif" w:hAnsi="Times New Roman;Times;serif"/>
          <w:b/>
          <w:sz w:val="20"/>
        </w:rPr>
        <w:t>FCPA</w:t>
      </w:r>
      <w:r>
        <w:rPr>
          <w:rFonts w:ascii="Times New Roman;Times;serif" w:hAnsi="Times New Roman;Times;serif"/>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(nn)</w:t>
      </w:r>
      <w:r>
        <w:rPr>
          <w:rFonts w:ascii="Times New Roman;Times;serif" w:hAnsi="Times New Roman;Times;serif"/>
          <w:sz w:val="20"/>
          <w:u w:val="single"/>
        </w:rPr>
        <w:t>Money Laundering Laws</w:t>
      </w:r>
      <w:r>
        <w:rPr>
          <w:rFonts w:ascii="Times New Roman;Times;serif" w:hAnsi="Times New Roman;Times;serif"/>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sz w:val="20"/>
        </w:rPr>
        <w:t>Money Laundering Laws</w:t>
      </w:r>
      <w:r>
        <w:rPr>
          <w:rFonts w:ascii="Times New Roman;Times;serif" w:hAnsi="Times New Roman;Times;serif"/>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(oo)</w:t>
      </w:r>
      <w:r>
        <w:rPr>
          <w:rFonts w:ascii="Times New Roman;Times;serif" w:hAnsi="Times New Roman;Times;serif"/>
          <w:sz w:val="20"/>
          <w:u w:val="single"/>
        </w:rPr>
        <w:t>Clinical Studies</w:t>
      </w:r>
      <w:r>
        <w:rPr>
          <w:rFonts w:ascii="Times New Roman;Times;serif" w:hAnsi="Times New Roman;Times;serif"/>
          <w:sz w:val="20"/>
        </w:rPr>
        <w:t>.  The preclinical tests and clinical trials, and other studies (collectively, “</w:t>
      </w:r>
      <w:r>
        <w:rPr>
          <w:rFonts w:ascii="Times New Roman;Times;serif" w:hAnsi="Times New Roman;Times;serif"/>
          <w:b/>
          <w:sz w:val="20"/>
        </w:rPr>
        <w:t>studies</w:t>
      </w:r>
      <w:r>
        <w:rPr>
          <w:rFonts w:ascii="Times New Roman;Times;serif" w:hAnsi="Times New Roman;Times;serif"/>
          <w:sz w:val="20"/>
        </w:rPr>
        <w:t>”) conducted by or on behalf of or sponsored by the Company or any of its subsidiaries or in which the Company or any of its subsidiaries or their products or product candidates have participated were and, if still pending, are being conducted in all material respects in accordance with the protocols, procedures and controls designed and approved for such studies and all applicable laws and regulations, including, without limitation, 21 C.F.R. Parts 50, 54, 56, 58, 312 and 812;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no investigational new drug application filed by or on behalf of the Company or any of its subsidiaries with the U.S. Food and Drug Administration (“</w:t>
      </w:r>
      <w:r>
        <w:rPr>
          <w:rFonts w:ascii="Times New Roman;Times;serif" w:hAnsi="Times New Roman;Times;serif"/>
          <w:b/>
          <w:sz w:val="20"/>
        </w:rPr>
        <w:t>FDA</w:t>
      </w:r>
      <w:r>
        <w:rPr>
          <w:rFonts w:ascii="Times New Roman;Times;serif" w:hAnsi="Times New Roman;Times;serif"/>
          <w:sz w:val="20"/>
        </w:rPr>
        <w:t>”) has been terminated or suspended by the FDA, and neither the FDA nor any applicable foreign regulatory agency has commenced, or, to the knowledge of the Company, threatened to initiate, any action to place a clinical hold order on, or otherwise terminate, delay or suspend, any proposed or ongoing studies conducted or proposed to be conducted by or on behalf of the Company or any of its subsidiaries; the Company and its subsidiaries have made all such filings and hold all such Permits for the operation of its business required by the FDA or any committee thereof or from any other U.S. or foreign government or drug or medical device regulatory agency, or health care facility Institutional Review Board (collectively, the “</w:t>
      </w:r>
      <w:r>
        <w:rPr>
          <w:rFonts w:ascii="Times New Roman;Times;serif" w:hAnsi="Times New Roman;Times;serif"/>
          <w:b/>
          <w:sz w:val="20"/>
        </w:rPr>
        <w:t>Regulatory Agencies</w:t>
      </w:r>
      <w:r>
        <w:rPr>
          <w:rFonts w:ascii="Times New Roman;Times;serif" w:hAnsi="Times New Roman;Times;serif"/>
          <w:sz w:val="20"/>
        </w:rPr>
        <w:t>”); and the Company and its subsidiaries have fulfilled and performed all of their material obligations with respect to such Permits, and no event has occurred which allows, or after notice or lapse of time would allow, revocation or termination thereof or results in any other material impairment of the rights of the holder of any such Permit.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(pp)</w:t>
      </w:r>
      <w:r>
        <w:rPr>
          <w:rFonts w:ascii="Times New Roman;Times;serif" w:hAnsi="Times New Roman;Times;serif"/>
          <w:sz w:val="20"/>
          <w:u w:val="single"/>
        </w:rPr>
        <w:t>Compliance with Health Care Laws</w:t>
      </w:r>
      <w:r>
        <w:rPr>
          <w:rFonts w:ascii="Times New Roman;Times;serif" w:hAnsi="Times New Roman;Times;serif"/>
          <w:sz w:val="20"/>
        </w:rPr>
        <w:t>.  The Company and its subsidiaries are, and at all times have been, in compliance in all respects with all applicable Health Care Laws, and have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engaged in activities which are, as applicable, cause for false claims liability, civil penalties, or mandatory or permissive exclusion from Medicare, Medicaid, or any other state health care program or federal health care program, except as would not reasonably be expected, individually or in the aggregate, to have a Material Adverse Change.  For purposes of this Agreement, “</w:t>
      </w:r>
      <w:r>
        <w:rPr>
          <w:rFonts w:ascii="Times New Roman;Times;serif" w:hAnsi="Times New Roman;Times;serif"/>
          <w:b/>
          <w:sz w:val="20"/>
        </w:rPr>
        <w:t>Health Care Laws</w:t>
      </w:r>
      <w:r>
        <w:rPr>
          <w:rFonts w:ascii="Times New Roman;Times;serif" w:hAnsi="Times New Roman;Times;serif"/>
          <w:sz w:val="20"/>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Payments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Times;serif" w:hAnsi="Times New Roman;Times;serif"/>
          <w:b/>
          <w:sz w:val="20"/>
        </w:rPr>
        <w:t>HIPAA</w:t>
      </w:r>
      <w:r>
        <w:rPr>
          <w:rFonts w:ascii="Times New Roman;Times;serif" w:hAnsi="Times New Roman;Times;serif"/>
          <w:sz w:val="20"/>
        </w:rPr>
        <w:t>”) (42 U.S.C. Section 1320d et seq.), the exclusions law (42 U.S.C. § 1320a-7), the civil monetary penalties law (42 U.S.C. § 1320a-7a), HIPAA, as amended by the Health Information Technology for Economic and Clinical Health Act (42 U.S.C. Section 17921 et seq.) (“</w:t>
      </w:r>
      <w:r>
        <w:rPr>
          <w:rFonts w:ascii="Times New Roman;Times;serif" w:hAnsi="Times New Roman;Times;serif"/>
          <w:b/>
          <w:sz w:val="20"/>
        </w:rPr>
        <w:t>HITECH</w:t>
      </w:r>
      <w:r>
        <w:rPr>
          <w:rFonts w:ascii="Times New Roman;Times;serif" w:hAnsi="Times New Roman;Times;serif"/>
          <w:sz w:val="20"/>
        </w:rPr>
        <w:t>”), and the regulations promulgated pursuant to such statutes; (iii) Medicare (Title XVIII of the Social Security Act); (iv) Medicaid (Title XIX of the Social Security Act); and (v) any and all other applicable health care laws and regulations.  Neither the Company nor any of its subsidiaries have received notice of any claim, action, suit, proceeding, hearing, enforcement, audit, investigation, arbitration or other action from any court or arbitrator or governmental or regulatory authority or third party alleging that any product operation or activity is in material violation of any Health Care Laws, and, to the Company’s knowledge, no such claim, action, suit, proceeding, hearing, enforcement, audit, investigation, arbitration or other action is threatened.  Neither the Company nor any of its subsidiaries are a party to or have any ongoing reporting obligations pursuant to any corporate integrity agreements, deferred prosecution agreements, monitoring agreements, consent decrees, settlement orders, plans of correction or similar agreements with or imposed by any Regulatory Agency or other governmental or regulatory authority.  Additionally, neither the Company nor any of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(qq)</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(rr)</w:t>
      </w:r>
      <w:r>
        <w:rPr>
          <w:rFonts w:ascii="Times New Roman;Times;serif" w:hAnsi="Times New Roman;Times;serif"/>
          <w:sz w:val="20"/>
          <w:u w:val="single"/>
        </w:rPr>
        <w:t>Sanctions</w:t>
      </w:r>
      <w:r>
        <w:rPr>
          <w:rFonts w:ascii="Times New Roman;Times;serif" w:hAnsi="Times New Roman;Times;serif"/>
          <w:sz w:val="20"/>
        </w:rPr>
        <w:t>.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Times;serif" w:hAnsi="Times New Roman;Times;serif"/>
          <w:b/>
          <w:sz w:val="20"/>
        </w:rPr>
        <w:t>OFAC</w:t>
      </w:r>
      <w:r>
        <w:rPr>
          <w:rFonts w:ascii="Times New Roman;Times;serif" w:hAnsi="Times New Roman;Times;serif"/>
          <w:sz w:val="20"/>
        </w:rPr>
        <w:t>”) or the U.S. Department of State, the United Nations Security Council, the European Union, His Majesty’s Treasury of the United Kingdom, or other relevant sanctions authority (collectively, “</w:t>
      </w:r>
      <w:r>
        <w:rPr>
          <w:rFonts w:ascii="Times New Roman;Times;serif" w:hAnsi="Times New Roman;Times;serif"/>
          <w:b/>
          <w:sz w:val="20"/>
        </w:rPr>
        <w:t>Sanctions</w:t>
      </w:r>
      <w:r>
        <w:rPr>
          <w:rFonts w:ascii="Times New Roman;Times;serif" w:hAnsi="Times New Roman;Times;serif"/>
          <w:sz w:val="20"/>
        </w:rPr>
        <w:t>”); nor is the Company or any of its subsidiaries located, organized or resident in a country or territory that is the subject or the target of Sanctions, currently, Crimea, the so-called Donetsk People’s Republic, the so-called Luhansk People’s Republic and the non-government controlled areas of the Zaporizhzhia and Kherson Regions, Cuba, Iran or North Korea (collectively, “</w:t>
      </w:r>
      <w:r>
        <w:rPr>
          <w:rFonts w:ascii="Times New Roman;Times;serif" w:hAnsi="Times New Roman;Times;serif"/>
          <w:b/>
          <w:sz w:val="20"/>
        </w:rPr>
        <w:t>Sanctioned Countries</w:t>
      </w:r>
      <w:r>
        <w:rPr>
          <w:rFonts w:ascii="Times New Roman;Times;serif" w:hAnsi="Times New Roman;Times;serif"/>
          <w:sz w:val="20"/>
        </w:rPr>
        <w:t>” and each, a “</w:t>
      </w:r>
      <w:r>
        <w:rPr>
          <w:rFonts w:ascii="Times New Roman;Times;serif" w:hAnsi="Times New Roman;Times;serif"/>
          <w:b/>
          <w:sz w:val="20"/>
        </w:rPr>
        <w:t>Sanctioned Country</w:t>
      </w:r>
      <w:r>
        <w:rPr>
          <w:rFonts w:ascii="Times New Roman;Times;serif" w:hAnsi="Times New Roman;Times;serif"/>
          <w:sz w:val="20"/>
        </w:rPr>
        <w:t>”); and the Company will not directly or indirectly use the proceeds of this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(ss)</w:t>
      </w:r>
      <w:r>
        <w:rPr>
          <w:rFonts w:ascii="Times New Roman;Times;serif" w:hAnsi="Times New Roman;Times;serif"/>
          <w:sz w:val="20"/>
          <w:u w:val="single"/>
        </w:rPr>
        <w:t>Outbound Investment Security Program</w:t>
      </w:r>
      <w:r>
        <w:rPr>
          <w:rFonts w:ascii="Times New Roman;Times;serif" w:hAnsi="Times New Roman;Times;serif"/>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Times;serif" w:hAnsi="Times New Roman;Times;serif"/>
          <w:b/>
          <w:sz w:val="20"/>
        </w:rPr>
        <w:t>Covered Activity</w:t>
      </w:r>
      <w:r>
        <w:rPr>
          <w:rFonts w:ascii="Times New Roman;Times;serif" w:hAnsi="Times New Roman;Times;serif"/>
          <w:sz w:val="20"/>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(tt)</w:t>
      </w:r>
      <w:r>
        <w:rPr>
          <w:rFonts w:ascii="Times New Roman;Times;serif" w:hAnsi="Times New Roman;Times;serif"/>
          <w:sz w:val="20"/>
          <w:u w:val="single"/>
        </w:rPr>
        <w:t>Sarbanes-Oxley</w:t>
      </w:r>
      <w:r>
        <w:rPr>
          <w:rFonts w:ascii="Times New Roman;Times;serif" w:hAnsi="Times New Roman;Times;serif"/>
          <w:sz w:val="20"/>
        </w:rPr>
        <w:t>.  The Company is in compliance, in all material respects, with all applicable provisions of the Sarbanes-Oxley Act of 2002, as amended, and the rules and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(uu)</w:t>
      </w:r>
      <w:r>
        <w:rPr>
          <w:rFonts w:ascii="Times New Roman;Times;serif" w:hAnsi="Times New Roman;Times;serif"/>
          <w:sz w:val="20"/>
          <w:u w:val="single"/>
        </w:rPr>
        <w:t>Duties, Transfer Taxes, Etc</w:t>
      </w:r>
      <w:r>
        <w:rPr>
          <w:rFonts w:ascii="Times New Roman;Times;serif" w:hAnsi="Times New Roman;Times;serif"/>
          <w:sz w:val="20"/>
        </w:rPr>
        <w:t>.  No stamp or other issuance or transfer taxes or duties and no capital gains, income, withholding or other taxes are payable by the Agents in the United States or any political subdivision or taxing authority thereof or therein in connection with the execution, delivery or performance of this Agreement by the Company or the sale and delivery by the Company of the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(vv)</w:t>
      </w:r>
      <w:r>
        <w:rPr>
          <w:rFonts w:ascii="Times New Roman;Times;serif" w:hAnsi="Times New Roman;Times;serif"/>
          <w:sz w:val="20"/>
          <w:u w:val="single"/>
        </w:rPr>
        <w:t>Cybersecurity</w:t>
      </w:r>
      <w:r>
        <w:rPr>
          <w:rFonts w:ascii="Times New Roman;Times;serif" w:hAnsi="Times New Roman;Times;serif"/>
          <w:sz w:val="20"/>
        </w:rPr>
        <w:t>.  To the Company’s knowledge, the Company and its subsidiaries’ information technology assets and equipment, computers, systems, networks, hardware, software, websites, applications, and databases (collectively, “</w:t>
      </w:r>
      <w:r>
        <w:rPr>
          <w:rFonts w:ascii="Times New Roman;Times;serif" w:hAnsi="Times New Roman;Times;serif"/>
          <w:b/>
          <w:sz w:val="20"/>
        </w:rPr>
        <w:t>IT Systems</w:t>
      </w:r>
      <w:r>
        <w:rPr>
          <w:rFonts w:ascii="Times New Roman;Times;serif" w:hAnsi="Times New Roman;Times;serif"/>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Times;serif" w:hAnsi="Times New Roman;Times;serif"/>
          <w:b/>
          <w:sz w:val="20"/>
        </w:rPr>
        <w:t>Personal Data</w:t>
      </w:r>
      <w:r>
        <w:rPr>
          <w:rFonts w:ascii="Times New Roman;Times;serif" w:hAnsi="Times New Roman;Times;serif"/>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if applicable to the Company, “personal data” as defined by GDPR (as defined below); (iv) if applicable to the Company, any information which would qualify as “protected health information” under HIPAA, as amended by HITECH; and (v) any other piece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and there are no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w:t>
      </w:r>
      <w:r>
        <w:rPr>
          <w:rFonts w:ascii="Times New Roman;Times;serif" w:hAnsi="Times New Roman;Times;serif"/>
          <w:sz w:val="20"/>
          <w:u w:val="single"/>
        </w:rPr>
        <w:t>Compliance with Data Privacy Laws</w:t>
      </w:r>
      <w:r>
        <w:rPr>
          <w:rFonts w:ascii="Times New Roman;Times;serif" w:hAnsi="Times New Roman;Times;serif"/>
          <w:sz w:val="20"/>
        </w:rPr>
        <w:t>.  The Company and its subsidiaries are, and at all prior times were, in material compliance with all applicable state and federal data privacy and security laws and regulations, including, without limitation, HIPAA, as amended by HITECH, and the Company and its subsidiaries have taken commercially reasonable actions to prepare to comply with, and since May 25, 2018, have been and currently are in compliance with the European Union General Data Protection Regulation (“</w:t>
      </w:r>
      <w:r>
        <w:rPr>
          <w:rFonts w:ascii="Times New Roman;Times;serif" w:hAnsi="Times New Roman;Times;serif"/>
          <w:b/>
          <w:sz w:val="20"/>
        </w:rPr>
        <w:t>GDPR</w:t>
      </w:r>
      <w:r>
        <w:rPr>
          <w:rFonts w:ascii="Times New Roman;Times;serif" w:hAnsi="Times New Roman;Times;serif"/>
          <w:sz w:val="20"/>
        </w:rPr>
        <w:t>”) (EU 2016/679) (collectively, the “</w:t>
      </w:r>
      <w:r>
        <w:rPr>
          <w:rFonts w:ascii="Times New Roman;Times;serif" w:hAnsi="Times New Roman;Times;serif"/>
          <w:b/>
          <w:sz w:val="20"/>
        </w:rPr>
        <w:t>Privacy Laws</w:t>
      </w:r>
      <w:r>
        <w:rPr>
          <w:rFonts w:ascii="Times New Roman;Times;serif" w:hAnsi="Times New Roman;Times;serif"/>
          <w:sz w:val="20"/>
        </w:rPr>
        <w:t>”) in all material respects.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sz w:val="20"/>
        </w:rPr>
        <w:t>Policies</w:t>
      </w:r>
      <w:r>
        <w:rPr>
          <w:rFonts w:ascii="Times New Roman;Times;serif" w:hAnsi="Times New Roman;Times;serif"/>
          <w:sz w:val="20"/>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(xx)</w:t>
      </w:r>
      <w:r>
        <w:rPr>
          <w:rFonts w:ascii="Times New Roman;Times;serif" w:hAnsi="Times New Roman;Times;serif"/>
          <w:sz w:val="20"/>
          <w:u w:val="single"/>
        </w:rPr>
        <w:t>No Reliance</w:t>
      </w:r>
      <w:r>
        <w:rPr>
          <w:rFonts w:ascii="Times New Roman;Times;serif" w:hAnsi="Times New Roman;Times;serif"/>
          <w:sz w:val="20"/>
        </w:rPr>
        <w:t>.  The Company has not relied upon the Agents or the Agents’ legal counsel for any legal, tax or accounting advice in connection with the offering and sale of the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(yy)</w:t>
      </w:r>
      <w:r>
        <w:rPr>
          <w:rFonts w:ascii="Times New Roman;Times;serif" w:hAnsi="Times New Roman;Times;serif"/>
          <w:sz w:val="20"/>
          <w:u w:val="single"/>
        </w:rPr>
        <w:t>Other Underwriting Agreements</w:t>
      </w:r>
      <w:r>
        <w:rPr>
          <w:rFonts w:ascii="Times New Roman;Times;serif" w:hAnsi="Times New Roman;Times;serif"/>
          <w:sz w:val="20"/>
        </w:rPr>
        <w:t>.  The Company is not a party to any agreement with an agent or underwriter for any other “at the market” or continuous equity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certificate signed by any officer or representative of the Company or any of its subsidiaries and delivered to the Agents or their counsel in connection with an issuance of Shares shall be deemed a representation and warranty by the Company to the Agents as to the matters covered thereby on the date of such certificate.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acknowledges that the Agents and, for purposes of the opinions to be delivered pursuant to Section 4(r) hereof, counsel to the Company and counsel to the Agents, will rely upon the accuracy and truthfulness of the foregoing representations and hereby consents to such reliance.</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3. ISSUANCE AND SALE OF COMMON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Sale of Securities</w:t>
      </w:r>
      <w:r>
        <w:rPr>
          <w:rFonts w:ascii="Times New Roman;Times;serif" w:hAnsi="Times New Roman;Times;serif"/>
          <w:sz w:val="20"/>
        </w:rPr>
        <w:t>.  On the basis of the representations, warranties and agreements herein contained, but subject to the terms and conditions herein set forth, the Company and the Designated Agent agree that the Company may from time to time seek to sell Shares through the Designated Agent, acting as sales agent, or directly to the Designated Agent, acting as principal, as follows, with an aggregate Sales Price of up to the Maximum Program Amount, based on and in accordance with Issuance Notices as the Company may deliver, during the Agency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Sales through Agents</w:t>
      </w:r>
      <w:r>
        <w:rPr>
          <w:rFonts w:ascii="Times New Roman;Times;serif" w:hAnsi="Times New Roman;Times;serif"/>
          <w:sz w:val="20"/>
        </w:rPr>
        <w:t>.  With respect to the offering and sale of Shares pursuant to this Agreement, the Company agrees that any offer to sell Shares, any solicitation of an offer to buy Shares, and any sales of Shares shall only be effected by or through a single Agent on any single given day, and the Company shall in no event request that more than one Agent offer or sell Shares pursuant to this Agreement on the same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Mechanics of Issuances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Issuance Notice</w:t>
      </w:r>
      <w:r>
        <w:rPr>
          <w:rFonts w:ascii="Times New Roman;Times;serif" w:hAnsi="Times New Roman;Times;serif"/>
          <w:sz w:val="20"/>
        </w:rPr>
        <w:t>.  Upon the terms and subject to the conditions set forth herein, on any Trading Day during the Agency Period on which the conditions set forth in Section 5(a) and Section 5(b) shall have been satisfied, the Company may exercise its right to request an issuance of Shares by delivering to the Designated Agent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for such Designated Agent and confirmed by the Company by telephone (including a voicemail message to the persons so identified), with the understanding that, with adequate prior written notice, the Designated Agent may modify the list of such persons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Designated Agent Efforts</w:t>
      </w:r>
      <w:r>
        <w:rPr>
          <w:rFonts w:ascii="Times New Roman;Times;serif" w:hAnsi="Times New Roman;Times;serif"/>
          <w:sz w:val="20"/>
        </w:rPr>
        <w:t>.  Upon the terms and subject to the conditions set forth in this Agreement, upon the receipt of an Issuance Notice, the Designated Agent will use its commercially reasonable efforts consistent with its normal sales and trading practices to place the Shares with respect to which the Designated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Designated Agent and the Company may modify an Issuance Notice at any time provided they both agree in writing to any such modification.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u w:val="single"/>
        </w:rPr>
        <w:t>Method of Offer and Sale</w:t>
      </w:r>
      <w:r>
        <w:rPr>
          <w:rFonts w:ascii="Times New Roman;Times;serif" w:hAnsi="Times New Roman;Times;serif"/>
          <w:sz w:val="20"/>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any party to agree to the method of offer and sale specified in the preceding sentence, and (except as specified in clauses (A) and (B) above) the method of placement of any Shares by the Designated Agent shall be at the Designated Agent’s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u w:val="single"/>
        </w:rPr>
        <w:t>Confirmation to the Company</w:t>
      </w:r>
      <w:r>
        <w:rPr>
          <w:rFonts w:ascii="Times New Roman;Times;serif" w:hAnsi="Times New Roman;Times;serif"/>
          <w:sz w:val="20"/>
        </w:rPr>
        <w:t>.  If acting as sales agent hereunder, the Designated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u w:val="single"/>
        </w:rPr>
        <w:t>Settlement</w:t>
      </w:r>
      <w:r>
        <w:rPr>
          <w:rFonts w:ascii="Times New Roman;Times;serif" w:hAnsi="Times New Roman;Times;serif"/>
          <w:sz w:val="20"/>
        </w:rPr>
        <w:t>.  Each issuance of Shares will be settled on the applicable Settlement Date for such issuance of Shares and, subject to the provisions of Section 5, on or before each Settlement Date, the Company will, or will cause its transfer agent to, electronically transfer the Shares being sold by crediting the Designated Agent or its designee’s account at The Depository Trust Company through its Deposit/Withdrawal At Custodian (DWAC) System, or by such other means of delivery as may be mutually agreed upon by the Designated Agent and the Company and, upon receipt of such Shares, which in all cases shall be freely tradable, transferable, registered shares in good deliverable form, the Designated Agent will deliver, by wire transfer of immediately available funds, the related Issuance Price in same day funds delivered to an account designated by the Company prior to the Settlement Date.  The Company may sell Shares to the Designated Agent as principal at a price agreed upon at each relevant time Shares are sold pursuant to this Agreement (each, a “</w:t>
      </w:r>
      <w:r>
        <w:rPr>
          <w:rFonts w:ascii="Times New Roman;Times;serif" w:hAnsi="Times New Roman;Times;serif"/>
          <w:b/>
          <w:sz w:val="20"/>
        </w:rPr>
        <w:t>Time of Sale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u w:val="single"/>
        </w:rPr>
        <w:t>Suspension or Termination of Sales</w:t>
      </w:r>
      <w:r>
        <w:rPr>
          <w:rFonts w:ascii="Times New Roman;Times;serif" w:hAnsi="Times New Roman;Times;serif"/>
          <w:sz w:val="20"/>
        </w:rPr>
        <w:t>.  Consistent with standard market settlement practices, the Company or the Designated Agent may, upon notice to the other party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Designated Agent confirms such sale to the Company, the Company shall still be obligated to comply with Section 3(c)(v) with respect to such Shares; and (C) if the Company defaults in its obligation to deliver Shares on a Settlement Date, the Company agrees that it will hold the Designated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Designated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Designated Agent unless it is made to the persons identified in writing by the Designated Agent pursuant to Section 3(c)(i).</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u w:val="single"/>
        </w:rPr>
        <w:t>No Guarantee of Placement, Etc</w:t>
      </w:r>
      <w:r>
        <w:rPr>
          <w:rFonts w:ascii="Times New Roman;Times;serif" w:hAnsi="Times New Roman;Times;serif"/>
          <w:sz w:val="20"/>
        </w:rPr>
        <w:t>.  The Company acknowledges and agrees that (A) there can be no assurance that the Designated Agent will be successful in placing Shares; (B) the Designated Agent will incur no liability or obligation to the Company or any other Person if it does not sell Shares; and (C) the Designated Agent shall be under no obligation to purchase Shares on a principal basis pursuant to this Agreement, except as otherwise specifically agreed by the Designated Agent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u w:val="single"/>
        </w:rPr>
        <w:t>Material Non-Public Information</w:t>
      </w:r>
      <w:r>
        <w:rPr>
          <w:rFonts w:ascii="Times New Roman;Times;serif" w:hAnsi="Times New Roman;Times;serif"/>
          <w:sz w:val="20"/>
        </w:rPr>
        <w:t>.  Notwithstanding any other provision of this Agreement, the Company and the Agents agree that the Company shall not deliver any Issuance Notice to the Agents, and the Agents shall not be obligated to place any Shares, during any period in which the Company is in possession of material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Fees</w:t>
      </w:r>
      <w:r>
        <w:rPr>
          <w:rFonts w:ascii="Times New Roman;Times;serif" w:hAnsi="Times New Roman;Times;serif"/>
          <w:sz w:val="20"/>
        </w:rPr>
        <w:t>.  As compensation for services rendered, the Company shall pay to the Designated Agent, on the applicable Settlement Date, the Selling Commission for the applicable Issuance Amount (including with respect to any suspended or terminated sale pursuant to Section 3(c)(vi)) by the Designated Agent deducting the Selling Commission from the applicable Issuance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Expenses</w:t>
      </w:r>
      <w:r>
        <w:rPr>
          <w:rFonts w:ascii="Times New Roman;Times;serif" w:hAnsi="Times New Roman;Times;serif"/>
          <w:sz w:val="20"/>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Agents in connection with qualifying or registering (or obtaining exemptions from the qualification or registration of) all or any part of the Shares for offer and sale under the state securities or blue sky laws or the provincial securities laws of Canada, and, if requested by the Agents, preparing and printing a “Blue Sky Survey” or memorandum and a “Canadian wrapper”, and any supplements thereto, advising the Agents of such qualifications, registrations, determinations and exemptions; (vii) the reasonable fees and disbursements of the Agents’ counsel, including the reasonable fees and expenses of counsel for the Agents in connection with, determining the offering’s compliance with FINRA’S Rules and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$75,000 in connection with the execution of this Agreement and shall not exceed $25,000 in connection with any Triggering Event Date that occurs pursuant to the filing by the Company of an Annual Report on Form 10-K and $15,000 in connection with any Triggering Event Date that occurs pursuant to the filing by the Company of a Quarterly Report on Form 10-Q for any fiscal quarter during which an Issuance Notice is in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4. ADDITIONAL COVENANTS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covenants and agrees with the Agents as follows, in addition to any other covenants and agreements made elsewhere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Exchange Act Compliance</w:t>
      </w:r>
      <w:r>
        <w:rPr>
          <w:rFonts w:ascii="Times New Roman;Times;serif" w:hAnsi="Times New Roman;Times;serif"/>
          <w:sz w:val="20"/>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Agents pursuant to this Agreement and (2) the net proceeds received by the Company from such sales or (B) prepare a prospectus supplement containing, or include in such other filing permitted by the Securities Act or Exchange Act (each an “</w:t>
      </w:r>
      <w:r>
        <w:rPr>
          <w:rFonts w:ascii="Times New Roman;Times;serif" w:hAnsi="Times New Roman;Times;serif"/>
          <w:b/>
          <w:sz w:val="20"/>
        </w:rPr>
        <w:t>Interim Prospectus Supplement</w:t>
      </w:r>
      <w:r>
        <w:rPr>
          <w:rFonts w:ascii="Times New Roman;Times;serif" w:hAnsi="Times New Roman;Times;serif"/>
          <w:sz w:val="20"/>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Securities Act Compliance</w:t>
      </w:r>
      <w:r>
        <w:rPr>
          <w:rFonts w:ascii="Times New Roman;Times;serif" w:hAnsi="Times New Roman;Times;serif"/>
          <w:sz w:val="20"/>
        </w:rPr>
        <w:t>.  After the date of this Agreement, the Company shall promptly advise the Agents in writing (i) of the receipt of any comments of, or requests for additional or supplemental information from, the Commission; (ii) of the time and date of any filing of any post-effective amendment to the Registration Statement or any amendment or supplement to the Prospectus, any Free Writing Prospectus; (iii) of the time and date that any post-effective amendment to the Registration Statement becomes effective; and (iv) of the issuance by the Commission of any stop order suspending the effectiveness of the Registration Statement or any post-effective amendment thereto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Amendments and Supplements to the Prospectus and Other Securities Act Matters</w:t>
      </w:r>
      <w:r>
        <w:rPr>
          <w:rFonts w:ascii="Times New Roman;Times;serif" w:hAnsi="Times New Roman;Times;serif"/>
          <w:sz w:val="20"/>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Agents or their counsel it is otherwise necessary to amend or supplement the Prospectus to comply with applicable law, including the Securities Act, the Company agrees (subject to Section 4(d) and 4(f)) to promptly prepare, file with the Commission and furnish at its own expense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Agents’ Review of Proposed Amendments and Supplements</w:t>
      </w:r>
      <w:r>
        <w:rPr>
          <w:rFonts w:ascii="Times New Roman;Times;serif" w:hAnsi="Times New Roman;Times;serif"/>
          <w:sz w:val="20"/>
        </w:rPr>
        <w:t>.  Prior to amending or supplementing the Registration Statement or the Prospectus (excluding any amendment or supplement through incorporation of any report filed under the Exchange Act), the Company shall furnish to the Agents for review, a reasonable amount of time prior to the proposed time of filing or use thereof, a copy of each such proposed amendment or supplement, and, if such proposed amendment or supplement relates to the matters contemplated by this Agreement,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Use of Free Writing Prospectus</w:t>
      </w:r>
      <w:r>
        <w:rPr>
          <w:rFonts w:ascii="Times New Roman;Times;serif" w:hAnsi="Times New Roman;Times;serif"/>
          <w:sz w:val="20"/>
        </w:rPr>
        <w:t>.  Neither the Company nor either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Times;serif" w:hAnsi="Times New Roman;Times;serif"/>
          <w:b/>
          <w:sz w:val="20"/>
        </w:rPr>
        <w:t>Free Writing Prospectus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Free Writing Prospectuses</w:t>
      </w:r>
      <w:r>
        <w:rPr>
          <w:rFonts w:ascii="Times New Roman;Times;serif" w:hAnsi="Times New Roman;Times;serif"/>
          <w:sz w:val="20"/>
        </w:rPr>
        <w:t>.  The Company shall furnish to the Agents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Agents, without charge, as many copies of any free writing prospectus prepared by or on behalf of, or used by the Company, as the Agents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Filing of Agent Free Writing Prospectuses</w:t>
      </w:r>
      <w:r>
        <w:rPr>
          <w:rFonts w:ascii="Times New Roman;Times;serif" w:hAnsi="Times New Roman;Times;serif"/>
          <w:sz w:val="20"/>
        </w:rPr>
        <w:t>.  The Company shall not take any action that would result in the Agents or the Company being required to file with the Commission pursuant to Rule 433(d) under the Securities Act a free writing prospectus prepared by or on behalf of the Agents that the Agents otherwise would not have been required to file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Copies of Registration Statement and Prospectus</w:t>
      </w:r>
      <w:r>
        <w:rPr>
          <w:rFonts w:ascii="Times New Roman;Times;serif" w:hAnsi="Times New Roman;Times;serif"/>
          <w:sz w:val="20"/>
        </w:rPr>
        <w:t>.  After the date of this Agreement through the last time that a prospectus is required by the Securities Act (including, without limitation, pursuant to Rule 173(d)) to be delivered by the Designated Agent in connection with sales of the Shares, the Company agrees to furnish the Agents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Agents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Agents and to request that the Designated Agent suspend offers to sell Shares (and, if so notified, the Designated Agent shall cease such offers as soon as practicable); and if the Company decides to amend or supplement the Registration Statement or the Prospectus as then amended or supplemented, to advise the Designated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Designated Agent is required to deliver a prospectus in respect of transactions in the Shares, the Company shall promptly prepare and file with the Commission such an amendment or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Blue Sky Compliance</w:t>
      </w:r>
      <w:r>
        <w:rPr>
          <w:rFonts w:ascii="Times New Roman;Times;serif" w:hAnsi="Times New Roman;Times;serif"/>
          <w:sz w:val="20"/>
        </w:rPr>
        <w:t>.  The Company shall cooperate with the Agents and counsel for the Agents to qualify or register the Shares for sale under (or obtain exemptions from the application of) the state securities or blue sky laws or Canadian provincial securities laws of those jurisdictions designated by the Agents,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as soon as practicable.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Earnings Statement</w:t>
      </w:r>
      <w:r>
        <w:rPr>
          <w:rFonts w:ascii="Times New Roman;Times;serif" w:hAnsi="Times New Roman;Times;serif"/>
          <w:sz w:val="20"/>
        </w:rPr>
        <w:t>.  As soon as practicable, the Company will make generally available to its security holders and to the Agents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Listing; Reservation of Shares</w:t>
      </w:r>
      <w:r>
        <w:rPr>
          <w:rFonts w:ascii="Times New Roman;Times;serif" w:hAnsi="Times New Roman;Times;serif"/>
          <w:sz w:val="20"/>
        </w:rPr>
        <w:t>.  (i) The Company will maintain the listing of the Shares on the Principal Market; and (ii) the Company will reserve and keep available at all times, free of preemptive rights, Shares for the purpose of enabling the Company to satisfy its obligations under this Agreement. At any time that the Company issues an Issuance Notice prior to effecting an amendment to its Amended and Restated Certificate of Incorporation to increase the authorized number of Common Shares, the Company shall advise the Agents of the number of Common Shares available for issuance pursuant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Transfer Agent</w:t>
      </w:r>
      <w:r>
        <w:rPr>
          <w:rFonts w:ascii="Times New Roman;Times;serif" w:hAnsi="Times New Roman;Times;serif"/>
          <w:sz w:val="20"/>
        </w:rPr>
        <w:t>.  The Company shall engage and maintain, at its expense, a registrar and transfer agent for the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Due Diligence</w:t>
      </w:r>
      <w:r>
        <w:rPr>
          <w:rFonts w:ascii="Times New Roman;Times;serif" w:hAnsi="Times New Roman;Times;serif"/>
          <w:sz w:val="20"/>
        </w:rPr>
        <w:t>.  During the term of this Agreement, the Company will reasonably cooperate with any reasonable due diligence review conducted by the Agents in connection with the transactions contemplated hereby, including, without limitation, providing information and making available documents and senior corporate officers, during normal business hours and at the Company’s principal offices, as the Agents may reasonably request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Well-Known Seasoned Issuer Status</w:t>
      </w:r>
      <w:r>
        <w:rPr>
          <w:rFonts w:ascii="Times New Roman;Times;serif" w:hAnsi="Times New Roman;Times;serif"/>
          <w:sz w:val="20"/>
        </w:rPr>
        <w:t>. The Company will promptly notify the Agents if the Company loses its status as a “well-known seasoned issuer” (as defined in Rule 405) as of the time the Company files with the Commission an annual report on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Filing Fees</w:t>
      </w:r>
      <w:r>
        <w:rPr>
          <w:rFonts w:ascii="Times New Roman;Times;serif" w:hAnsi="Times New Roman;Times;serif"/>
          <w:sz w:val="20"/>
        </w:rPr>
        <w:t>. The Company will pay the required Commission filing fees relating to the Shares within the time required by Rule 456(b)(1) under the Securities Act without regard to the proviso therein and otherwise in accordance with Rule 456(b) and 457(r)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Representations and Warranties</w:t>
      </w:r>
      <w:r>
        <w:rPr>
          <w:rFonts w:ascii="Times New Roman;Times;serif" w:hAnsi="Times New Roman;Times;serif"/>
          <w:sz w:val="20"/>
        </w:rPr>
        <w:t>.  The Company acknowledges that each delivery of an Issuance Notice and each delivery of Shares on a Settlement Date shall be deemed to be (i) an affirmation to the Designated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Designated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Deliverables at Triggering Event Dates; Certificates</w:t>
      </w:r>
      <w:r>
        <w:rPr>
          <w:rFonts w:ascii="Times New Roman;Times;serif" w:hAnsi="Times New Roman;Times;serif"/>
          <w:sz w:val="20"/>
        </w:rPr>
        <w:t>.  The Company agrees that on or prior to the date of the first Issuance Notice and, during the term of this Agreement after the date of the first Issuance Notice, upon: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such event, a “</w:t>
      </w:r>
      <w:r>
        <w:rPr>
          <w:rFonts w:ascii="Times New Roman;Times;serif" w:hAnsi="Times New Roman;Times;serif"/>
          <w:b/>
          <w:sz w:val="20"/>
        </w:rPr>
        <w:t>Triggering Event Date</w:t>
      </w:r>
      <w:r>
        <w:rPr>
          <w:rFonts w:ascii="Times New Roman;Times;serif" w:hAnsi="Times New Roman;Times;serif"/>
          <w:sz w:val="20"/>
        </w:rPr>
        <w:t>”), the Company shall furnish the Agents (but in the case of clause (C) above only if the Agents reasonably determine that the information contained in such current report on Form 8-K of the Company is material) with a certificate as of the Triggering Event Date, in the form and substance satisfactory to the Agents and their counsel, substantially similar to the form previously provided to the Agents and their counsel, modified, as necessary, to relate to the Registration Statement and the Prospectus as amended or supplemented, (x) confirming that the representations and warranties of the Company contained in this Agreement are true and correct, (y) confirming that the Company has performed all of its obligations hereunder to be performed on or prior to the date of such certificate and as to the matters set forth in Section 5(a)(iii) hereof, and (z) containing any other certification that the Agents shall reasonably request.  The requirement to provide a certificate under this Section 4(q)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Agents with a certificate under this Section 4(q), then before the Company delivers the instructions for the sale of Shares or the Agents sell any Shares pursuant to such instructions, the Company shall provide the Agents with a certificate in conformity with this Section 4(q) dated as of the date that the instructions for the sale of Shares are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u w:val="single"/>
        </w:rPr>
        <w:t>Legal Opinions</w:t>
      </w:r>
      <w:r>
        <w:rPr>
          <w:rFonts w:ascii="Times New Roman;Times;serif" w:hAnsi="Times New Roman;Times;serif"/>
          <w:sz w:val="20"/>
        </w:rPr>
        <w:t>.  On or prior to the date of the first Issuance Notice and on or prior to each Triggering Event Date with respect to which the Company is obligated to deliver a certificate pursuant to Section 4(q) for which no waiver is applicable and excluding the date of this Agreement, a negative assurance letter and the written legal opinion of Cooley LLP (the “</w:t>
      </w:r>
      <w:r>
        <w:rPr>
          <w:rFonts w:ascii="Times New Roman;Times;serif" w:hAnsi="Times New Roman;Times;serif"/>
          <w:b/>
          <w:sz w:val="20"/>
        </w:rPr>
        <w:t>Corporate Opinion</w:t>
      </w:r>
      <w:r>
        <w:rPr>
          <w:rFonts w:ascii="Times New Roman;Times;serif" w:hAnsi="Times New Roman;Times;serif"/>
          <w:sz w:val="20"/>
        </w:rPr>
        <w:t>”), counsel to the Company, and DLA Piper LLP, intellectual property counsel to the Company (the “</w:t>
      </w:r>
      <w:r>
        <w:rPr>
          <w:rFonts w:ascii="Times New Roman;Times;serif" w:hAnsi="Times New Roman;Times;serif"/>
          <w:b/>
          <w:sz w:val="20"/>
        </w:rPr>
        <w:t>IP Opinion</w:t>
      </w:r>
      <w:r>
        <w:rPr>
          <w:rFonts w:ascii="Times New Roman;Times;serif" w:hAnsi="Times New Roman;Times;serif"/>
          <w:sz w:val="20"/>
        </w:rPr>
        <w:t>”), each dated the date of delivery, in form and substance reasonably satisfactory to Agents and their counsel, substantially similar to the form previously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provided to the Agents and their counsel, modified, as necessary, to relate to the Registration Statement and the Prospectus as then amended or supplemented shall be furnished to the Agents; provided, however, the Company shall be required to furnish no more than one Corporate Opinion hereunder per calendar year and shall otherwise be required to only furnish a negative assurance letter and one IP Opinion hereunder per calendar year, including on or prior to the first Issuance Notice hereunder.  In lieu of such opinions for subsequent periodic filings, in the discretion of the Agents, the Company may furnish a reliance letter from such counsel to the Agents, permitting the Agents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u w:val="single"/>
        </w:rPr>
        <w:t>Comfort Letter</w:t>
      </w:r>
      <w:r>
        <w:rPr>
          <w:rFonts w:ascii="Times New Roman;Times;serif" w:hAnsi="Times New Roman;Times;serif"/>
          <w:sz w:val="20"/>
        </w:rPr>
        <w:t>.  On or prior to the date of the first Issuance Notice and on or prior to each Triggering Event Date with respect to which the Company is obligated to deliver a certificate pursuant to Section 4(q)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Agents a comfort letter, dated the date of delivery, in form and substance reasonably satisfactory to the Agents and their counsel, substantially similar to the form previously provided to the Agents and their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Agents, the Company shall also cause a comfort letter to be furnished to the Agents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u w:val="single"/>
        </w:rPr>
        <w:t>Secretary’s Certificate</w:t>
      </w:r>
      <w:r>
        <w:rPr>
          <w:rFonts w:ascii="Times New Roman;Times;serif" w:hAnsi="Times New Roman;Times;serif"/>
          <w:sz w:val="20"/>
        </w:rPr>
        <w:t>.  On or prior to the date of the first Issuance Notice and on or prior to each Triggering Event Date, the Company shall furnish the Agents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Agents shall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u w:val="single"/>
        </w:rPr>
        <w:t>Agents’ Own Account; Clients’ Account</w:t>
      </w:r>
      <w:r>
        <w:rPr>
          <w:rFonts w:ascii="Times New Roman;Times;serif" w:hAnsi="Times New Roman;Times;serif"/>
          <w:sz w:val="20"/>
        </w:rPr>
        <w:t>.  The Company consents to the Agents trading, in compliance with applicable law, in the Common Shares for the Agents’ own account and for the account of its clients at the same time as sales of the Shares occur pursuant to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u w:val="single"/>
        </w:rPr>
        <w:t>Investment Limitation</w:t>
      </w:r>
      <w:r>
        <w:rPr>
          <w:rFonts w:ascii="Times New Roman;Times;serif" w:hAnsi="Times New Roman;Times;serif"/>
          <w:sz w:val="20"/>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sz w:val="20"/>
          <w:u w:val="single"/>
        </w:rPr>
        <w:t>Market Activities</w:t>
      </w:r>
      <w:r>
        <w:rPr>
          <w:rFonts w:ascii="Times New Roman;Times;serif" w:hAnsi="Times New Roman;Times;serif"/>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Times;serif" w:hAnsi="Times New Roman;Times;serif"/>
          <w:b/>
          <w:sz w:val="20"/>
        </w:rPr>
        <w:t>Rule 102</w:t>
      </w:r>
      <w:r>
        <w:rPr>
          <w:rFonts w:ascii="Times New Roman;Times;serif" w:hAnsi="Times New Roman;Times;serif"/>
          <w:sz w:val="20"/>
        </w:rPr>
        <w:t>”) do not apply with respect to the Shares or any other reference security pursuant to any exception set forth in Section (d) of Rule 102, then promptly upon notice from the Agents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Agents if it no longer meets the requirements set forth in Section (d) of Rule 102.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u w:val="single"/>
        </w:rPr>
        <w:t>Notice of Other Sale</w:t>
      </w:r>
      <w:r>
        <w:rPr>
          <w:rFonts w:ascii="Times New Roman;Times;serif" w:hAnsi="Times New Roman;Times;serif"/>
          <w:sz w:val="20"/>
        </w:rPr>
        <w:t>.  Without the written consent of the Agents,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Designated Agent hereunder and ending on the third Trading Day immediately following the Settlement Date with respect to Shares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Stock Market LLC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issuance or sale of Common Shares or securities convertible into or exchangeable for Common Shares as consideration for mergers, acquisitions, other business combinations, joint ventures or strategic alliances (each a “</w:t>
      </w:r>
      <w:r>
        <w:rPr>
          <w:rFonts w:ascii="Times New Roman;Times;serif" w:hAnsi="Times New Roman;Times;serif"/>
          <w:b/>
          <w:sz w:val="20"/>
        </w:rPr>
        <w:t>Business Transaction</w:t>
      </w:r>
      <w:r>
        <w:rPr>
          <w:rFonts w:ascii="Times New Roman;Times;serif" w:hAnsi="Times New Roman;Times;serif"/>
          <w:sz w:val="20"/>
        </w:rPr>
        <w:t>”) occurring after the date of this Agreement which are not used for capital raising purposes; provided, that the aggregate number of Common Shares issued, or issuable pursuant to the conversion or exchange of securities convertible into or exchangeable for Common Shares, in connection with such Business Transaction does not exceed 5% of the aggregate number of Common Shares outstanding immediately prior to such Business Transaction and (iv) modification of any outstanding options, warrants of any rights to purchase or acquire Common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5. CONDITIONS TO DELIVERY OF ISSUANCE NOTICES AND TO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Conditions Precedent to the Right of the Company to Deliver an Issuance Notice and the Obligation of the Designated Agent to Sell Shares</w:t>
      </w:r>
      <w:r>
        <w:rPr>
          <w:rFonts w:ascii="Times New Roman;Times;serif" w:hAnsi="Times New Roman;Times;serif"/>
          <w:sz w:val="20"/>
        </w:rPr>
        <w:t>.  The right of the Company to deliver an Issuance Notice hereunder is subject to the satisfaction, on the date of delivery of such Issuance Notice, and the obligation of the Designated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Accuracy of the Company’s Representations and Warranties; Performance by the Company</w:t>
      </w:r>
      <w:r>
        <w:rPr>
          <w:rFonts w:ascii="Times New Roman;Times;serif" w:hAnsi="Times New Roman;Times;serif"/>
          <w:sz w:val="20"/>
        </w:rPr>
        <w:t>.  The Company shall have delivered the certificate required to be delivered pursuant to Section 4(q) on or before the date on which delivery of such certificate is required pursuant to Section 4(q).  The Company shall have performed, satisfied and complied with all covenants, agreements and conditions required by this Agreement to be performed, satisfied or complied with by the Company at or prior to such date, including, but not limited to, the covenants contained in Section 4(r), Section 4(s) and Section 4(t).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No Injunction</w:t>
      </w:r>
      <w:r>
        <w:rPr>
          <w:rFonts w:ascii="Times New Roman;Times;serif" w:hAnsi="Times New Roman;Times;serif"/>
          <w:sz w:val="20"/>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u w:val="single"/>
        </w:rPr>
        <w:t>Material Adverse Changes</w:t>
      </w:r>
      <w:r>
        <w:rPr>
          <w:rFonts w:ascii="Times New Roman;Times;serif" w:hAnsi="Times New Roman;Times;serif"/>
          <w:sz w:val="20"/>
        </w:rPr>
        <w:t>.  Except as disclosed in the Prospectus and the Time of Sale Information, (x) in the judgment of the Agents there shall not have occurred any Material Adverse Change; and (y)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u w:val="single"/>
        </w:rPr>
        <w:t>No Suspension of Trading in or Delisting of Common Shares; Other Events</w:t>
      </w:r>
      <w:r>
        <w:rPr>
          <w:rFonts w:ascii="Times New Roman;Times;serif" w:hAnsi="Times New Roman;Times;serif"/>
          <w:sz w:val="20"/>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(x) and (y) below) any of the following: (x)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FINRA; (y) a general banking moratorium shall have been declared by any of federal or New York, authorities; or (z) there shall have occurred any outbreak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Agents is material and adverse and makes it impracticable to market the Shares in the manner and on the terms described in the Prospectus or to enforce contracts for the sale of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Documents Required to be Delivered on each Issuance Notice Date</w:t>
      </w:r>
      <w:r>
        <w:rPr>
          <w:rFonts w:ascii="Times New Roman;Times;serif" w:hAnsi="Times New Roman;Times;serif"/>
          <w:sz w:val="20"/>
        </w:rPr>
        <w:t>.  The Designated Agent’s obligation to use its commercially reasonable efforts to place Shares hereunder shall additionally be conditioned upon the delivery to the Designated Agent on or before the Issuance Notice Date of a certificate in form and substance reasonably satisfactory to the Designated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Misstatement or Material Omission</w:t>
      </w:r>
      <w:r>
        <w:rPr>
          <w:rFonts w:ascii="Times New Roman;Times;serif" w:hAnsi="Times New Roman;Times;serif"/>
          <w:sz w:val="20"/>
        </w:rPr>
        <w:t>.  Agents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6. INDEMNIFICATION AND CONTRIBUTION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Indemnification of the Agents</w:t>
      </w:r>
      <w:r>
        <w:rPr>
          <w:rFonts w:ascii="Times New Roman;Times;serif" w:hAnsi="Times New Roman;Times;serif"/>
          <w:sz w:val="20"/>
        </w:rPr>
        <w:t>.  The Company agrees to indemnify and hold harmless each Agent, each of their officers and employees, and each person, if any, who controls the applicable Agent within the meaning of the Securities Act or the Exchange Act against any loss, claim, damage, liability or expense, as incurred, joint or several, to which the Agents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an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clause (iii) to the extent that a court of competent jurisdiction shall have determined by a final judgment that such loss, claim, damage, liability or action resulted directly from any such acts or failures to act undertaken or omitted to be taken by such Agent through its bad faith or willful misconduct, and to reimburse such Agent and each such officer, employee and controlling person for any and all documented expenses (including the fees and disbursements of counsel chosen by such Agent) as such expenses are reasonably incurred by such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such Agent expressly for use in the Registration Statement, any such Free Writing Prospectus or the Prospectus (or any amendment or supplement thereto), it being understood and agreed that the only such information furnished by such Agent to the Company consists solely of the name of such Agent and the last sentence of the eighth paragraph under the caption “Plan of Distribution” in the Prospectus (collectively, the “</w:t>
      </w:r>
      <w:r>
        <w:rPr>
          <w:rFonts w:ascii="Times New Roman;Times;serif" w:hAnsi="Times New Roman;Times;serif"/>
          <w:b/>
          <w:sz w:val="20"/>
        </w:rPr>
        <w:t>Agents Information</w:t>
      </w:r>
      <w:r>
        <w:rPr>
          <w:rFonts w:ascii="Times New Roman;Times;serif" w:hAnsi="Times New Roman;Times;serif"/>
          <w:sz w:val="20"/>
        </w:rPr>
        <w:t>”).  The indemnity agreement set forth in this Section 6(a) shall be in addition to any liabilities that the Company may otherwise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Indemnification of the Company, its Directors and Officers</w:t>
      </w:r>
      <w:r>
        <w:rPr>
          <w:rFonts w:ascii="Times New Roman;Times;serif" w:hAnsi="Times New Roman;Times;serif"/>
          <w:sz w:val="20"/>
        </w:rPr>
        <w:t>.  Each Agent, severally and not jointly,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solely of the Agents Information, and to reimburse the Company and each such director, officer and controlling person for any and all documented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expense or action.  The indemnity agreement set forth in this Section 6(b) shall be in addition to any liabilities that the Agents may otherwise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Notifications and Other Indemnification Procedures</w:t>
      </w:r>
      <w:r>
        <w:rPr>
          <w:rFonts w:ascii="Times New Roman;Times;serif" w:hAnsi="Times New Roman;Times;serif"/>
          <w:sz w:val="20"/>
        </w:rPr>
        <w:t>.  Promptly after receipt by an indemnified party under this Section 6 of notice of the commencement of any action, such indemnified party will, if a claim in respect thereof is to be made against an indemnifying party under this Section 6,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(not to be unreasonably withheld, delayed or conditioned),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Agents (in the case of counsel for the indemnified parties referred to in Section 6(a) above) or the Company (in the case of counsel for the indemnified parties referred to in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Settlements</w:t>
      </w:r>
      <w:r>
        <w:rPr>
          <w:rFonts w:ascii="Times New Roman;Times;serif" w:hAnsi="Times New Roman;Times;serif"/>
          <w:sz w:val="20"/>
        </w:rPr>
        <w:t>.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counsel as contemplated by Section 6(c)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Contribution</w:t>
      </w:r>
      <w:r>
        <w:rPr>
          <w:rFonts w:ascii="Times New Roman;Times;serif" w:hAnsi="Times New Roman;Times;serif"/>
          <w:sz w:val="20"/>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Agents,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such Agent, on the other hand, in connection with the statements or omissions which resulted in such losses, claims, damages, liabilities or expenses, as well as any other relevant equitable considerations.  The relative benefits received by the Company, on the one hand, and such Agent, on the other hand, in connection with the offering of the Shares pursuant to this Agreement shall be deemed to be in the same respective proportions as the total gross proceeds from the offering of the Shares (before deducting expenses) received by the Company from the applicable Agent bear to the total commissions received by such Agent.  The relative fault of the Company, on the one hand, and such Agent, on the other hand, shall be determined by reference to, among other things, whether any such untrue or alleged untrue statement of a material fact or omission or alleged omission to state a material fact relates to information supplied by the Company, on the one hand, or such Agent, on the other hand, and the parties’ relative intent, knowledge, access to information and opportunity to correct or prevent such statement or omission.  The Agents’ respective obligations to contribute pursuant to this Section 6(e) are several in proportion to the respective number of Shares they have sold hereunder, and not joint.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amount paid or payable by a party as a result of the losses, claims, damages, liabilities and expenses referred to above shall be deemed to include, subject to the limitations set forth in Section 6(c), any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Section 6(e); provided, however, that no additional notice shall be required with respect to any action for which notice has been given under Section 6(c) for purposes of indemnification.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and the Agents agree that it would not be just and equitable if contribution pursuant to this Section 6(e) were determined by pro rata allocation or by any other method of allocation which does not take account of the equitable considerations referred to in this Section 6(e).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provisions of this Section 6(e), an Agent shall not be required to contribute any amount in excess of the agent fees received by such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Section 6(e), each officer and employee of such Agent and each person, if any, who controls such Agent within the meaning of the Securities Act or the Exchange Act shall have the same rights to contribution as such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7. TERMINATION &amp; SURVIVAL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Term</w:t>
      </w:r>
      <w:r>
        <w:rPr>
          <w:rFonts w:ascii="Times New Roman;Times;serif" w:hAnsi="Times New Roman;Times;serif"/>
          <w:sz w:val="20"/>
        </w:rPr>
        <w:t>.  Subject to the provisions of this Section 7, the term of this Agreement shall continue from the date of this Agreement until the end of the Agency Period, unless earlier terminated by the parties to this Agreement pursuant to this Section 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Termination; Survival Following Termination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may terminate this Agreement prior to the end of the Agency Period, by giving written notice as required by this Agreement, upon ten (10) Trading Days’ notice to the Agents; provided that (A) if the Company terminates this Agreement after the Designated Agent confirms to the Company any sale of Shares, the Company shall remain obligated to comply with Section 3(c)(v) with respect to such Shares and (B) Section 2, Section 6, Section 7 and Section 8 shall survive termination of this Agreement.  If termination shall occur prior to the Settlement Date for any sale of Shares, such sale shall nevertheless settle in accordance with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Each Agent may terminate its rights and obligations under this Agreement prior to the end of the Agency Period, by giving written notice as required by this Agreement, upon ten (10) Trading Days’ notice to the Company.  If termination shall occur prior to the Settlement Date for any sale of Shares, such sale shall nevertheless settle in accordance with the terms of this Agreement.  For avoidance of doubt, the termination by one Agent of its rights and obligations under this Agreement pursuant to this Section 7(b) shall not affect the rights and obligations of the other Agent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addition to the survival provision of Section 7(b)(i), the respective indemnities, agreements, representations, warranties and other statements of the Company, of its officers and of the Agents set forth in or made pursuant to this Agreement will remain in full force and effect, regardless of any investigation made by or on behalf of the Agents or the Company or any of its or their partners, officers or directors or any controlling person, as the case may be, and, anything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herein to the contrary notwithstanding, will survive delivery of and payment for the Shares sold hereunder and any termination of this Agreement.</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Section 8. 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Press Releases and Disclosure</w:t>
      </w:r>
      <w:r>
        <w:rPr>
          <w:rFonts w:ascii="Times New Roman;Times;serif" w:hAnsi="Times New Roman;Times;serif"/>
          <w:sz w:val="20"/>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Agents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parties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parties prior to making such disclosure, and the parties shall use all commercially reasonable efforts, acting in good faith, to agree upon a text for such disclosure that is reasonably satisfactory to all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No Advisory or Fiduciary Relationship</w:t>
      </w:r>
      <w:r>
        <w:rPr>
          <w:rFonts w:ascii="Times New Roman;Times;serif" w:hAnsi="Times New Roman;Times;serif"/>
          <w:sz w:val="20"/>
        </w:rPr>
        <w:t>.  The Company acknowledges and agrees that (i) the transactions contemplated by this Agreement, including the determination of any fees, are arm’s-length commercial transactions between the Company and the Agents, (ii) when acting as a principal under this Agreement, each Agent is and has been acting solely as a principal is not the agent or fiduciary of the Company, or its stockholders, creditors, employees or any other party, (iii) such Agent has not assumed nor will assume an advisory or fiduciary responsibility in favor of the Company with respect to the transactions contemplated hereby or the process leading thereto (irrespective of whether such Agent has advised or is currently advising the Company on other matters) and such Agent does not have any obligation to the Company with respect to the transactions contemplated hereby except the obligations expressly set forth in this Agreement, (iv) such Agent and its respective affiliates may be engaged in a broad range of transactions that involve interests that differ from those of the Company, and (v) such Agent has not provided any legal, accounting, regulatory or tax advice with respect to the transactions contemplated hereby and the Company has consulted its own legal, accounting, regulatory and tax advisors to the extent it deemed appropriate.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Research Analyst Independence</w:t>
      </w:r>
      <w:r>
        <w:rPr>
          <w:rFonts w:ascii="Times New Roman;Times;serif" w:hAnsi="Times New Roman;Times;serif"/>
          <w:sz w:val="20"/>
        </w:rPr>
        <w:t>.  The Company acknowledges that each Agent’s respective research analysts and research departments are required to and should be independent from their respective investment banking divisions and are subject to certain regulations and internal policies, and as such, such Agent’s research analysts may hold views and make statements or investment recommendations and/or publish research reports with respect to the Company or the offering that differ from the views of their respective investment banking divisions.  The Company understands that each Agent is a full service securities firm and as such from time to time, subject to applicable securities laws, may effect transactions for its own account 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 of its customers and hold long or short positions in debt or equity securities of the companies that may be the subject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Notices</w:t>
      </w:r>
      <w:r>
        <w:rPr>
          <w:rFonts w:ascii="Times New Roman;Times;serif" w:hAnsi="Times New Roman;Times;serif"/>
          <w:sz w:val="20"/>
        </w:rPr>
        <w:t>.  All communications hereunder shall be in writing and shall be mailed, hand delivered, e-mailed or telecopied and confirmed to the parties hereto as follows:</w:t>
      </w:r>
    </w:p>
    <w:p>
      <w:pPr>
        <w:pStyle w:val="TextBody"/>
        <w:bidi w:val="0"/>
        <w:spacing w:before="0" w:after="240"/>
        <w:ind w:left="180" w:right="0" w:hanging="0"/>
        <w:jc w:val="both"/>
        <w:rPr>
          <w:rFonts w:ascii="Times New Roman;Times;serif" w:hAnsi="Times New Roman;Times;serif"/>
          <w:sz w:val="20"/>
        </w:rPr>
      </w:pPr>
      <w:r>
        <w:rPr>
          <w:rFonts w:ascii="Times New Roman;Times;serif" w:hAnsi="Times New Roman;Times;serif"/>
          <w:sz w:val="20"/>
        </w:rPr>
        <w:t>If to the Agents: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Leerink Partners LLC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1301 Avenue of the Americas, 5th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New York 10019</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Peter M. Fry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E-mail: </w:t>
      </w:r>
    </w:p>
    <w:p>
      <w:pPr>
        <w:pStyle w:val="TextBody"/>
        <w:bidi w:val="0"/>
        <w:spacing w:before="0" w:after="240"/>
        <w:ind w:left="180" w:right="0" w:hanging="0"/>
        <w:jc w:val="both"/>
        <w:rPr>
          <w:rFonts w:ascii="Times New Roman;Times;serif" w:hAnsi="Times New Roman;Times;serif"/>
          <w:sz w:val="20"/>
        </w:rPr>
      </w:pPr>
      <w:r>
        <w:rPr>
          <w:rFonts w:ascii="Times New Roman;Times;serif" w:hAnsi="Times New Roman;Times;serif"/>
          <w:sz w:val="20"/>
        </w:rPr>
        <w:t>with copies (which shall not constitute notice) to:</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Leerink Partners LLC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1301 Avenue of the Americas, 5th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New York 10019</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Legal Department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E-mail: </w:t>
      </w:r>
    </w:p>
    <w:p>
      <w:pPr>
        <w:pStyle w:val="TextBody"/>
        <w:bidi w:val="0"/>
        <w:spacing w:before="0" w:after="240"/>
        <w:ind w:left="180" w:right="0" w:hanging="0"/>
        <w:jc w:val="both"/>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Cantor Fitzgerald &amp; Co.</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499 Park Avenue</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New York 10022</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Capital Markets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Facsimile: (212) 307-3730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Email: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Cantor Fitzgerald &amp; Co.</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499 Park Avenue</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New York 10022</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General Counsel</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Facsimile: (212) 307-3730</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Email: </w:t>
      </w:r>
    </w:p>
    <w:p>
      <w:pPr>
        <w:pStyle w:val="TextBody"/>
        <w:bidi w:val="0"/>
        <w:spacing w:before="0" w:after="240"/>
        <w:ind w:left="180" w:right="0" w:hanging="0"/>
        <w:jc w:val="both"/>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Covington &amp; Burling LLP</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30 Hudson Yards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New York 10001</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Brian K. Rosenzweig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E-mail: </w:t>
      </w:r>
    </w:p>
    <w:p>
      <w:pPr>
        <w:pStyle w:val="TextBody"/>
        <w:bidi w:val="0"/>
        <w:spacing w:before="0" w:after="240"/>
        <w:ind w:left="180" w:right="0" w:hanging="0"/>
        <w:jc w:val="both"/>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Aclaris Therapeutics,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701 Lee Road, Suite 103</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Wayne, Pennsylvania 19087</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Matthew Rothman</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E-mail: </w:t>
      </w:r>
    </w:p>
    <w:p>
      <w:pPr>
        <w:pStyle w:val="TextBody"/>
        <w:bidi w:val="0"/>
        <w:spacing w:before="0" w:after="0"/>
        <w:ind w:left="720" w:right="0" w:hanging="0"/>
        <w:jc w:val="left"/>
        <w:rPr/>
      </w:pPr>
      <w:r>
        <w:rPr/>
        <w:t>​</w:t>
      </w:r>
    </w:p>
    <w:p>
      <w:pPr>
        <w:pStyle w:val="TextBody"/>
        <w:bidi w:val="0"/>
        <w:spacing w:before="0" w:after="240"/>
        <w:ind w:left="180" w:right="0" w:hanging="0"/>
        <w:jc w:val="both"/>
        <w:rPr>
          <w:rFonts w:ascii="Times New Roman;Times;serif" w:hAnsi="Times New Roman;Times;serif"/>
          <w:sz w:val="20"/>
        </w:rPr>
      </w:pPr>
      <w:r>
        <w:rPr>
          <w:rFonts w:ascii="Times New Roman;Times;serif" w:hAnsi="Times New Roman;Times;serif"/>
          <w:sz w:val="20"/>
        </w:rPr>
        <w:t>with a copy (which shall not constitute notice) to:</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Cooley LLP</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11951 Freedom Drive, 14th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Reston, Virginia 20190-5640</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Facsimile: (703) 456-8100</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Mark Ballantyne, Esq.</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E-mail: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party hereto may change the address for receipt of communications by giving written notice to the others in accordance with this Section 8(d).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Successors</w:t>
      </w:r>
      <w:r>
        <w:rPr>
          <w:rFonts w:ascii="Times New Roman;Times;serif" w:hAnsi="Times New Roman;Times;serif"/>
          <w:sz w:val="20"/>
        </w:rPr>
        <w:t>.  This Agreement will inure to the benefit of and be binding upon the parties hereto, and to the benefit of the employees, officers and directors and controlling persons referred to in Section 6, and in each case their respective successors, and no other person will have any right or obligation hereunder.  The term “successors” shall not include any purchaser of the Shares as such from the Agents merely by reason of such purchase.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Partial Unenforceability</w:t>
      </w:r>
      <w:r>
        <w:rPr>
          <w:rFonts w:ascii="Times New Roman;Times;serif" w:hAnsi="Times New Roman;Times;serif"/>
          <w:sz w:val="20"/>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Governing Law Provisions</w:t>
      </w:r>
      <w:r>
        <w:rPr>
          <w:rFonts w:ascii="Times New Roman;Times;serif" w:hAnsi="Times New Roman;Times;serif"/>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sz w:val="20"/>
        </w:rPr>
        <w:t>Specified Courts</w:t>
      </w:r>
      <w:r>
        <w:rPr>
          <w:rFonts w:ascii="Times New Roman;Times;serif" w:hAnsi="Times New Roman;Times;serif"/>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General Provisions</w:t>
      </w:r>
      <w:r>
        <w:rPr>
          <w:rFonts w:ascii="Times New Roman;Times;serif" w:hAnsi="Times New Roman;Times;serif"/>
          <w:sz w:val="20"/>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Immediately Follows]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tbl>
      <w:tblPr>
        <w:tblW w:w="3184" w:type="dxa"/>
        <w:jc w:val="left"/>
        <w:tblInd w:w="0" w:type="dxa"/>
        <w:tblLayout w:type="fixed"/>
        <w:tblCellMar>
          <w:top w:w="0" w:type="dxa"/>
          <w:left w:w="0" w:type="dxa"/>
          <w:bottom w:w="0" w:type="dxa"/>
          <w:right w:w="0" w:type="dxa"/>
        </w:tblCellMar>
      </w:tblPr>
      <w:tblGrid>
        <w:gridCol w:w="124"/>
        <w:gridCol w:w="952"/>
        <w:gridCol w:w="2108"/>
      </w:tblGrid>
      <w:tr>
        <w:trPr/>
        <w:tc>
          <w:tcPr>
            <w:tcW w:w="124" w:type="dxa"/>
            <w:tcBorders/>
            <w:vAlign w:val="center"/>
          </w:tcPr>
          <w:p>
            <w:pPr>
              <w:pStyle w:val="TableContents"/>
              <w:bidi w:val="0"/>
              <w:spacing w:before="0" w:after="0"/>
              <w:ind w:left="0" w:right="0" w:hanging="0"/>
              <w:jc w:val="left"/>
              <w:rPr/>
            </w:pPr>
            <w:r>
              <w:rPr/>
              <w:t>​</w:t>
            </w:r>
          </w:p>
        </w:tc>
        <w:tc>
          <w:tcPr>
            <w:tcW w:w="30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30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6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ACLARIS THERAPEUTICS, INC.</w:t>
            </w:r>
          </w:p>
        </w:tc>
      </w:tr>
      <w:tr>
        <w:trPr/>
        <w:tc>
          <w:tcPr>
            <w:tcW w:w="124" w:type="dxa"/>
            <w:tcBorders/>
            <w:vAlign w:val="center"/>
          </w:tcPr>
          <w:p>
            <w:pPr>
              <w:pStyle w:val="TableContents"/>
              <w:bidi w:val="0"/>
              <w:spacing w:before="0" w:after="0"/>
              <w:ind w:left="0" w:right="0" w:hanging="0"/>
              <w:jc w:val="left"/>
              <w:rPr/>
            </w:pPr>
            <w:r>
              <w:rPr/>
              <w:t>​</w:t>
            </w:r>
          </w:p>
        </w:tc>
        <w:tc>
          <w:tcPr>
            <w:tcW w:w="30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Walker</w:t>
            </w:r>
          </w:p>
        </w:tc>
      </w:tr>
      <w:tr>
        <w:trPr/>
        <w:tc>
          <w:tcPr>
            <w:tcW w:w="124"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10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Walker</w:t>
            </w:r>
          </w:p>
        </w:tc>
      </w:tr>
      <w:tr>
        <w:trPr/>
        <w:tc>
          <w:tcPr>
            <w:tcW w:w="124"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CEO</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Agreement is hereby confirmed and accepted by the Agents in New York, New York as of the date first above written.</w:t>
      </w:r>
    </w:p>
    <w:tbl>
      <w:tblPr>
        <w:tblW w:w="3741" w:type="dxa"/>
        <w:jc w:val="left"/>
        <w:tblInd w:w="0" w:type="dxa"/>
        <w:tblLayout w:type="fixed"/>
        <w:tblCellMar>
          <w:top w:w="0" w:type="dxa"/>
          <w:left w:w="0" w:type="dxa"/>
          <w:bottom w:w="0" w:type="dxa"/>
          <w:right w:w="0" w:type="dxa"/>
        </w:tblCellMar>
      </w:tblPr>
      <w:tblGrid>
        <w:gridCol w:w="646"/>
        <w:gridCol w:w="2941"/>
        <w:gridCol w:w="154"/>
      </w:tblGrid>
      <w:tr>
        <w:trPr/>
        <w:tc>
          <w:tcPr>
            <w:tcW w:w="35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LEERINK PARTNERS LLC</w:t>
            </w:r>
          </w:p>
        </w:tc>
        <w:tc>
          <w:tcPr>
            <w:tcW w:w="154" w:type="dxa"/>
            <w:tcBorders/>
            <w:vAlign w:val="center"/>
          </w:tcPr>
          <w:p>
            <w:pPr>
              <w:pStyle w:val="TableContents"/>
              <w:bidi w:val="0"/>
              <w:spacing w:before="0" w:after="0"/>
              <w:ind w:left="0" w:right="0" w:hanging="0"/>
              <w:jc w:val="left"/>
              <w:rPr/>
            </w:pPr>
            <w:r>
              <w:rPr/>
              <w:t>​</w:t>
            </w:r>
          </w:p>
        </w:tc>
      </w:tr>
      <w:tr>
        <w:trPr/>
        <w:tc>
          <w:tcPr>
            <w:tcW w:w="358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Fry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Fry</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Managing Director, Head of</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 Equities</w:t>
            </w:r>
          </w:p>
        </w:tc>
        <w:tc>
          <w:tcPr>
            <w:tcW w:w="154" w:type="dxa"/>
            <w:tcBorders/>
            <w:vAlign w:val="center"/>
          </w:tcPr>
          <w:p>
            <w:pPr>
              <w:pStyle w:val="TableContents"/>
              <w:bidi w:val="0"/>
              <w:spacing w:before="0" w:after="0"/>
              <w:ind w:left="0" w:right="0" w:hanging="0"/>
              <w:jc w:val="left"/>
              <w:rPr/>
            </w:pPr>
            <w:r>
              <w:rPr/>
              <w:t>​</w:t>
            </w:r>
          </w:p>
        </w:tc>
      </w:tr>
      <w:tr>
        <w:trPr/>
        <w:tc>
          <w:tcPr>
            <w:tcW w:w="358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CANTOR FITZGERALD &amp; CO.</w:t>
            </w:r>
          </w:p>
        </w:tc>
        <w:tc>
          <w:tcPr>
            <w:tcW w:w="154" w:type="dxa"/>
            <w:tcBorders/>
            <w:vAlign w:val="center"/>
          </w:tcPr>
          <w:p>
            <w:pPr>
              <w:pStyle w:val="TableContents"/>
              <w:bidi w:val="0"/>
              <w:spacing w:before="0" w:after="0"/>
              <w:ind w:left="0" w:right="0" w:hanging="0"/>
              <w:jc w:val="left"/>
              <w:rPr/>
            </w:pPr>
            <w:r>
              <w:rPr/>
              <w:t>​</w:t>
            </w:r>
          </w:p>
        </w:tc>
      </w:tr>
      <w:tr>
        <w:trPr/>
        <w:tc>
          <w:tcPr>
            <w:tcW w:w="358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Sameer Vasudev</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Sameer Vasudev</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ISSUANCE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From:</w:t>
      </w:r>
      <w:r>
        <w:rPr>
          <w:rFonts w:ascii="Times New Roman;Times;serif" w:hAnsi="Times New Roman;Times;serif"/>
          <w:sz w:val="20"/>
        </w:rPr>
        <w:t>[   ]</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[TITLE]</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Aclaris Therapeutics,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Cc:</w:t>
      </w:r>
      <w:r>
        <w:rPr>
          <w:rFonts w:ascii="Times New Roman;Times;serif" w:hAnsi="Times New Roman;Times;serif"/>
          <w:sz w:val="20"/>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[Designated Agent Name] (the “</w:t>
      </w:r>
      <w:r>
        <w:rPr>
          <w:rFonts w:ascii="Times New Roman;Times;serif" w:hAnsi="Times New Roman;Times;serif"/>
          <w:b/>
          <w:sz w:val="20"/>
        </w:rPr>
        <w:t>Designated Agent</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Subject:</w:t>
      </w:r>
      <w:r>
        <w:rPr>
          <w:rFonts w:ascii="Times New Roman;Times;serif" w:hAnsi="Times New Roman;Times;serif"/>
          <w:sz w:val="20"/>
        </w:rPr>
        <w:t>At the Market Offering— Issuance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and subject to the conditions contained in the Second Amended and Restated Sales Agreement, dated August 6, 2026 (the “</w:t>
      </w:r>
      <w:r>
        <w:rPr>
          <w:rFonts w:ascii="Times New Roman;Times;serif" w:hAnsi="Times New Roman;Times;serif"/>
          <w:b/>
          <w:sz w:val="20"/>
        </w:rPr>
        <w:t>Agreement</w:t>
      </w:r>
      <w:r>
        <w:rPr>
          <w:rFonts w:ascii="Times New Roman;Times;serif" w:hAnsi="Times New Roman;Times;serif"/>
          <w:sz w:val="20"/>
        </w:rPr>
        <w:t>”), by and among Aclaris Therapeutics, Inc., a Delaware corporation (the “</w:t>
      </w:r>
      <w:r>
        <w:rPr>
          <w:rFonts w:ascii="Times New Roman;Times;serif" w:hAnsi="Times New Roman;Times;serif"/>
          <w:b/>
          <w:sz w:val="20"/>
        </w:rPr>
        <w:t>Company</w:t>
      </w:r>
      <w:r>
        <w:rPr>
          <w:rFonts w:ascii="Times New Roman;Times;serif" w:hAnsi="Times New Roman;Times;serif"/>
          <w:sz w:val="20"/>
        </w:rPr>
        <w:t>”), Leerink Partners LLC and Cantor Fitzgerald &amp; Co. (collectively the “</w:t>
      </w:r>
      <w:r>
        <w:rPr>
          <w:rFonts w:ascii="Times New Roman;Times;serif" w:hAnsi="Times New Roman;Times;serif"/>
          <w:b/>
          <w:sz w:val="20"/>
        </w:rPr>
        <w:t>Agents</w:t>
      </w:r>
      <w:r>
        <w:rPr>
          <w:rFonts w:ascii="Times New Roman;Times;serif" w:hAnsi="Times New Roman;Times;serif"/>
          <w:sz w:val="20"/>
        </w:rPr>
        <w:t>,” and each individually an “</w:t>
      </w:r>
      <w:r>
        <w:rPr>
          <w:rFonts w:ascii="Times New Roman;Times;serif" w:hAnsi="Times New Roman;Times;serif"/>
          <w:b/>
          <w:sz w:val="20"/>
        </w:rPr>
        <w:t>Agent</w:t>
      </w:r>
      <w:r>
        <w:rPr>
          <w:rFonts w:ascii="Times New Roman;Times;serif" w:hAnsi="Times New Roman;Times;serif"/>
          <w:sz w:val="20"/>
        </w:rPr>
        <w:t>”), I hereby request on behalf of the Company that the Designated Agent sell up to [ ] shares of common stock, $0.00001 par value per share, of the Company (the “</w:t>
      </w:r>
      <w:r>
        <w:rPr>
          <w:rFonts w:ascii="Times New Roman;Times;serif" w:hAnsi="Times New Roman;Times;serif"/>
          <w:b/>
          <w:sz w:val="20"/>
        </w:rPr>
        <w:t>Shares</w:t>
      </w:r>
      <w:r>
        <w:rPr>
          <w:rFonts w:ascii="Times New Roman;Times;serif" w:hAnsi="Times New Roman;Times;serif"/>
          <w:sz w:val="20"/>
        </w:rPr>
        <w:t xml:space="preserve">”), at a minimum market price of $[ ] per share [; </w:t>
      </w:r>
      <w:r>
        <w:rPr>
          <w:rFonts w:ascii="Times New Roman;Times;serif" w:hAnsi="Times New Roman;Times;serif"/>
          <w:i/>
          <w:sz w:val="20"/>
        </w:rPr>
        <w:t>provided</w:t>
      </w:r>
      <w:r>
        <w:rPr>
          <w:rFonts w:ascii="Times New Roman;Times;serif" w:hAnsi="Times New Roman;Times;serif"/>
          <w:sz w:val="20"/>
        </w:rPr>
        <w:t xml:space="preserve"> that no more than [ ] Shares shall be sold in any one Trading Day (as such term is defined in the Agreement)].  Sales should begin [on the date of this Issuance Notice] and end on [DATE] [until all Shares that are the subject of this Issuance Notice are sold].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Notice Parties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The Agents</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i/>
          <w:sz w:val="20"/>
        </w:rPr>
      </w:pPr>
      <w:r>
        <w:rPr>
          <w:rFonts w:ascii="Times New Roman;Times;serif" w:hAnsi="Times New Roman;Times;serif"/>
          <w:i/>
          <w:sz w:val="20"/>
        </w:rPr>
        <w:t>Leerink Partners LLC</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i/>
          <w:sz w:val="20"/>
        </w:rPr>
      </w:pPr>
      <w:r>
        <w:rPr>
          <w:rFonts w:ascii="Times New Roman;Times;serif" w:hAnsi="Times New Roman;Times;serif"/>
          <w:i/>
          <w:sz w:val="20"/>
        </w:rPr>
        <w:t>Cantor Fitzgerald &amp; Co.</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With copies 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23087</Words>
  <Characters>122464</Characters>
  <CharactersWithSpaces>145596</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