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437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3750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Ruffo Frank</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38" w:lineRule="auto"/>
        <w:rPr>
          <w:sz w:val="20"/>
          <w:szCs w:val="20"/>
          <w:color w:val="auto"/>
        </w:rPr>
      </w:pPr>
      <w:r>
        <w:rPr>
          <w:rFonts w:ascii="Arial" w:cs="Arial" w:eastAsia="Arial" w:hAnsi="Arial"/>
          <w:sz w:val="16"/>
          <w:szCs w:val="16"/>
          <w:color w:val="0000FF"/>
        </w:rPr>
        <w:t>C/O ACLARIS THERAPEUTICS, INC. 101 LINDENWOOD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286"/>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Aclaris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ACRS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10/13/2015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34"/>
        <w:spacing w:after="0"/>
        <w:rPr>
          <w:sz w:val="20"/>
          <w:szCs w:val="20"/>
          <w:color w:val="auto"/>
        </w:rPr>
      </w:pPr>
      <w:r>
        <w:rPr>
          <w:rFonts w:ascii="Arial" w:cs="Arial" w:eastAsia="Arial" w:hAnsi="Arial"/>
          <w:sz w:val="17"/>
          <w:szCs w:val="17"/>
          <w:color w:val="0000FF"/>
        </w:rPr>
        <w:t>Chief Financial Officer</w:t>
      </w:r>
    </w:p>
    <w:p>
      <w:pPr>
        <w:spacing w:after="0" w:line="458"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31"/>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MALVERN</w:t>
            </w:r>
          </w:p>
        </w:tc>
        <w:tc>
          <w:tcPr>
            <w:tcW w:w="220" w:type="dxa"/>
            <w:vAlign w:val="bottom"/>
            <w:vMerge w:val="restart"/>
          </w:tcPr>
          <w:p>
            <w:pPr>
              <w:spacing w:after="0"/>
              <w:rPr>
                <w:sz w:val="20"/>
                <w:szCs w:val="20"/>
                <w:color w:val="auto"/>
              </w:rPr>
            </w:pPr>
            <w:r>
              <w:rPr>
                <w:rFonts w:ascii="Arial" w:cs="Arial" w:eastAsia="Arial" w:hAnsi="Arial"/>
                <w:sz w:val="17"/>
                <w:szCs w:val="17"/>
                <w:color w:val="0000FF"/>
                <w:w w:val="87"/>
              </w:rPr>
              <w:t>PA</w:t>
            </w:r>
          </w:p>
        </w:tc>
        <w:tc>
          <w:tcPr>
            <w:tcW w:w="1000" w:type="dxa"/>
            <w:vAlign w:val="bottom"/>
          </w:tcPr>
          <w:p>
            <w:pPr>
              <w:spacing w:after="0"/>
              <w:rPr>
                <w:sz w:val="11"/>
                <w:szCs w:val="11"/>
                <w:color w:val="auto"/>
              </w:rPr>
            </w:pPr>
          </w:p>
        </w:tc>
        <w:tc>
          <w:tcPr>
            <w:tcW w:w="1200" w:type="dxa"/>
            <w:vAlign w:val="bottom"/>
            <w:vMerge w:val="restart"/>
          </w:tcPr>
          <w:p>
            <w:pPr>
              <w:ind w:left="40"/>
              <w:spacing w:after="0"/>
              <w:rPr>
                <w:sz w:val="20"/>
                <w:szCs w:val="20"/>
                <w:color w:val="auto"/>
              </w:rPr>
            </w:pPr>
            <w:r>
              <w:rPr>
                <w:rFonts w:ascii="Arial" w:cs="Arial" w:eastAsia="Arial" w:hAnsi="Arial"/>
                <w:sz w:val="17"/>
                <w:szCs w:val="17"/>
                <w:color w:val="0000FF"/>
              </w:rPr>
              <w:t>19355</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10/13/2015</w:t>
            </w:r>
          </w:p>
        </w:tc>
        <w:tc>
          <w:tcPr>
            <w:tcW w:w="9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9"/>
              </w:rPr>
              <w:t>7,478</w:t>
            </w:r>
            <w:r>
              <w:rPr>
                <w:rFonts w:ascii="Arial" w:cs="Arial" w:eastAsia="Arial" w:hAnsi="Arial"/>
                <w:sz w:val="22"/>
                <w:szCs w:val="22"/>
                <w:color w:val="008000"/>
                <w:w w:val="89"/>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1"/>
                <w:szCs w:val="11"/>
                <w:color w:val="008000"/>
              </w:rPr>
              <w:t>(2)</w:t>
            </w:r>
          </w:p>
        </w:tc>
        <w:tc>
          <w:tcPr>
            <w:tcW w:w="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137,912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4"/>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40" w:type="dxa"/>
            <w:vAlign w:val="bottom"/>
            <w:gridSpan w:val="12"/>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33"/>
              <w:spacing w:after="0"/>
              <w:rPr>
                <w:sz w:val="20"/>
                <w:szCs w:val="20"/>
                <w:color w:val="auto"/>
              </w:rPr>
            </w:pPr>
            <w:r>
              <w:rPr>
                <w:rFonts w:ascii="Arial" w:cs="Arial" w:eastAsia="Arial" w:hAnsi="Arial"/>
                <w:sz w:val="17"/>
                <w:szCs w:val="17"/>
                <w:color w:val="0000FF"/>
                <w:w w:val="98"/>
              </w:rPr>
              <w:t>5,797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restart"/>
          </w:tcPr>
          <w:p>
            <w:pPr>
              <w:jc w:val="right"/>
              <w:ind w:right="133"/>
              <w:spacing w:after="0" w:line="148" w:lineRule="exact"/>
              <w:rPr>
                <w:sz w:val="20"/>
                <w:szCs w:val="20"/>
                <w:color w:val="auto"/>
              </w:rPr>
            </w:pPr>
            <w:r>
              <w:rPr>
                <w:rFonts w:ascii="Arial" w:cs="Arial" w:eastAsia="Arial" w:hAnsi="Arial"/>
                <w:sz w:val="13"/>
                <w:szCs w:val="13"/>
                <w:color w:val="0000FF"/>
              </w:rPr>
              <w:t>10/13/2015</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C</w:t>
            </w:r>
          </w:p>
        </w:tc>
        <w:tc>
          <w:tcPr>
            <w:tcW w:w="960" w:type="dxa"/>
            <w:vAlign w:val="bottom"/>
            <w:vMerge w:val="restart"/>
          </w:tcPr>
          <w:p>
            <w:pPr>
              <w:jc w:val="right"/>
              <w:ind w:right="59"/>
              <w:spacing w:after="0" w:line="148" w:lineRule="exact"/>
              <w:rPr>
                <w:sz w:val="20"/>
                <w:szCs w:val="20"/>
                <w:color w:val="auto"/>
              </w:rPr>
            </w:pPr>
            <w:r>
              <w:rPr>
                <w:rFonts w:ascii="Arial" w:cs="Arial" w:eastAsia="Arial" w:hAnsi="Arial"/>
                <w:sz w:val="13"/>
                <w:szCs w:val="13"/>
                <w:color w:val="0000FF"/>
              </w:rPr>
              <w:t>20,000</w:t>
            </w:r>
          </w:p>
        </w:tc>
        <w:tc>
          <w:tcPr>
            <w:tcW w:w="7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ind w:left="40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33"/>
              <w:spacing w:after="0"/>
              <w:rPr>
                <w:sz w:val="20"/>
                <w:szCs w:val="20"/>
                <w:color w:val="auto"/>
              </w:rPr>
            </w:pPr>
            <w:r>
              <w:rPr>
                <w:rFonts w:ascii="Arial" w:cs="Arial" w:eastAsia="Arial" w:hAnsi="Arial"/>
                <w:sz w:val="17"/>
                <w:szCs w:val="17"/>
                <w:color w:val="0000FF"/>
                <w:w w:val="98"/>
              </w:rPr>
              <w:t>1,681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restart"/>
          </w:tcPr>
          <w:p>
            <w:pPr>
              <w:jc w:val="right"/>
              <w:ind w:right="133"/>
              <w:spacing w:after="0" w:line="148" w:lineRule="exact"/>
              <w:rPr>
                <w:sz w:val="20"/>
                <w:szCs w:val="20"/>
                <w:color w:val="auto"/>
              </w:rPr>
            </w:pPr>
            <w:r>
              <w:rPr>
                <w:rFonts w:ascii="Arial" w:cs="Arial" w:eastAsia="Arial" w:hAnsi="Arial"/>
                <w:sz w:val="13"/>
                <w:szCs w:val="13"/>
                <w:color w:val="0000FF"/>
              </w:rPr>
              <w:t>10/13/2015</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C</w:t>
            </w:r>
          </w:p>
        </w:tc>
        <w:tc>
          <w:tcPr>
            <w:tcW w:w="960" w:type="dxa"/>
            <w:vAlign w:val="bottom"/>
            <w:vMerge w:val="restart"/>
          </w:tcPr>
          <w:p>
            <w:pPr>
              <w:jc w:val="right"/>
              <w:ind w:right="79"/>
              <w:spacing w:after="0" w:line="148" w:lineRule="exact"/>
              <w:rPr>
                <w:sz w:val="20"/>
                <w:szCs w:val="20"/>
                <w:color w:val="auto"/>
              </w:rPr>
            </w:pPr>
            <w:r>
              <w:rPr>
                <w:rFonts w:ascii="Arial" w:cs="Arial" w:eastAsia="Arial" w:hAnsi="Arial"/>
                <w:sz w:val="13"/>
                <w:szCs w:val="13"/>
                <w:color w:val="0000FF"/>
              </w:rPr>
              <w:t>5,802</w:t>
            </w:r>
          </w:p>
        </w:tc>
        <w:tc>
          <w:tcPr>
            <w:tcW w:w="7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ind w:left="40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total represents shares received upon conversion of shares of Series A Preferred Stock and Series B Preferred Stock.</w:t>
      </w:r>
    </w:p>
    <w:p>
      <w:pPr>
        <w:spacing w:after="0" w:line="52" w:lineRule="exact"/>
        <w:rPr>
          <w:rFonts w:ascii="Arial" w:cs="Arial" w:eastAsia="Arial" w:hAnsi="Arial"/>
          <w:sz w:val="13"/>
          <w:szCs w:val="13"/>
          <w:color w:val="008000"/>
        </w:rPr>
      </w:pPr>
    </w:p>
    <w:p>
      <w:pPr>
        <w:ind w:left="40" w:right="26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Effective upon the closing of the issuer's initial public offering of its common stock, each share of preferred stock automatically converted into 0.289855 shares of common stock. The preferred stock had no expiration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Brian F. Leaf, Attorney-in-</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10/13/2015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4450" TargetMode="External"/><Relationship Id="rId13" Type="http://schemas.openxmlformats.org/officeDocument/2006/relationships/hyperlink" Target="http://www.sec.gov/cgi-bin/browse-edgar?action=getcompany&amp;CIK=00015577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2019-12-09T02:09:32Z</dcterms:created>
  <dcterms:modified xsi:type="dcterms:W3CDTF">2019-12-09T02:09:32Z</dcterms:modified>
</cp:coreProperties>
</file>