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182880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210185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line="288" w:lineRule="exact"/>
        <w:rPr>
          <w:sz w:val="20"/>
          <w:szCs w:val="20"/>
          <w:color w:val="auto"/>
        </w:rPr>
      </w:pPr>
      <w:r>
        <w:rPr>
          <w:rFonts w:ascii="Arial" w:cs="Arial" w:eastAsia="Arial" w:hAnsi="Arial"/>
          <w:sz w:val="25"/>
          <w:szCs w:val="25"/>
          <w:b w:val="1"/>
          <w:bCs w:val="1"/>
          <w:color w:val="auto"/>
        </w:rPr>
        <w:t>FORM 8</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March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226060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Aclaris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5" w:lineRule="exact"/>
        <w:rPr>
          <w:sz w:val="24"/>
          <w:szCs w:val="24"/>
          <w:color w:val="auto"/>
        </w:rPr>
      </w:pPr>
    </w:p>
    <w:tbl>
      <w:tblPr>
        <w:tblLayout w:type="fixed"/>
        <w:tblInd w:w="52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20" w:type="dxa"/>
            <w:vAlign w:val="bottom"/>
            <w:gridSpan w:val="2"/>
          </w:tcPr>
          <w:p>
            <w:pPr>
              <w:jc w:val="right"/>
              <w:ind w:right="1920"/>
              <w:spacing w:after="0"/>
              <w:rPr>
                <w:sz w:val="20"/>
                <w:szCs w:val="20"/>
                <w:color w:val="auto"/>
              </w:rPr>
            </w:pPr>
            <w:r>
              <w:rPr>
                <w:rFonts w:ascii="Arial" w:cs="Arial" w:eastAsia="Arial" w:hAnsi="Arial"/>
                <w:sz w:val="16"/>
                <w:szCs w:val="16"/>
                <w:b w:val="1"/>
                <w:bCs w:val="1"/>
                <w:color w:val="auto"/>
                <w:w w:val="88"/>
              </w:rPr>
              <w:t>001-37581</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b w:val="1"/>
                <w:bCs w:val="1"/>
                <w:color w:val="auto"/>
                <w:w w:val="91"/>
              </w:rPr>
              <w:t>46-0571712</w:t>
            </w:r>
          </w:p>
        </w:tc>
      </w:tr>
      <w:tr>
        <w:trPr>
          <w:trHeight w:val="20"/>
        </w:trPr>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3"/>
        </w:trPr>
        <w:tc>
          <w:tcPr>
            <w:tcW w:w="18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(State or other jurisdiction</w:t>
            </w:r>
          </w:p>
        </w:tc>
        <w:tc>
          <w:tcPr>
            <w:tcW w:w="4340" w:type="dxa"/>
            <w:vAlign w:val="bottom"/>
            <w:gridSpan w:val="3"/>
          </w:tcPr>
          <w:p>
            <w:pPr>
              <w:jc w:val="center"/>
              <w:ind w:right="180"/>
              <w:spacing w:after="0"/>
              <w:rPr>
                <w:sz w:val="20"/>
                <w:szCs w:val="20"/>
                <w:color w:val="auto"/>
              </w:rPr>
            </w:pPr>
            <w:r>
              <w:rPr>
                <w:rFonts w:ascii="Arial" w:cs="Arial" w:eastAsia="Arial" w:hAnsi="Arial"/>
                <w:sz w:val="16"/>
                <w:szCs w:val="16"/>
                <w:color w:val="auto"/>
                <w:w w:val="94"/>
              </w:rPr>
              <w:t>(Commission File Number)</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w w:val="94"/>
              </w:rPr>
              <w:t>(IRS Employer</w:t>
            </w:r>
          </w:p>
        </w:tc>
      </w:tr>
      <w:tr>
        <w:trPr>
          <w:trHeight w:val="206"/>
        </w:trPr>
        <w:tc>
          <w:tcPr>
            <w:tcW w:w="184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of incorporation)</w:t>
            </w:r>
          </w:p>
        </w:tc>
        <w:tc>
          <w:tcPr>
            <w:tcW w:w="1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20" w:type="dxa"/>
            <w:vAlign w:val="bottom"/>
            <w:gridSpan w:val="3"/>
          </w:tcPr>
          <w:p>
            <w:pPr>
              <w:jc w:val="center"/>
              <w:ind w:left="13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640 Lee Road, Suite 200</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7"/>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Wayne, PA 19087</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6"/>
                <w:szCs w:val="16"/>
                <w:color w:val="auto"/>
                <w:w w:val="93"/>
              </w:rPr>
              <w:t>(Address of principal executive offices, including zip code)</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0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(484) 324-7933</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(Registrant’s telephone number, including area code)</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01"/>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20" w:type="dxa"/>
            <w:vAlign w:val="bottom"/>
            <w:gridSpan w:val="2"/>
          </w:tcPr>
          <w:p>
            <w:pPr>
              <w:jc w:val="center"/>
              <w:ind w:right="1780"/>
              <w:spacing w:after="0"/>
              <w:rPr>
                <w:sz w:val="20"/>
                <w:szCs w:val="20"/>
                <w:color w:val="auto"/>
              </w:rPr>
            </w:pPr>
            <w:r>
              <w:rPr>
                <w:rFonts w:ascii="Arial" w:cs="Arial" w:eastAsia="Arial" w:hAnsi="Arial"/>
                <w:sz w:val="16"/>
                <w:szCs w:val="16"/>
                <w:b w:val="1"/>
                <w:bCs w:val="1"/>
                <w:color w:val="auto"/>
              </w:rPr>
              <w:t>N/A</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6"/>
        </w:trPr>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80" w:lineRule="exact"/>
        <w:rPr>
          <w:sz w:val="24"/>
          <w:szCs w:val="24"/>
          <w:color w:val="auto"/>
        </w:rPr>
      </w:pPr>
    </w:p>
    <w:p>
      <w:pPr>
        <w:ind w:left="4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50"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Written communications pursuant to Rule 425 under the Securities Act (17 CFR 230.425)</w:t>
      </w:r>
    </w:p>
    <w:p>
      <w:pPr>
        <w:spacing w:after="0" w:line="113" w:lineRule="exact"/>
        <w:rPr>
          <w:rFonts w:ascii="Arial" w:cs="Arial" w:eastAsia="Arial" w:hAnsi="Arial"/>
          <w:sz w:val="16"/>
          <w:szCs w:val="16"/>
          <w:color w:val="auto"/>
        </w:rPr>
      </w:pPr>
    </w:p>
    <w:p>
      <w:pPr>
        <w:ind w:left="180" w:hanging="136"/>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Soliciting material pursuant to Rule 14a-12 under the Exchange Act (17 CFR 240.14a-12)</w:t>
      </w:r>
    </w:p>
    <w:p>
      <w:pPr>
        <w:spacing w:after="0" w:line="99" w:lineRule="exact"/>
        <w:rPr>
          <w:rFonts w:ascii="Arial" w:cs="Arial" w:eastAsia="Arial" w:hAnsi="Arial"/>
          <w:sz w:val="16"/>
          <w:szCs w:val="16"/>
          <w:color w:val="auto"/>
        </w:rPr>
      </w:pPr>
    </w:p>
    <w:p>
      <w:pPr>
        <w:ind w:left="180" w:hanging="136"/>
        <w:spacing w:after="0"/>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14d-2(b) under the Exchange Act (17 CFR 240.14d-2(b))</w:t>
      </w:r>
    </w:p>
    <w:p>
      <w:pPr>
        <w:spacing w:after="0" w:line="113" w:lineRule="exact"/>
        <w:rPr>
          <w:rFonts w:ascii="Arial" w:cs="Arial" w:eastAsia="Arial" w:hAnsi="Arial"/>
          <w:sz w:val="16"/>
          <w:szCs w:val="16"/>
          <w:color w:val="auto"/>
        </w:rPr>
      </w:pPr>
    </w:p>
    <w:p>
      <w:pPr>
        <w:ind w:left="40" w:right="1499" w:firstLine="4"/>
        <w:spacing w:after="0" w:line="416" w:lineRule="auto"/>
        <w:tabs>
          <w:tab w:leader="none" w:pos="175" w:val="left"/>
        </w:tabs>
        <w:numPr>
          <w:ilvl w:val="0"/>
          <w:numId w:val="1"/>
        </w:numPr>
        <w:rPr>
          <w:rFonts w:ascii="Arial" w:cs="Arial" w:eastAsia="Arial" w:hAnsi="Arial"/>
          <w:sz w:val="16"/>
          <w:szCs w:val="16"/>
          <w:color w:val="auto"/>
        </w:rPr>
      </w:pPr>
      <w:r>
        <w:rPr>
          <w:rFonts w:ascii="Arial" w:cs="Arial" w:eastAsia="Arial" w:hAnsi="Arial"/>
          <w:sz w:val="16"/>
          <w:szCs w:val="16"/>
          <w:color w:val="auto"/>
        </w:rPr>
        <w:t>] Pre-commencement communications pursuant to Rule 13e-4(c) under the Exchange Act (17 CFR 240.13e-4(c)) Securities registered pursuant to Section 12(b) of the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Trading</w:t>
            </w:r>
          </w:p>
        </w:tc>
        <w:tc>
          <w:tcPr>
            <w:tcW w:w="2360" w:type="dxa"/>
            <w:vAlign w:val="bottom"/>
          </w:tcPr>
          <w:p>
            <w:pPr>
              <w:jc w:val="center"/>
              <w:spacing w:after="0"/>
              <w:rPr>
                <w:sz w:val="20"/>
                <w:szCs w:val="20"/>
                <w:color w:val="auto"/>
              </w:rPr>
            </w:pPr>
            <w:r>
              <w:rPr>
                <w:rFonts w:ascii="Arial" w:cs="Arial" w:eastAsia="Arial" w:hAnsi="Arial"/>
                <w:sz w:val="16"/>
                <w:szCs w:val="16"/>
                <w:color w:val="auto"/>
                <w:w w:val="89"/>
              </w:rPr>
              <w:t>Name of each exchange</w:t>
            </w:r>
          </w:p>
        </w:tc>
      </w:tr>
      <w:tr>
        <w:trPr>
          <w:trHeight w:val="209"/>
        </w:trPr>
        <w:tc>
          <w:tcPr>
            <w:tcW w:w="34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31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Symbol(s)</w:t>
            </w:r>
          </w:p>
        </w:tc>
        <w:tc>
          <w:tcPr>
            <w:tcW w:w="2360" w:type="dxa"/>
            <w:vAlign w:val="bottom"/>
          </w:tcPr>
          <w:p>
            <w:pPr>
              <w:jc w:val="center"/>
              <w:spacing w:after="0"/>
              <w:rPr>
                <w:sz w:val="20"/>
                <w:szCs w:val="20"/>
                <w:color w:val="auto"/>
              </w:rPr>
            </w:pPr>
            <w:r>
              <w:rPr>
                <w:rFonts w:ascii="Arial" w:cs="Arial" w:eastAsia="Arial" w:hAnsi="Arial"/>
                <w:sz w:val="16"/>
                <w:szCs w:val="16"/>
                <w:color w:val="auto"/>
                <w:w w:val="92"/>
              </w:rPr>
              <w:t>on which registered</w:t>
            </w:r>
          </w:p>
        </w:tc>
      </w:tr>
      <w:tr>
        <w:trPr>
          <w:trHeight w:val="203"/>
        </w:trPr>
        <w:tc>
          <w:tcPr>
            <w:tcW w:w="33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$0.00001 par value</w:t>
            </w:r>
          </w:p>
        </w:tc>
        <w:tc>
          <w:tcPr>
            <w:tcW w:w="120" w:type="dxa"/>
            <w:vAlign w:val="bottom"/>
          </w:tcPr>
          <w:p>
            <w:pPr>
              <w:spacing w:after="0"/>
              <w:rPr>
                <w:sz w:val="17"/>
                <w:szCs w:val="17"/>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ACRS</w:t>
            </w:r>
          </w:p>
        </w:tc>
        <w:tc>
          <w:tcPr>
            <w:tcW w:w="120" w:type="dxa"/>
            <w:vAlign w:val="bottom"/>
          </w:tcPr>
          <w:p>
            <w:pPr>
              <w:spacing w:after="0"/>
              <w:rPr>
                <w:sz w:val="17"/>
                <w:szCs w:val="17"/>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81" w:lineRule="exact"/>
        <w:rPr>
          <w:sz w:val="24"/>
          <w:szCs w:val="24"/>
          <w:color w:val="auto"/>
        </w:rPr>
      </w:pPr>
    </w:p>
    <w:p>
      <w:pPr>
        <w:jc w:val="both"/>
        <w:ind w:left="40" w:right="59"/>
        <w:spacing w:after="0" w:line="20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62"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left="40" w:right="59"/>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190500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215900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979170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 w:name="page2"/>
    <w:bookmarkEnd w:id="1"/>
    <w:p>
      <w:pPr>
        <w:ind w:left="40"/>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On March 30,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Aclaris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wholly owned subsidiary Confluence Discovery Technologies, Inc. (together, the “</w:t>
      </w:r>
      <w:r>
        <w:rPr>
          <w:rFonts w:ascii="Arial" w:cs="Arial" w:eastAsia="Arial" w:hAnsi="Arial"/>
          <w:sz w:val="18"/>
          <w:szCs w:val="18"/>
          <w:b w:val="1"/>
          <w:bCs w:val="1"/>
          <w:i w:val="1"/>
          <w:iCs w:val="1"/>
          <w:color w:val="auto"/>
        </w:rPr>
        <w:t>Borrowers</w:t>
      </w:r>
      <w:r>
        <w:rPr>
          <w:rFonts w:ascii="Arial" w:cs="Arial" w:eastAsia="Arial" w:hAnsi="Arial"/>
          <w:sz w:val="18"/>
          <w:szCs w:val="18"/>
          <w:color w:val="auto"/>
        </w:rPr>
        <w:t>”) entered into a Loan and Security Agreement (the “</w:t>
      </w:r>
      <w:r>
        <w:rPr>
          <w:rFonts w:ascii="Arial" w:cs="Arial" w:eastAsia="Arial" w:hAnsi="Arial"/>
          <w:sz w:val="18"/>
          <w:szCs w:val="18"/>
          <w:b w:val="1"/>
          <w:bCs w:val="1"/>
          <w:i w:val="1"/>
          <w:iCs w:val="1"/>
          <w:color w:val="auto"/>
        </w:rPr>
        <w:t>Loan and Security Agreement</w:t>
      </w:r>
      <w:r>
        <w:rPr>
          <w:rFonts w:ascii="Arial" w:cs="Arial" w:eastAsia="Arial" w:hAnsi="Arial"/>
          <w:sz w:val="18"/>
          <w:szCs w:val="18"/>
          <w:color w:val="auto"/>
        </w:rPr>
        <w:t>”) with Silicon Valley Bank, a California corporation (“</w:t>
      </w:r>
      <w:r>
        <w:rPr>
          <w:rFonts w:ascii="Arial" w:cs="Arial" w:eastAsia="Arial" w:hAnsi="Arial"/>
          <w:sz w:val="18"/>
          <w:szCs w:val="18"/>
          <w:b w:val="1"/>
          <w:bCs w:val="1"/>
          <w:i w:val="1"/>
          <w:iCs w:val="1"/>
          <w:color w:val="auto"/>
        </w:rPr>
        <w:t>SVB</w:t>
      </w:r>
      <w:r>
        <w:rPr>
          <w:rFonts w:ascii="Arial" w:cs="Arial" w:eastAsia="Arial" w:hAnsi="Arial"/>
          <w:sz w:val="18"/>
          <w:szCs w:val="18"/>
          <w:color w:val="auto"/>
        </w:rPr>
        <w:t>”). The Loan and Security Agreement provides for $11.0 million in term loans (the “</w:t>
      </w:r>
      <w:r>
        <w:rPr>
          <w:rFonts w:ascii="Arial" w:cs="Arial" w:eastAsia="Arial" w:hAnsi="Arial"/>
          <w:sz w:val="18"/>
          <w:szCs w:val="18"/>
          <w:b w:val="1"/>
          <w:bCs w:val="1"/>
          <w:i w:val="1"/>
          <w:iCs w:val="1"/>
          <w:color w:val="auto"/>
        </w:rPr>
        <w:t>Term Loan Facility</w:t>
      </w:r>
      <w:r>
        <w:rPr>
          <w:rFonts w:ascii="Arial" w:cs="Arial" w:eastAsia="Arial" w:hAnsi="Arial"/>
          <w:sz w:val="18"/>
          <w:szCs w:val="18"/>
          <w:color w:val="auto"/>
        </w:rPr>
        <w:t>”). The Company borrowed the entire amount available under the Term Loan Facility on the Effective Date.</w:t>
      </w:r>
    </w:p>
    <w:p>
      <w:pPr>
        <w:spacing w:after="0" w:line="188"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 term loan repayment schedule provides for interest only payments beginning April 1, 2020 and continuing through March 1, 2022, followed by 24 consecutive equal monthly installments of principal, plus monthly payments of accrued interest, starting on April 1, 2022 and continuing through the maturity date of March 1, 2024. All outstanding principal and accrued and unpaid interest will be due and payable on the maturity date. The Loan and Security Agreement provides for an annual interest rate equal to the greater of (i) the prime rate then in effect as reported in The Wall Street Journal plus 2% and (ii) 6.75%.</w:t>
      </w:r>
    </w:p>
    <w:p>
      <w:pPr>
        <w:spacing w:after="0" w:line="192"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 Borrowers have the option to prepay the outstanding balance of the term loans in full, subject to a prepayment premium of (i) 3% of the original principal amount of the aggregate term loans drawn for any prepayment on or prior to the first anniversary of the Effective Date, (ii) 2% of the original principal amount of the aggregate term loans drawn for any prepayment after the first anniversary and on or before the second anniversary of the Effective Date or (iii) 1% of the original principal amount of the aggregate term loans drawn for any prepayment after the second anniversary of the Effective Date but before March 1, 2024.</w:t>
      </w:r>
    </w:p>
    <w:p>
      <w:pPr>
        <w:spacing w:after="0" w:line="192"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Loan and Security Agreement also provides for a final payment equal to $550,000 (5% of the original principal amount of the term loans drawn under the Term Loan Facility), which final payment is due on March 1, 2024 or upon the prepayment of the facility, the termination of the Loan and Security Agreement or the acceleration of amounts due under the facility as a result of an event of default.</w:t>
      </w:r>
    </w:p>
    <w:p>
      <w:pPr>
        <w:spacing w:after="0" w:line="187"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 Term Loan Facility is secured by substantially all of the Borrowers’ assets, except that the collateral does not include the Borrowers’ intellectual property. However, the Borrowers have agreed not to encumber any of their intellectual property without SVB’s consent. The Loan and Security Agreement contains customary representations, warranties and covenants by the Borrowers, which covenants, among other things, limit the Borrowers’ ability, subject to specified exceptions, to convey, sell, lease, transfer, assign or otherwise dispose of their assets; engage in any business other than the businesses currently engaged in by the Borrowers or reasonably related thereto; liquidate or dissolve; undergo specified change of control events; create, incur, assume or be liable for indebtedness; create, incur, allow or suffer any liens on their property; pay dividends and make other restricted payments; make investments; or enter into any material transactions with their affiliates.</w:t>
      </w:r>
    </w:p>
    <w:p>
      <w:pPr>
        <w:spacing w:after="0" w:line="18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The Loan and Security Agreement also contains customary indemnification obligations and customary events of default, including, among other things, the Borrowers’ failure to fulfill their obligations under the Loan and Security Agreement, the occurrence of a material adverse change, and specified defaults by the Borrowers. In the event of default by the Borrowers under the Loan and Security Agreement, SVB would be entitled to exercise its remedies thereunder, including the right to accelerate the debt, upon which the Borrowers may be required to repay all amounts then outstanding under the Loan and Security Agreement.</w:t>
      </w:r>
    </w:p>
    <w:p>
      <w:pPr>
        <w:spacing w:after="0" w:line="192"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connection with the Loan and Security Agreement, the Company issued SVB a warrant, dated March 30, 2020 (the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up to 460,251 shares of common stock of the Company, $0.00001 par value per share (“</w:t>
      </w:r>
      <w:r>
        <w:rPr>
          <w:rFonts w:ascii="Arial" w:cs="Arial" w:eastAsia="Arial" w:hAnsi="Arial"/>
          <w:sz w:val="17"/>
          <w:szCs w:val="17"/>
          <w:b w:val="1"/>
          <w:bCs w:val="1"/>
          <w:i w:val="1"/>
          <w:i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at an initial exercise price of $0.956 per share, subject to adjustment as provided in the Warrant. The Warrant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immediately exercisable in full upon the funding of the Term Loan Facility. The Warrant will terminate, if not earlier exercised, on the earlier of March 29, 2030 and the closing of certain merger or other transactions in which the consideration is cash, stock of a publicly-traded acquirer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876300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0" w:right="59"/>
        <w:spacing w:after="0" w:line="286" w:lineRule="auto"/>
        <w:rPr>
          <w:sz w:val="20"/>
          <w:szCs w:val="20"/>
          <w:color w:val="auto"/>
        </w:rPr>
      </w:pPr>
      <w:r>
        <w:rPr>
          <w:rFonts w:ascii="Arial" w:cs="Arial" w:eastAsia="Arial" w:hAnsi="Arial"/>
          <w:sz w:val="17"/>
          <w:szCs w:val="17"/>
          <w:color w:val="auto"/>
        </w:rPr>
        <w:t>The foregoing descriptions of the Loan and Security Agreement and Warrant do not purport to be complete and are qualified in their entirety by reference to the Loan and Security Agreement and Warrant, respectively, copies of which are filed herewith as Exhibit 10.1 and Exhibit 10.2, respectively, and are incorporated herein by reference.</w:t>
      </w:r>
    </w:p>
    <w:p>
      <w:pPr>
        <w:spacing w:after="0" w:line="161" w:lineRule="exact"/>
        <w:rPr>
          <w:sz w:val="20"/>
          <w:szCs w:val="20"/>
          <w:color w:val="auto"/>
        </w:rPr>
      </w:pPr>
    </w:p>
    <w:p>
      <w:pPr>
        <w:jc w:val="both"/>
        <w:ind w:left="1000" w:right="59" w:hanging="971"/>
        <w:spacing w:after="0" w:line="282" w:lineRule="auto"/>
        <w:tabs>
          <w:tab w:leader="none" w:pos="980" w:val="left"/>
        </w:tabs>
        <w:rPr>
          <w:sz w:val="20"/>
          <w:szCs w:val="20"/>
          <w:color w:val="auto"/>
        </w:rPr>
      </w:pPr>
      <w:r>
        <w:rPr>
          <w:rFonts w:ascii="Arial" w:cs="Arial" w:eastAsia="Arial" w:hAnsi="Arial"/>
          <w:sz w:val="18"/>
          <w:szCs w:val="18"/>
          <w:b w:val="1"/>
          <w:bCs w:val="1"/>
          <w:color w:val="auto"/>
        </w:rPr>
        <w:t>Item 2.03</w:t>
        <w:tab/>
        <w:t>Creation of a Direct Financial Obligation or an Obligation under an Off-Balance Sheet Arrangement of a Registrant.</w:t>
      </w:r>
    </w:p>
    <w:p>
      <w:pPr>
        <w:spacing w:after="0" w:line="166"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information contained in Item 1.01 of this Current Report on Form 8-K with respect to the Term Loan Facility is incorporated by reference herein and made a part hereof.</w:t>
      </w:r>
    </w:p>
    <w:p>
      <w:pPr>
        <w:spacing w:after="0" w:line="166"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The information contained in Item 1.01 of this Current Report on Form 8-K with respect to the Warrant is incorporated by reference and made a part hereof. The Company issued the Warrant to SVB, who is an “accredited investor,” as that term is defined in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in reliance on the exemption from registration afforded by Section 4(a)(2) of the Securities Act and Rule 506 of Regulation D promulgated under the Securities Act and corresponding provisions of state securities or “blue sky” laws. SVB represented that the Warrant and the Common Stock to be acquired upon the exercise of the Warrant were being acquired for investment only and not with a view to the public resale or distribution within the meaning of the Securities Act. The Warrant and the Common Stock issuable upon exercise have not been registered under the Securities Act and such securities may not be offered or sold in the United States absent registration or an exemption from registration under the Securities Act and any applicable state securities laws.</w:t>
      </w:r>
    </w:p>
    <w:p>
      <w:pPr>
        <w:spacing w:after="0" w:line="162"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40" w:right="259"/>
        <w:spacing w:after="0" w:line="263" w:lineRule="auto"/>
        <w:rPr>
          <w:sz w:val="20"/>
          <w:szCs w:val="20"/>
          <w:color w:val="auto"/>
        </w:rPr>
      </w:pPr>
      <w:r>
        <w:rPr>
          <w:rFonts w:ascii="Arial" w:cs="Arial" w:eastAsia="Arial" w:hAnsi="Arial"/>
          <w:sz w:val="18"/>
          <w:szCs w:val="18"/>
          <w:color w:val="auto"/>
        </w:rPr>
        <w:t>On March 31, 2020, the Company issued a press release announcing the entry into the Loan and Security Agreement and the issuance of the Warrant. A copy of this press release is furnished herewith as Exhibit 99.1 to this Current Report on Form 8-K.</w:t>
      </w:r>
    </w:p>
    <w:p>
      <w:pPr>
        <w:spacing w:after="0" w:line="184"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In accordance with General Instruction B.2. of Form 8-K, the information in this Item 7.01 and Exhibit 99.1 hereto, shall not be deemed “filed” for purposes of Section 18 of the Securities Exchange Act of 1934, as amended (the “</w:t>
      </w:r>
      <w:r>
        <w:rPr>
          <w:rFonts w:ascii="Arial" w:cs="Arial" w:eastAsia="Arial" w:hAnsi="Arial"/>
          <w:sz w:val="16"/>
          <w:szCs w:val="16"/>
          <w:b w:val="1"/>
          <w:bCs w:val="1"/>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otherwise subject to the liability of that section, nor shall it be deemed incorporated by reference in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filings under the Securities Act or the Exchange Act whether made before or after the date hereof, regardless of any incorporation language in such a filing, except as expressly set forth by specific reference in such a filing.</w:t>
      </w:r>
    </w:p>
    <w:p>
      <w:pPr>
        <w:spacing w:after="0" w:line="157"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0"/>
        </w:trPr>
        <w:tc>
          <w:tcPr>
            <w:tcW w:w="9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1"/>
              </w:rPr>
              <w:t>Number</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gridSpan w:val="4"/>
          </w:tcPr>
          <w:p>
            <w:pPr>
              <w:ind w:left="540"/>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20" w:type="dxa"/>
            <w:vAlign w:val="bottom"/>
          </w:tcPr>
          <w:p>
            <w:pPr>
              <w:spacing w:after="0"/>
              <w:rPr>
                <w:sz w:val="14"/>
                <w:szCs w:val="14"/>
                <w:color w:val="auto"/>
              </w:rPr>
            </w:pPr>
          </w:p>
        </w:tc>
        <w:tc>
          <w:tcPr>
            <w:tcW w:w="960" w:type="dxa"/>
            <w:vAlign w:val="bottom"/>
            <w:tcBorders>
              <w:top w:val="single" w:sz="8" w:color="auto"/>
            </w:tcBorders>
          </w:tcPr>
          <w:p>
            <w:pPr>
              <w:jc w:val="right"/>
              <w:ind w:right="250"/>
              <w:spacing w:after="0" w:line="169"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20" w:type="dxa"/>
            <w:vAlign w:val="bottom"/>
            <w:tcBorders>
              <w:top w:val="single" w:sz="8" w:color="auto"/>
              <w:bottom w:val="single" w:sz="8" w:color="0000EE"/>
            </w:tcBorders>
            <w:gridSpan w:val="4"/>
          </w:tcPr>
          <w:p>
            <w:pPr>
              <w:spacing w:after="0" w:line="169"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Loan and Security Agreement, by and among the Company, Confluence Discovery Technologies, Inc. and</w:t>
              </w:r>
            </w:hyperlink>
          </w:p>
        </w:tc>
        <w:tc>
          <w:tcPr>
            <w:tcW w:w="24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Silicon Valley Bank, dated as of March 30, 2020.</w:t>
              </w:r>
            </w:hyperlink>
          </w:p>
        </w:tc>
        <w:tc>
          <w:tcPr>
            <w:tcW w:w="4340" w:type="dxa"/>
            <w:vAlign w:val="bottom"/>
            <w:gridSpan w:val="3"/>
          </w:tcPr>
          <w:p>
            <w:pPr>
              <w:spacing w:after="0"/>
              <w:rPr>
                <w:sz w:val="17"/>
                <w:szCs w:val="17"/>
                <w:color w:val="auto"/>
              </w:rPr>
            </w:pPr>
          </w:p>
        </w:tc>
      </w:tr>
      <w:tr>
        <w:trPr>
          <w:trHeight w:val="196"/>
        </w:trPr>
        <w:tc>
          <w:tcPr>
            <w:tcW w:w="98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62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Warrant to Purchase Stock, issued to Silicon Valley Bank, dated as of March 30, 2020.</w:t>
              </w:r>
            </w:hyperlink>
          </w:p>
        </w:tc>
        <w:tc>
          <w:tcPr>
            <w:tcW w:w="1660" w:type="dxa"/>
            <w:vAlign w:val="bottom"/>
            <w:gridSpan w:val="2"/>
          </w:tcPr>
          <w:p>
            <w:pPr>
              <w:spacing w:after="0"/>
              <w:rPr>
                <w:sz w:val="17"/>
                <w:szCs w:val="17"/>
                <w:color w:val="auto"/>
              </w:rPr>
            </w:pPr>
          </w:p>
        </w:tc>
      </w:tr>
      <w:tr>
        <w:trPr>
          <w:trHeight w:val="196"/>
        </w:trPr>
        <w:tc>
          <w:tcPr>
            <w:tcW w:w="98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99.1</w:t>
            </w:r>
          </w:p>
        </w:tc>
        <w:tc>
          <w:tcPr>
            <w:tcW w:w="60" w:type="dxa"/>
            <w:vAlign w:val="bottom"/>
          </w:tcPr>
          <w:p>
            <w:pPr>
              <w:spacing w:after="0"/>
              <w:rPr>
                <w:sz w:val="17"/>
                <w:szCs w:val="17"/>
                <w:color w:val="auto"/>
              </w:rPr>
            </w:pPr>
          </w:p>
        </w:tc>
        <w:tc>
          <w:tcPr>
            <w:tcW w:w="7880" w:type="dxa"/>
            <w:vAlign w:val="bottom"/>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Press Release dated March 31, 2020.</w:t>
              </w:r>
            </w:hyperlink>
          </w:p>
        </w:tc>
      </w:tr>
      <w:tr>
        <w:trPr>
          <w:trHeight w:val="1445"/>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40" w:right="59" w:firstLine="66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ACLARIS THERAPEUTICS, INC.</w:t>
      </w:r>
    </w:p>
    <w:p>
      <w:pPr>
        <w:spacing w:after="0" w:line="22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28289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6"/>
          <w:szCs w:val="16"/>
          <w:color w:val="auto"/>
        </w:rPr>
        <w:t>Frank Ruffo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117"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30,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xml:space="preserve">”), and (b) (i) </w:t>
      </w:r>
      <w:r>
        <w:rPr>
          <w:rFonts w:ascii="Arial" w:cs="Arial" w:eastAsia="Arial" w:hAnsi="Arial"/>
          <w:sz w:val="18"/>
          <w:szCs w:val="18"/>
          <w:b w:val="1"/>
          <w:bCs w:val="1"/>
          <w:color w:val="auto"/>
        </w:rPr>
        <w:t>ACLARIS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Aclaris</w:t>
      </w:r>
      <w:r>
        <w:rPr>
          <w:rFonts w:ascii="Arial" w:cs="Arial" w:eastAsia="Arial" w:hAnsi="Arial"/>
          <w:sz w:val="18"/>
          <w:szCs w:val="18"/>
          <w:color w:val="auto"/>
        </w:rPr>
        <w:t>”) and (ii)</w:t>
      </w:r>
      <w:r>
        <w:rPr>
          <w:rFonts w:ascii="Arial" w:cs="Arial" w:eastAsia="Arial" w:hAnsi="Arial"/>
          <w:sz w:val="18"/>
          <w:szCs w:val="18"/>
          <w:b w:val="1"/>
          <w:bCs w:val="1"/>
          <w:color w:val="auto"/>
        </w:rPr>
        <w:t xml:space="preserve"> CONFLUENCE DISCOVERY TECHNOLOGIES,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Confluence</w:t>
      </w:r>
      <w:r>
        <w:rPr>
          <w:rFonts w:ascii="Arial" w:cs="Arial" w:eastAsia="Arial" w:hAnsi="Arial"/>
          <w:sz w:val="18"/>
          <w:szCs w:val="18"/>
          <w:color w:val="auto"/>
        </w:rPr>
        <w:t>”) (Aclaris and Confluence are hereinafter jointly</w:t>
      </w:r>
      <w:r>
        <w:rPr>
          <w:rFonts w:ascii="Arial" w:cs="Arial" w:eastAsia="Arial" w:hAnsi="Arial"/>
          <w:sz w:val="18"/>
          <w:szCs w:val="18"/>
          <w:b w:val="1"/>
          <w:bCs w:val="1"/>
          <w:color w:val="auto"/>
        </w:rPr>
        <w:t xml:space="preserve"> </w:t>
      </w:r>
      <w:r>
        <w:rPr>
          <w:rFonts w:ascii="Arial" w:cs="Arial" w:eastAsia="Arial" w:hAnsi="Arial"/>
          <w:sz w:val="18"/>
          <w:szCs w:val="18"/>
          <w:color w:val="auto"/>
        </w:rPr>
        <w:t>and severally, individually and collectively, referred to as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 lend to Borrower and Borrower shall repay Bank. The parties agree as follows:</w:t>
      </w:r>
    </w:p>
    <w:p>
      <w:pPr>
        <w:spacing w:after="0" w:line="187" w:lineRule="exact"/>
        <w:rPr>
          <w:sz w:val="20"/>
          <w:szCs w:val="20"/>
          <w:color w:val="auto"/>
        </w:rPr>
      </w:pPr>
    </w:p>
    <w:p>
      <w:pPr>
        <w:ind w:left="1520" w:hanging="663"/>
        <w:spacing w:after="0"/>
        <w:tabs>
          <w:tab w:leader="none" w:pos="1520" w:val="left"/>
        </w:tabs>
        <w:numPr>
          <w:ilvl w:val="0"/>
          <w:numId w:val="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6"/>
          <w:szCs w:val="16"/>
          <w:color w:val="auto"/>
        </w:rPr>
        <w:t xml:space="preserve">Accounting terms not defined in this Agreement shall be construed following GAAP. Calculations and determinations must be made following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(a) such ratio or requirement shall continue to be computed in accordance with GAAP prior to such change therein and (b) Borrower shall provide Bank with financial statements and other documents required under this Agreement or as reasonably requested hereunder setting forth a reconciliation between calculations of such ratio or requirement made before and after giving effect to such change in GAAP. Capitalized terms not otherwise defined in this Agreement shall have the meanings set forth in Section 13 of this Agreement. Notwithstanding anything to the contrary herein, if any of Borrower’s operating leases was reclassified as a capital lease subsequent to the issuance by the Financial Accounting Standards Board on February 25, 2016 of an Accounting Standards Update as a result of a change in GAAP after such date or, if Borrower entered into a lease subsequent to such date would have been classified as an operating lease if it existed on such date, then such leases shall be, or shall continue to be, as applicable, treated as operating leases for all purposes hereunder. All other terms contained in this Agreement, unless otherwise indicated, shall have the meaning provided by the Code to the extent such terms are defined therein.</w:t>
      </w:r>
    </w:p>
    <w:p>
      <w:pPr>
        <w:spacing w:after="0" w:line="172" w:lineRule="exact"/>
        <w:rPr>
          <w:sz w:val="20"/>
          <w:szCs w:val="20"/>
          <w:color w:val="auto"/>
        </w:rPr>
      </w:pPr>
    </w:p>
    <w:p>
      <w:pPr>
        <w:ind w:left="1520" w:hanging="663"/>
        <w:spacing w:after="0"/>
        <w:tabs>
          <w:tab w:leader="none" w:pos="1520" w:val="left"/>
        </w:tabs>
        <w:numPr>
          <w:ilvl w:val="0"/>
          <w:numId w:val="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jc w:val="both"/>
        <w:ind w:left="200" w:right="239" w:firstLine="648"/>
        <w:spacing w:after="0" w:line="266"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all Credit Extensions and accrued and unpaid interest thereon as and when due in accordance with this Agreement.</w:t>
      </w:r>
    </w:p>
    <w:p>
      <w:pPr>
        <w:spacing w:after="0" w:line="68"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Term Loan Advances.</w:t>
      </w:r>
    </w:p>
    <w:p>
      <w:pPr>
        <w:spacing w:after="0" w:line="337" w:lineRule="exact"/>
        <w:rPr>
          <w:sz w:val="20"/>
          <w:szCs w:val="20"/>
          <w:color w:val="auto"/>
        </w:rPr>
      </w:pPr>
    </w:p>
    <w:p>
      <w:pPr>
        <w:jc w:val="both"/>
        <w:ind w:left="200" w:right="219" w:firstLine="1305"/>
        <w:spacing w:after="0" w:line="288" w:lineRule="auto"/>
        <w:tabs>
          <w:tab w:leader="none" w:pos="214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at Borrower’s election, which shall be made in writing with the delivery of the Payment/Advance Form to Bank prior to the Effective Date, Bank shall make either (i) one (1) term loan advance (the “</w:t>
      </w:r>
      <w:r>
        <w:rPr>
          <w:rFonts w:ascii="Arial" w:cs="Arial" w:eastAsia="Arial" w:hAnsi="Arial"/>
          <w:sz w:val="16"/>
          <w:szCs w:val="16"/>
          <w:b w:val="1"/>
          <w:bCs w:val="1"/>
          <w:color w:val="auto"/>
        </w:rPr>
        <w:t>Option A Term Loan Advance</w:t>
      </w:r>
      <w:r>
        <w:rPr>
          <w:rFonts w:ascii="Arial" w:cs="Arial" w:eastAsia="Arial" w:hAnsi="Arial"/>
          <w:sz w:val="16"/>
          <w:szCs w:val="16"/>
          <w:color w:val="auto"/>
        </w:rPr>
        <w:t>”) available to Borrower during Draw Period A in the original principal amount of Eleven Million Dollars ($11,000,000.00), or (ii) two (2) term loan advances (each an “</w:t>
      </w:r>
      <w:r>
        <w:rPr>
          <w:rFonts w:ascii="Arial" w:cs="Arial" w:eastAsia="Arial" w:hAnsi="Arial"/>
          <w:sz w:val="16"/>
          <w:szCs w:val="16"/>
          <w:b w:val="1"/>
          <w:bCs w:val="1"/>
          <w:color w:val="auto"/>
        </w:rPr>
        <w:t>Option B Term Loan Advance</w:t>
      </w:r>
      <w:r>
        <w:rPr>
          <w:rFonts w:ascii="Arial" w:cs="Arial" w:eastAsia="Arial" w:hAnsi="Arial"/>
          <w:sz w:val="16"/>
          <w:szCs w:val="16"/>
          <w:color w:val="auto"/>
        </w:rPr>
        <w:t>” and collectively the “</w:t>
      </w:r>
      <w:r>
        <w:rPr>
          <w:rFonts w:ascii="Arial" w:cs="Arial" w:eastAsia="Arial" w:hAnsi="Arial"/>
          <w:sz w:val="16"/>
          <w:szCs w:val="16"/>
          <w:b w:val="1"/>
          <w:bCs w:val="1"/>
          <w:color w:val="auto"/>
        </w:rPr>
        <w:t>Option B 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Advances</w:t>
      </w:r>
      <w:r>
        <w:rPr>
          <w:rFonts w:ascii="Arial" w:cs="Arial" w:eastAsia="Arial" w:hAnsi="Arial"/>
          <w:sz w:val="16"/>
          <w:szCs w:val="16"/>
          <w:color w:val="auto"/>
        </w:rPr>
        <w:t>”), available to Borrower (x) during Draw Period A, in an original principal amount of Five Million Five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($5,500,000.00), and (y) during Draw Period B, in an original principal amount of Five Million Five Hundred Thousand Dollars ($5,500,000.00). The Option A Loan Advance and the Option B Loan Advances are each hereinafter referred to singly as a “</w:t>
      </w:r>
      <w:r>
        <w:rPr>
          <w:rFonts w:ascii="Arial" w:cs="Arial" w:eastAsia="Arial" w:hAnsi="Arial"/>
          <w:sz w:val="16"/>
          <w:szCs w:val="16"/>
          <w:b w:val="1"/>
          <w:bCs w:val="1"/>
          <w:color w:val="auto"/>
        </w:rPr>
        <w:t>Term Loan Advance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Advances</w:t>
      </w:r>
      <w:r>
        <w:rPr>
          <w:rFonts w:ascii="Arial" w:cs="Arial" w:eastAsia="Arial" w:hAnsi="Arial"/>
          <w:sz w:val="16"/>
          <w:szCs w:val="16"/>
          <w:color w:val="auto"/>
        </w:rPr>
        <w:t>” After repayment, no Term Loan Advance (or any portion thereof) may be reborrowed.</w:t>
      </w:r>
    </w:p>
    <w:p>
      <w:pPr>
        <w:spacing w:after="0" w:line="168" w:lineRule="exact"/>
        <w:rPr>
          <w:rFonts w:ascii="Arial" w:cs="Arial" w:eastAsia="Arial" w:hAnsi="Arial"/>
          <w:sz w:val="16"/>
          <w:szCs w:val="16"/>
          <w:color w:val="auto"/>
        </w:rPr>
      </w:pPr>
    </w:p>
    <w:p>
      <w:pPr>
        <w:jc w:val="both"/>
        <w:ind w:left="200" w:right="219" w:firstLine="1305"/>
        <w:spacing w:after="0" w:line="259" w:lineRule="auto"/>
        <w:tabs>
          <w:tab w:leader="none" w:pos="216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Commencing on the first (1st) Payment Date of the month following the month in which the Funding Date of the applicable Term Loan Advance occurs, and continuing on each Payment Date thereafter, Borrower shall make monthly payments of interest on the principal amount of each Term Loan Advance at the rate set forth in Section 2.2(a).</w:t>
      </w:r>
    </w:p>
    <w:p>
      <w:pPr>
        <w:spacing w:after="0" w:line="186" w:lineRule="exact"/>
        <w:rPr>
          <w:rFonts w:ascii="Arial" w:cs="Arial" w:eastAsia="Arial" w:hAnsi="Arial"/>
          <w:sz w:val="18"/>
          <w:szCs w:val="18"/>
          <w:color w:val="auto"/>
        </w:rPr>
      </w:pPr>
    </w:p>
    <w:p>
      <w:pPr>
        <w:ind w:left="200" w:right="239" w:firstLine="1305"/>
        <w:spacing w:after="0" w:line="342" w:lineRule="auto"/>
        <w:tabs>
          <w:tab w:leader="none" w:pos="218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Commencing on the Term Loan Amortization Date, and continuing on each Payment Date thereafter, Borrower shall repay the Term Loan Advances in (i) twenty-four (24) (to be reduced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both"/>
        <w:ind w:left="200" w:right="239"/>
        <w:spacing w:after="0" w:line="259" w:lineRule="auto"/>
        <w:rPr>
          <w:sz w:val="20"/>
          <w:szCs w:val="20"/>
          <w:color w:val="auto"/>
        </w:rPr>
      </w:pPr>
      <w:r>
        <w:rPr>
          <w:rFonts w:ascii="Arial" w:cs="Arial" w:eastAsia="Arial" w:hAnsi="Arial"/>
          <w:sz w:val="18"/>
          <w:szCs w:val="18"/>
          <w:color w:val="auto"/>
        </w:rPr>
        <w:t>closing does not occur before April 1, 2020) consecutive equal monthly installments of principal, plus (ii) monthly payments of accrued interest at the rate set forth in Section 2.2(a). All outstanding principal and accrued and unpaid interest with respect to the Term Loan Advances, and all other outstanding Obligations with respect to the Term Loan Advances, are due and payable in full on the Term Loan Maturity Date.</w:t>
      </w:r>
    </w:p>
    <w:p>
      <w:pPr>
        <w:spacing w:after="0" w:line="187" w:lineRule="exact"/>
        <w:rPr>
          <w:sz w:val="20"/>
          <w:szCs w:val="20"/>
          <w:color w:val="auto"/>
        </w:rPr>
      </w:pPr>
    </w:p>
    <w:p>
      <w:pPr>
        <w:jc w:val="both"/>
        <w:ind w:left="200" w:right="219" w:firstLine="1305"/>
        <w:spacing w:after="0" w:line="275" w:lineRule="auto"/>
        <w:tabs>
          <w:tab w:leader="none" w:pos="2183"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Acceleration</w:t>
      </w:r>
      <w:r>
        <w:rPr>
          <w:rFonts w:ascii="Arial" w:cs="Arial" w:eastAsia="Arial" w:hAnsi="Arial"/>
          <w:sz w:val="17"/>
          <w:szCs w:val="17"/>
          <w:color w:val="auto"/>
        </w:rPr>
        <w:t>. If the Term Loan Advances are accelerated following the occurrence and during the continuance of an Event of Default, Borrower shall immediately pay to Bank an amount equal to the sum of: (i) all outstanding principal plus accrued and unpaid interest on the Term Loan Advances, (ii) the Prepayment Premium, (iii) the Final Payment, and (iv) all other sums, if any, that shall have become due and payable, including interest at the Default Rate with respect to any past due amounts.</w:t>
      </w:r>
    </w:p>
    <w:p>
      <w:pPr>
        <w:spacing w:after="0" w:line="176" w:lineRule="exact"/>
        <w:rPr>
          <w:rFonts w:ascii="Arial" w:cs="Arial" w:eastAsia="Arial" w:hAnsi="Arial"/>
          <w:sz w:val="17"/>
          <w:szCs w:val="17"/>
          <w:color w:val="auto"/>
        </w:rPr>
      </w:pPr>
    </w:p>
    <w:p>
      <w:pPr>
        <w:jc w:val="both"/>
        <w:ind w:left="200" w:right="219" w:firstLine="1305"/>
        <w:spacing w:after="0" w:line="254" w:lineRule="auto"/>
        <w:tabs>
          <w:tab w:leader="none" w:pos="214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 Advances</w:t>
      </w:r>
      <w:r>
        <w:rPr>
          <w:rFonts w:ascii="Arial" w:cs="Arial" w:eastAsia="Arial" w:hAnsi="Arial"/>
          <w:sz w:val="18"/>
          <w:szCs w:val="18"/>
          <w:color w:val="auto"/>
        </w:rPr>
        <w:t>. Borrower shall have the option to prepay all, but not less than all, the Term Loan Advances advanced by Bank under this Agreement, provided Borrower (i) provides written notice to Bank of its election to prepay the Term Loan Advances at least thirty (30) days prior to such prepayment, and (ii) pays, on the date of such prepayment (A) all outstanding principal plus accrued and unpaid interest on the Term Loan Advances, (B) the Prepayment Premium, (C) the Final Payment, and (D) all other sums, if any, that shall have become due and payable, including interest at the Default Rate with respect to any past due amounts.</w:t>
      </w:r>
    </w:p>
    <w:p>
      <w:pPr>
        <w:spacing w:after="0" w:line="19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jc w:val="both"/>
        <w:ind w:left="200" w:right="219" w:firstLine="1305"/>
        <w:spacing w:after="0" w:line="259" w:lineRule="auto"/>
        <w:tabs>
          <w:tab w:leader="none" w:pos="214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2.2(b), the principal amount outstanding under each Term Loan Advance shall accrue interest at a floating per annum rate equal to the greater of (i) the Prime Rate plus two percent (2.0%) and (ii) six and three-quarters of one percent (6.75%), which interest, in each case, shall be payable monthly in accordance with Sections 2.1.1(b) and 2.2(d).</w:t>
      </w:r>
    </w:p>
    <w:p>
      <w:pPr>
        <w:spacing w:after="0" w:line="186" w:lineRule="exact"/>
        <w:rPr>
          <w:rFonts w:ascii="Arial" w:cs="Arial" w:eastAsia="Arial" w:hAnsi="Arial"/>
          <w:sz w:val="18"/>
          <w:szCs w:val="18"/>
          <w:color w:val="auto"/>
        </w:rPr>
      </w:pPr>
    </w:p>
    <w:p>
      <w:pPr>
        <w:jc w:val="both"/>
        <w:ind w:left="200" w:right="219" w:firstLine="1305"/>
        <w:spacing w:after="0" w:line="271" w:lineRule="auto"/>
        <w:tabs>
          <w:tab w:leader="none" w:pos="215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Upon the election of Bank after the occurrence and during the continuance of an Event of Default, Obligations shall bear interest at a rate per annum which is four percent (4.0%)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Bank.</w:t>
      </w:r>
    </w:p>
    <w:p>
      <w:pPr>
        <w:spacing w:after="0" w:line="178" w:lineRule="exact"/>
        <w:rPr>
          <w:rFonts w:ascii="Arial" w:cs="Arial" w:eastAsia="Arial" w:hAnsi="Arial"/>
          <w:sz w:val="17"/>
          <w:szCs w:val="17"/>
          <w:color w:val="auto"/>
        </w:rPr>
      </w:pPr>
    </w:p>
    <w:p>
      <w:pPr>
        <w:jc w:val="both"/>
        <w:ind w:left="200" w:right="219" w:firstLine="1305"/>
        <w:spacing w:after="0" w:line="263" w:lineRule="auto"/>
        <w:tabs>
          <w:tab w:leader="none" w:pos="217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83" w:lineRule="exact"/>
        <w:rPr>
          <w:rFonts w:ascii="Arial" w:cs="Arial" w:eastAsia="Arial" w:hAnsi="Arial"/>
          <w:sz w:val="18"/>
          <w:szCs w:val="18"/>
          <w:color w:val="auto"/>
        </w:rPr>
      </w:pPr>
    </w:p>
    <w:p>
      <w:pPr>
        <w:jc w:val="both"/>
        <w:ind w:left="200" w:right="219" w:firstLine="1305"/>
        <w:spacing w:after="0" w:line="273" w:lineRule="auto"/>
        <w:tabs>
          <w:tab w:leader="none" w:pos="215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Payment; Interest Computation</w:t>
      </w:r>
      <w:r>
        <w:rPr>
          <w:rFonts w:ascii="Arial" w:cs="Arial" w:eastAsia="Arial" w:hAnsi="Arial"/>
          <w:sz w:val="17"/>
          <w:szCs w:val="17"/>
          <w:color w:val="auto"/>
        </w:rPr>
        <w:t>. Interest is payable monthly on the Payment Date and shall be computed on the basis of a 360-day year for the actual number of days elapsed. In computing interest, (i) all payments received after 12:00 p.m. Eastern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74"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Bank:</w:t>
      </w:r>
    </w:p>
    <w:p>
      <w:pPr>
        <w:spacing w:after="0" w:line="229" w:lineRule="exact"/>
        <w:rPr>
          <w:sz w:val="20"/>
          <w:szCs w:val="20"/>
          <w:color w:val="auto"/>
        </w:rPr>
      </w:pPr>
    </w:p>
    <w:p>
      <w:pPr>
        <w:ind w:left="2160" w:hanging="655"/>
        <w:spacing w:after="0"/>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w:t>
      </w:r>
    </w:p>
    <w:p>
      <w:pPr>
        <w:spacing w:after="0" w:line="225" w:lineRule="exact"/>
        <w:rPr>
          <w:rFonts w:ascii="Arial" w:cs="Arial" w:eastAsia="Arial" w:hAnsi="Arial"/>
          <w:sz w:val="18"/>
          <w:szCs w:val="18"/>
          <w:color w:val="auto"/>
        </w:rPr>
      </w:pPr>
    </w:p>
    <w:p>
      <w:pPr>
        <w:ind w:left="2160" w:hanging="655"/>
        <w:spacing w:after="0"/>
        <w:tabs>
          <w:tab w:leader="none" w:pos="21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and</w:t>
      </w:r>
    </w:p>
    <w:p>
      <w:pPr>
        <w:spacing w:after="0" w:line="225" w:lineRule="exact"/>
        <w:rPr>
          <w:rFonts w:ascii="Arial" w:cs="Arial" w:eastAsia="Arial" w:hAnsi="Arial"/>
          <w:sz w:val="18"/>
          <w:szCs w:val="18"/>
          <w:color w:val="auto"/>
        </w:rPr>
      </w:pPr>
    </w:p>
    <w:p>
      <w:pPr>
        <w:jc w:val="both"/>
        <w:ind w:left="200" w:right="219" w:firstLine="1305"/>
        <w:spacing w:after="0" w:line="263" w:lineRule="auto"/>
        <w:tabs>
          <w:tab w:leader="none" w:pos="218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and documented out-of-pocket attorneys’ fees and expenses for documentation and negotiation of this Agreement</w:t>
      </w:r>
      <w:r>
        <w:rPr>
          <w:rFonts w:ascii="Arial" w:cs="Arial" w:eastAsia="Arial" w:hAnsi="Arial"/>
          <w:sz w:val="18"/>
          <w:szCs w:val="18"/>
          <w:b w:val="1"/>
          <w:bCs w:val="1"/>
          <w:color w:val="auto"/>
        </w:rPr>
        <w:t>)</w:t>
      </w:r>
      <w:r>
        <w:rPr>
          <w:rFonts w:ascii="Arial" w:cs="Arial" w:eastAsia="Arial" w:hAnsi="Arial"/>
          <w:sz w:val="18"/>
          <w:szCs w:val="18"/>
          <w:color w:val="auto"/>
        </w:rPr>
        <w:t xml:space="preserve"> incurred through and after the Effective Date, when due (or, if no stated due date, upon demand by Bank).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both"/>
        <w:ind w:left="200" w:right="219" w:firstLine="648"/>
        <w:spacing w:after="0" w:line="273" w:lineRule="auto"/>
        <w:rPr>
          <w:sz w:val="20"/>
          <w:szCs w:val="20"/>
          <w:color w:val="auto"/>
        </w:rPr>
      </w:pPr>
      <w:r>
        <w:rPr>
          <w:rFonts w:ascii="Arial" w:cs="Arial" w:eastAsia="Arial" w:hAnsi="Arial"/>
          <w:sz w:val="17"/>
          <w:szCs w:val="17"/>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2.3 pursuant to the terms of Section 2.4(c). Bank shall provide Borrower written notice of deductions made from the Designated Deposit Account pursuant to the terms of the clauses of this Section 2.3.</w:t>
      </w:r>
    </w:p>
    <w:p>
      <w:pPr>
        <w:spacing w:after="0" w:line="174"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jc w:val="both"/>
        <w:ind w:left="200" w:right="219" w:firstLine="1305"/>
        <w:spacing w:after="0" w:line="255" w:lineRule="auto"/>
        <w:tabs>
          <w:tab w:leader="none" w:pos="2186"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Eastern time on the date when due. Payments of principal and/or interest received after 12:00 p.m. Eastern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92" w:lineRule="exact"/>
        <w:rPr>
          <w:rFonts w:ascii="Arial" w:cs="Arial" w:eastAsia="Arial" w:hAnsi="Arial"/>
          <w:sz w:val="18"/>
          <w:szCs w:val="18"/>
          <w:color w:val="auto"/>
        </w:rPr>
      </w:pPr>
    </w:p>
    <w:p>
      <w:pPr>
        <w:jc w:val="both"/>
        <w:ind w:left="200" w:right="219" w:firstLine="1305"/>
        <w:spacing w:after="0" w:line="301" w:lineRule="auto"/>
        <w:tabs>
          <w:tab w:leader="none" w:pos="215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57" w:lineRule="exact"/>
        <w:rPr>
          <w:rFonts w:ascii="Arial" w:cs="Arial" w:eastAsia="Arial" w:hAnsi="Arial"/>
          <w:sz w:val="16"/>
          <w:szCs w:val="16"/>
          <w:color w:val="auto"/>
        </w:rPr>
      </w:pPr>
    </w:p>
    <w:p>
      <w:pPr>
        <w:jc w:val="both"/>
        <w:ind w:left="200" w:right="239" w:firstLine="1305"/>
        <w:spacing w:after="0" w:line="259" w:lineRule="auto"/>
        <w:tabs>
          <w:tab w:leader="none" w:pos="217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 may debit the Designated Deposit Account, and to the extent sufficient funds are not present in the Designated Deposit Account at the time of such debit, or if an Event of Default has occurred and is continuing, any of Borrower’s deposit accounts, for principal and interest payments or any other amounts Borrower owes Bank when due. These debits shall not constitute a set-off.</w:t>
      </w:r>
    </w:p>
    <w:p>
      <w:pPr>
        <w:spacing w:after="0" w:line="183"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7"/>
          <w:szCs w:val="17"/>
          <w:b w:val="1"/>
          <w:bCs w:val="1"/>
          <w:color w:val="auto"/>
        </w:rPr>
        <w:t xml:space="preserve">2.5 Withholding. </w:t>
      </w:r>
      <w:r>
        <w:rPr>
          <w:rFonts w:ascii="Arial" w:cs="Arial" w:eastAsia="Arial" w:hAnsi="Arial"/>
          <w:sz w:val="17"/>
          <w:szCs w:val="17"/>
          <w:color w:val="auto"/>
        </w:rPr>
        <w:t>Payments received by Bank from Borrower under this Agreement will be made</w:t>
      </w:r>
      <w:r>
        <w:rPr>
          <w:rFonts w:ascii="Arial" w:cs="Arial" w:eastAsia="Arial" w:hAnsi="Arial"/>
          <w:sz w:val="17"/>
          <w:szCs w:val="17"/>
          <w:b w:val="1"/>
          <w:bCs w:val="1"/>
          <w:color w:val="auto"/>
        </w:rPr>
        <w:t xml:space="preserve"> </w:t>
      </w:r>
      <w:r>
        <w:rPr>
          <w:rFonts w:ascii="Arial" w:cs="Arial" w:eastAsia="Arial" w:hAnsi="Arial"/>
          <w:sz w:val="17"/>
          <w:szCs w:val="17"/>
          <w:color w:val="auto"/>
        </w:rPr>
        <w:t>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2.5 shall survive the termination of this Agreement.</w:t>
      </w:r>
    </w:p>
    <w:p>
      <w:pPr>
        <w:spacing w:after="0" w:line="182" w:lineRule="exact"/>
        <w:rPr>
          <w:sz w:val="20"/>
          <w:szCs w:val="20"/>
          <w:color w:val="auto"/>
        </w:rPr>
      </w:pPr>
    </w:p>
    <w:p>
      <w:pPr>
        <w:ind w:left="1520" w:hanging="663"/>
        <w:spacing w:after="0"/>
        <w:tabs>
          <w:tab w:leader="none" w:pos="152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condition precedent that Bank shall have received, in form and substance satisfactory to Bank, such documents, and completion of such other matters, as Bank may reasonably have requested, including, without limitation:</w:t>
      </w:r>
    </w:p>
    <w:p>
      <w:pPr>
        <w:spacing w:after="0" w:line="184" w:lineRule="exact"/>
        <w:rPr>
          <w:sz w:val="20"/>
          <w:szCs w:val="20"/>
          <w:color w:val="auto"/>
        </w:rPr>
      </w:pPr>
    </w:p>
    <w:p>
      <w:pPr>
        <w:ind w:left="2160" w:hanging="655"/>
        <w:spacing w:after="0"/>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ind w:left="2160" w:hanging="655"/>
        <w:spacing w:after="0"/>
        <w:tabs>
          <w:tab w:leader="none" w:pos="2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225" w:lineRule="exact"/>
        <w:rPr>
          <w:rFonts w:ascii="Arial" w:cs="Arial" w:eastAsia="Arial" w:hAnsi="Arial"/>
          <w:sz w:val="18"/>
          <w:szCs w:val="18"/>
          <w:color w:val="auto"/>
        </w:rPr>
      </w:pPr>
    </w:p>
    <w:p>
      <w:pPr>
        <w:ind w:left="2220" w:hanging="715"/>
        <w:spacing w:after="0"/>
        <w:tabs>
          <w:tab w:leader="none" w:pos="2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duly executed signatures to the Control Agreement among Bank, U.S. Bank National</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Association, and Aclaris;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200" w:right="219" w:firstLine="1305"/>
        <w:spacing w:after="0" w:line="275" w:lineRule="auto"/>
        <w:tabs>
          <w:tab w:leader="none" w:pos="21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(i) Aclaris certified by the Secretary of State of Delaware and the Department of State of the Commonwealth of Pennsylvania that Aclaris is qualified to conduct business in such jurisdictions, and (ii) Confluence certified by the Secretary of State of Delaware and the Secretary of State of Missouri that Confluence is qualified to conduct business in such jurisdiction, in each case, each as of a date no earlier than thirty (30) days prior to the Effective Date;</w:t>
      </w:r>
    </w:p>
    <w:p>
      <w:pPr>
        <w:spacing w:after="0" w:line="176" w:lineRule="exact"/>
        <w:rPr>
          <w:rFonts w:ascii="Arial" w:cs="Arial" w:eastAsia="Arial" w:hAnsi="Arial"/>
          <w:sz w:val="17"/>
          <w:szCs w:val="17"/>
          <w:color w:val="auto"/>
        </w:rPr>
      </w:pPr>
    </w:p>
    <w:p>
      <w:pPr>
        <w:jc w:val="both"/>
        <w:ind w:left="200" w:right="219" w:firstLine="1305"/>
        <w:spacing w:after="0" w:line="263" w:lineRule="auto"/>
        <w:tabs>
          <w:tab w:leader="none" w:pos="2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secretary’s corporate borrowing certificate of each Borrower with respect to such Borrower’s Operating Documents, incumbency, specimen signatures and resolutions authorizing the execution and delivery of this Agreement and the other Loan Documents;</w:t>
      </w:r>
    </w:p>
    <w:p>
      <w:pPr>
        <w:spacing w:after="0" w:line="183" w:lineRule="exact"/>
        <w:rPr>
          <w:rFonts w:ascii="Arial" w:cs="Arial" w:eastAsia="Arial" w:hAnsi="Arial"/>
          <w:sz w:val="18"/>
          <w:szCs w:val="18"/>
          <w:color w:val="auto"/>
        </w:rPr>
      </w:pPr>
    </w:p>
    <w:p>
      <w:pPr>
        <w:ind w:left="2180" w:hanging="675"/>
        <w:spacing w:after="0"/>
        <w:tabs>
          <w:tab w:leader="none" w:pos="2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duly executed signatures to the completed Borrowing Resolutions for each Borrower;</w:t>
      </w:r>
    </w:p>
    <w:p>
      <w:pPr>
        <w:spacing w:after="0" w:line="236" w:lineRule="exact"/>
        <w:rPr>
          <w:rFonts w:ascii="Arial" w:cs="Arial" w:eastAsia="Arial" w:hAnsi="Arial"/>
          <w:sz w:val="17"/>
          <w:szCs w:val="17"/>
          <w:color w:val="auto"/>
        </w:rPr>
      </w:pPr>
    </w:p>
    <w:p>
      <w:pPr>
        <w:jc w:val="both"/>
        <w:ind w:left="200" w:right="239" w:firstLine="1305"/>
        <w:spacing w:after="0" w:line="259" w:lineRule="auto"/>
        <w:tabs>
          <w:tab w:leader="none" w:pos="21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6" w:lineRule="exact"/>
        <w:rPr>
          <w:rFonts w:ascii="Arial" w:cs="Arial" w:eastAsia="Arial" w:hAnsi="Arial"/>
          <w:sz w:val="18"/>
          <w:szCs w:val="18"/>
          <w:color w:val="auto"/>
        </w:rPr>
      </w:pPr>
    </w:p>
    <w:p>
      <w:pPr>
        <w:ind w:left="2200" w:hanging="695"/>
        <w:spacing w:after="0"/>
        <w:tabs>
          <w:tab w:leader="none" w:pos="2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Perfection Certificate of each Borrower,  together with the duly executed signature</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10" w:lineRule="exact"/>
        <w:rPr>
          <w:rFonts w:ascii="Arial" w:cs="Arial" w:eastAsia="Arial" w:hAnsi="Arial"/>
          <w:sz w:val="17"/>
          <w:szCs w:val="17"/>
          <w:color w:val="auto"/>
        </w:rPr>
      </w:pPr>
    </w:p>
    <w:p>
      <w:pPr>
        <w:ind w:left="200" w:right="219" w:firstLine="1305"/>
        <w:spacing w:after="0" w:line="277" w:lineRule="auto"/>
        <w:tabs>
          <w:tab w:leader="none" w:pos="21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landlord’s consent in favor of Bank for 640 Lee Road, Suite 200, Wayne, Pennsylvania 19087 by the respective landlord thereof, together with the duly executed signatures thereto;</w:t>
      </w:r>
    </w:p>
    <w:p>
      <w:pPr>
        <w:spacing w:after="0" w:line="170" w:lineRule="exact"/>
        <w:rPr>
          <w:rFonts w:ascii="Arial" w:cs="Arial" w:eastAsia="Arial" w:hAnsi="Arial"/>
          <w:sz w:val="18"/>
          <w:szCs w:val="18"/>
          <w:color w:val="auto"/>
        </w:rPr>
      </w:pPr>
    </w:p>
    <w:p>
      <w:pPr>
        <w:jc w:val="both"/>
        <w:ind w:left="200" w:right="219" w:firstLine="1305"/>
        <w:spacing w:after="0" w:line="263" w:lineRule="auto"/>
        <w:tabs>
          <w:tab w:leader="none" w:pos="21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evidence reasonably satisfactory to Bank that the insurance policies and endorsements required by Section 6.5 hereof are in full force and effect, together with appropriate evidence showing lender loss payable and/or additional insured clauses or endorsements in favor of Bank; and</w:t>
      </w:r>
    </w:p>
    <w:p>
      <w:pPr>
        <w:spacing w:after="0" w:line="183" w:lineRule="exact"/>
        <w:rPr>
          <w:rFonts w:ascii="Arial" w:cs="Arial" w:eastAsia="Arial" w:hAnsi="Arial"/>
          <w:sz w:val="18"/>
          <w:szCs w:val="18"/>
          <w:color w:val="auto"/>
        </w:rPr>
      </w:pPr>
    </w:p>
    <w:p>
      <w:pPr>
        <w:ind w:left="2200" w:hanging="695"/>
        <w:spacing w:after="0"/>
        <w:tabs>
          <w:tab w:leader="none" w:pos="2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Bank Expenses then due as specified in Section 2.3(c) hereof.</w:t>
      </w:r>
    </w:p>
    <w:p>
      <w:pPr>
        <w:spacing w:after="0" w:line="221" w:lineRule="exact"/>
        <w:rPr>
          <w:sz w:val="20"/>
          <w:szCs w:val="20"/>
          <w:color w:val="auto"/>
        </w:rPr>
      </w:pPr>
    </w:p>
    <w:p>
      <w:pPr>
        <w:ind w:left="200" w:right="219" w:firstLine="648"/>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including the initial Credit Extension, is subject to the following conditions precedent:</w:t>
      </w:r>
    </w:p>
    <w:p>
      <w:pPr>
        <w:spacing w:after="0" w:line="166" w:lineRule="exact"/>
        <w:rPr>
          <w:sz w:val="20"/>
          <w:szCs w:val="20"/>
          <w:color w:val="auto"/>
        </w:rPr>
      </w:pPr>
    </w:p>
    <w:p>
      <w:pPr>
        <w:ind w:left="2260" w:hanging="755"/>
        <w:spacing w:after="0"/>
        <w:tabs>
          <w:tab w:leader="none" w:pos="2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provided  in  Section  3.4,  timely  receipt  of  an  executed</w:t>
      </w:r>
    </w:p>
    <w:p>
      <w:pPr>
        <w:spacing w:after="0" w:line="23"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Payment/Advance Form;</w:t>
      </w:r>
    </w:p>
    <w:p>
      <w:pPr>
        <w:spacing w:after="0" w:line="210" w:lineRule="exact"/>
        <w:rPr>
          <w:rFonts w:ascii="Arial" w:cs="Arial" w:eastAsia="Arial" w:hAnsi="Arial"/>
          <w:sz w:val="18"/>
          <w:szCs w:val="18"/>
          <w:color w:val="auto"/>
        </w:rPr>
      </w:pPr>
    </w:p>
    <w:p>
      <w:pPr>
        <w:jc w:val="both"/>
        <w:ind w:left="200" w:right="219" w:firstLine="1305"/>
        <w:spacing w:after="0" w:line="269" w:lineRule="auto"/>
        <w:tabs>
          <w:tab w:leader="none" w:pos="21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proposed Credit Extension and/or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178" w:lineRule="exact"/>
        <w:rPr>
          <w:rFonts w:ascii="Arial" w:cs="Arial" w:eastAsia="Arial" w:hAnsi="Arial"/>
          <w:sz w:val="17"/>
          <w:szCs w:val="17"/>
          <w:color w:val="auto"/>
        </w:rPr>
      </w:pPr>
    </w:p>
    <w:p>
      <w:pPr>
        <w:jc w:val="both"/>
        <w:ind w:left="200" w:right="219" w:firstLine="1305"/>
        <w:spacing w:after="0" w:line="259" w:lineRule="auto"/>
        <w:tabs>
          <w:tab w:leader="none" w:pos="22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 determines to its reasonable satisfaction that there has not been any material impairment in the general affairs, management, results of operation, financial condition or the prospect of repayment of the Obligations, or any material adverse deviation by Borrower from the most recent business forecast of Borrower presented to and accepted by Bank.</w:t>
      </w:r>
    </w:p>
    <w:p>
      <w:pPr>
        <w:spacing w:after="0" w:line="183" w:lineRule="exact"/>
        <w:rPr>
          <w:sz w:val="20"/>
          <w:szCs w:val="20"/>
          <w:color w:val="auto"/>
        </w:rPr>
      </w:pPr>
    </w:p>
    <w:p>
      <w:pPr>
        <w:ind w:left="200" w:right="219" w:firstLine="648"/>
        <w:spacing w:after="0" w:line="312"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Bank each item required to be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Bank under this Agreement as a condition precedent to any Credit Extension. Borrower expressly agrees that a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200" w:right="219"/>
        <w:spacing w:after="0" w:line="263" w:lineRule="auto"/>
        <w:rPr>
          <w:sz w:val="20"/>
          <w:szCs w:val="20"/>
          <w:color w:val="auto"/>
        </w:rPr>
      </w:pPr>
      <w:r>
        <w:rPr>
          <w:rFonts w:ascii="Arial" w:cs="Arial" w:eastAsia="Arial" w:hAnsi="Arial"/>
          <w:sz w:val="18"/>
          <w:szCs w:val="18"/>
          <w:color w:val="auto"/>
        </w:rPr>
        <w:t>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b w:val="1"/>
          <w:bCs w:val="1"/>
          <w:color w:val="auto"/>
        </w:rPr>
        <w:t>3.4 Procedures for Borrowing</w:t>
      </w:r>
      <w:r>
        <w:rPr>
          <w:rFonts w:ascii="Arial" w:cs="Arial" w:eastAsia="Arial" w:hAnsi="Arial"/>
          <w:sz w:val="16"/>
          <w:szCs w:val="16"/>
          <w:color w:val="auto"/>
        </w:rPr>
        <w:t>. Subject to the prior satisfaction of all other applicable conditions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making of a Credit Extension set forth in this Agreement, to obtain a Credit Extension, Borrower shall notify Bank (which notice shall be irrevocable) by electronic mail, facsimile, or telephone by 12:00 p.m. Eastern time at least two</w:t>
      </w:r>
    </w:p>
    <w:p>
      <w:pPr>
        <w:spacing w:after="0" w:line="2" w:lineRule="exact"/>
        <w:rPr>
          <w:sz w:val="20"/>
          <w:szCs w:val="20"/>
          <w:color w:val="auto"/>
        </w:rPr>
      </w:pPr>
    </w:p>
    <w:p>
      <w:pPr>
        <w:jc w:val="both"/>
        <w:ind w:left="200" w:right="219" w:firstLine="9"/>
        <w:spacing w:after="0" w:line="290" w:lineRule="auto"/>
        <w:tabs>
          <w:tab w:leader="none" w:pos="4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Business Days prior to the proposed Funding Date of the Credit Extension. Together with any such electronic or facsimile notification, Borrower shall deliver to Bank by electronic mail or facsimile a completed Payment/Advance Form executed by an Authorized Signer. Bank may rely on any telephone notice given by a person whom Bank reasonably believes is an Authorized Signer. Bank shall credit the Credit Extensions to the Designated Deposit Account. Bank may make Credit Extensions under this Agreement based on instructions from an Authorized Signer or without instructions if the Credit Extensions are necessary to meet Obligations which have become due.</w:t>
      </w:r>
    </w:p>
    <w:p>
      <w:pPr>
        <w:spacing w:after="0" w:line="159" w:lineRule="exact"/>
        <w:rPr>
          <w:rFonts w:ascii="Arial" w:cs="Arial" w:eastAsia="Arial" w:hAnsi="Arial"/>
          <w:sz w:val="16"/>
          <w:szCs w:val="16"/>
          <w:color w:val="auto"/>
        </w:rPr>
      </w:pPr>
    </w:p>
    <w:p>
      <w:pPr>
        <w:ind w:left="1520" w:hanging="663"/>
        <w:spacing w:after="0"/>
        <w:tabs>
          <w:tab w:leader="none" w:pos="1520" w:val="left"/>
        </w:tabs>
        <w:numPr>
          <w:ilvl w:val="1"/>
          <w:numId w:val="1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to secure the payment and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of all of the Obligations, a continuing security interest in, and pledges to Bank, the Collateral, wherever located, whether now owned or hereafter acquired or arising, and all proceeds and products thereof.</w:t>
      </w:r>
    </w:p>
    <w:p>
      <w:pPr>
        <w:spacing w:after="0" w:line="162"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84"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Bank in its good faith business judgment), to secure all of the Obligations relating to such Letters of Credit.</w:t>
      </w:r>
    </w:p>
    <w:p>
      <w:pPr>
        <w:spacing w:after="0" w:line="6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color w:val="auto"/>
        </w:rPr>
        <w:t>If any of the Collateral shall be sold, transferred or otherwise disposed of by Borrower in a transaction permitted hereunder, then Bank, at the request and sole expense of Borrower, shall execute and deliver to Borrower all releases or other documents reasonably necessary or desirable for the release of the Liens created hereby on such Collateral.</w:t>
      </w:r>
    </w:p>
    <w:p>
      <w:pPr>
        <w:spacing w:after="0" w:line="183"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6"/>
          <w:szCs w:val="16"/>
          <w:b w:val="1"/>
          <w:bCs w:val="1"/>
          <w:color w:val="auto"/>
        </w:rPr>
        <w:t>4.2 Priority of Security Interest</w:t>
      </w:r>
      <w:r>
        <w:rPr>
          <w:rFonts w:ascii="Arial" w:cs="Arial" w:eastAsia="Arial" w:hAnsi="Arial"/>
          <w:sz w:val="16"/>
          <w:szCs w:val="16"/>
          <w:color w:val="auto"/>
        </w:rPr>
        <w:t>. Borrower represents, warrants, and covenants that the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granted herein is and shall at all times 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in excess of Two Hundred Fifty Thousand Dollars ($250,000.00),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161" w:lineRule="exact"/>
        <w:rPr>
          <w:sz w:val="20"/>
          <w:szCs w:val="20"/>
          <w:color w:val="auto"/>
        </w:rPr>
      </w:pPr>
    </w:p>
    <w:p>
      <w:pPr>
        <w:jc w:val="both"/>
        <w:ind w:left="200" w:right="239" w:firstLine="648"/>
        <w:spacing w:after="0" w:line="347" w:lineRule="auto"/>
        <w:rPr>
          <w:sz w:val="20"/>
          <w:szCs w:val="20"/>
          <w:color w:val="auto"/>
        </w:rPr>
      </w:pPr>
      <w:r>
        <w:rPr>
          <w:rFonts w:ascii="Arial" w:cs="Arial" w:eastAsia="Arial" w:hAnsi="Arial"/>
          <w:sz w:val="16"/>
          <w:szCs w:val="16"/>
          <w:b w:val="1"/>
          <w:bCs w:val="1"/>
          <w:color w:val="auto"/>
        </w:rPr>
        <w:t>4.3 Authorization to File Financing Statements</w:t>
      </w:r>
      <w:r>
        <w:rPr>
          <w:rFonts w:ascii="Arial" w:cs="Arial" w:eastAsia="Arial" w:hAnsi="Arial"/>
          <w:sz w:val="16"/>
          <w:szCs w:val="16"/>
          <w:color w:val="auto"/>
        </w:rPr>
        <w:t>. Borrower hereby authorizes Bank to file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without notice to Borrower, with all appropriate jurisdictions to perfect or protect Bank’s interest or rights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jc w:val="both"/>
        <w:ind w:left="200" w:right="239"/>
        <w:spacing w:after="0" w:line="279" w:lineRule="auto"/>
        <w:rPr>
          <w:sz w:val="20"/>
          <w:szCs w:val="20"/>
          <w:color w:val="auto"/>
        </w:rPr>
      </w:pPr>
      <w:r>
        <w:rPr>
          <w:rFonts w:ascii="Arial" w:cs="Arial" w:eastAsia="Arial" w:hAnsi="Arial"/>
          <w:sz w:val="17"/>
          <w:szCs w:val="17"/>
          <w:color w:val="auto"/>
        </w:rPr>
        <w:t>hereunder, including a notice that any disposition of the Collateral, except to the extent not prohibited by the terms of this Agreement,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67" w:lineRule="exact"/>
        <w:rPr>
          <w:sz w:val="20"/>
          <w:szCs w:val="20"/>
          <w:color w:val="auto"/>
        </w:rPr>
      </w:pPr>
    </w:p>
    <w:p>
      <w:pPr>
        <w:ind w:left="1520" w:hanging="663"/>
        <w:spacing w:after="0"/>
        <w:tabs>
          <w:tab w:leader="none" w:pos="1520" w:val="left"/>
        </w:tabs>
        <w:numPr>
          <w:ilvl w:val="0"/>
          <w:numId w:val="1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Borrower represents and warrants to Bank as follows:</w:t>
      </w:r>
    </w:p>
    <w:p>
      <w:pPr>
        <w:spacing w:after="0" w:line="221" w:lineRule="exact"/>
        <w:rPr>
          <w:sz w:val="20"/>
          <w:szCs w:val="20"/>
          <w:color w:val="auto"/>
        </w:rPr>
      </w:pPr>
    </w:p>
    <w:p>
      <w:pPr>
        <w:jc w:val="both"/>
        <w:ind w:left="200" w:right="219" w:firstLine="648"/>
        <w:spacing w:after="0" w:line="285"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as a Registered Organization in its 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each Borrower has delivered to Bank a completed certificate signed by such Borrower, entitled “Perfection Certificate” (collectively,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Each Borrower represents and warrants to Bank that (a) such Borrower’s exact legal name is stated on the Perfection Certificate and on the signature page hereof; (b) such Borrower is an organization of the type and is organized in the jurisdiction set forth in the Perfection Certificate; (c) the Perfection Certificate accurately sets forth such Borrower’s organizational identification number or accurately states that such Borrower has none; (d) the Perfection Certificate accurately sets forth such Borrower’s place of business, or, if more than one, its chief executive office as well as such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such Borrower and each of its Subsidiaries is accurate and complete in all material respects (it being understood and agreed that such Borrower may from time to time update certain information in the Perfection Certificate after the Effective Date to the extent permitted by one or more specific provisions in this Agreement and provided that the Perfection Certificate shall be deemed to be updated to reflect the information provided in any notice that is required or permitted to be delivered (and is actually delivered) by Borrower to Bank). If any Borrower is not now a Registered Organization but later becomes one, such Borrower shall promptly notify Bank of such occurrence and provide Bank with such Borrower’s organizational identification number.</w:t>
      </w:r>
    </w:p>
    <w:p>
      <w:pPr>
        <w:spacing w:after="0" w:line="38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78" w:lineRule="exact"/>
        <w:rPr>
          <w:sz w:val="20"/>
          <w:szCs w:val="20"/>
          <w:color w:val="auto"/>
        </w:rPr>
      </w:pPr>
    </w:p>
    <w:p>
      <w:pPr>
        <w:jc w:val="both"/>
        <w:ind w:left="200" w:right="239" w:firstLine="648"/>
        <w:spacing w:after="0" w:line="255" w:lineRule="auto"/>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 Borrower has good title to, rights in, and the power to transfer each item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193"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None of the components of the Collateral shall be maintained at locations other than as provided in the Perfection Certificate or as permitted pursuant to Section 7.2.</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jc w:val="both"/>
        <w:ind w:left="200" w:right="219" w:firstLine="648"/>
        <w:spacing w:after="0" w:line="270" w:lineRule="auto"/>
        <w:rPr>
          <w:sz w:val="20"/>
          <w:szCs w:val="20"/>
          <w:color w:val="auto"/>
        </w:rPr>
      </w:pPr>
      <w:r>
        <w:rPr>
          <w:rFonts w:ascii="Arial" w:cs="Arial" w:eastAsia="Arial" w:hAnsi="Arial"/>
          <w:sz w:val="17"/>
          <w:szCs w:val="17"/>
          <w:color w:val="auto"/>
        </w:rPr>
        <w:t>Borrower is the sole owner of the Intellectual Property which it owns or purports to own except for (a) licenses permitted hereunder, (b) over-the-counter software that is commercially available to the public, and (c) material Intellectual Property licensed to Borrower and noted on the Perfection Certificate or disclosed to Bank in writing pursuant to Section 6.7(b) hereof.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which it owns or purports to own violates the rights of any third party except to the extent such claim would not reasonably be expected to have a material adverse effect on Borrower’s business.</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Except as noted on the Perfection Certificate, Borrower is not a party to, nor is it bound by, any Restricted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License.</w:t>
      </w:r>
    </w:p>
    <w:p>
      <w:pPr>
        <w:spacing w:after="0" w:line="207" w:lineRule="exact"/>
        <w:rPr>
          <w:sz w:val="20"/>
          <w:szCs w:val="20"/>
          <w:color w:val="auto"/>
        </w:rPr>
      </w:pPr>
    </w:p>
    <w:p>
      <w:pPr>
        <w:jc w:val="both"/>
        <w:ind w:left="200" w:right="239" w:firstLine="648"/>
        <w:spacing w:after="0" w:line="289" w:lineRule="auto"/>
        <w:rPr>
          <w:sz w:val="20"/>
          <w:szCs w:val="20"/>
          <w:color w:val="auto"/>
        </w:rPr>
      </w:pPr>
      <w:r>
        <w:rPr>
          <w:rFonts w:ascii="Arial" w:cs="Arial" w:eastAsia="Arial" w:hAnsi="Arial"/>
          <w:sz w:val="17"/>
          <w:szCs w:val="17"/>
          <w:b w:val="1"/>
          <w:bCs w:val="1"/>
          <w:color w:val="auto"/>
        </w:rPr>
        <w:t>5.3 Litigation</w:t>
      </w:r>
      <w:r>
        <w:rPr>
          <w:rFonts w:ascii="Arial" w:cs="Arial" w:eastAsia="Arial" w:hAnsi="Arial"/>
          <w:sz w:val="17"/>
          <w:szCs w:val="17"/>
          <w:color w:val="auto"/>
        </w:rPr>
        <w:t>. Except as noted on the Perfection Certificate, there are no actions or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to the knowledge of any Responsible Officer, threatened in writing by or against Borrower or any of its Subsidiaries involving more than, individually or in the aggregate, One Hundred Thousand Dollars ($100,000.00).</w:t>
      </w:r>
    </w:p>
    <w:p>
      <w:pPr>
        <w:spacing w:after="0" w:line="158" w:lineRule="exact"/>
        <w:rPr>
          <w:sz w:val="20"/>
          <w:szCs w:val="20"/>
          <w:color w:val="auto"/>
        </w:rPr>
      </w:pPr>
    </w:p>
    <w:p>
      <w:pPr>
        <w:jc w:val="both"/>
        <w:ind w:left="200" w:right="219" w:firstLine="648"/>
        <w:spacing w:after="0" w:line="303" w:lineRule="auto"/>
        <w:rPr>
          <w:sz w:val="20"/>
          <w:szCs w:val="20"/>
          <w:color w:val="auto"/>
        </w:rPr>
      </w:pPr>
      <w:r>
        <w:rPr>
          <w:rFonts w:ascii="Arial" w:cs="Arial" w:eastAsia="Arial" w:hAnsi="Arial"/>
          <w:sz w:val="16"/>
          <w:szCs w:val="16"/>
          <w:b w:val="1"/>
          <w:bCs w:val="1"/>
          <w:color w:val="auto"/>
        </w:rPr>
        <w:t>5.4 Financial Statements; Financial Condition</w:t>
      </w:r>
      <w:r>
        <w:rPr>
          <w:rFonts w:ascii="Arial" w:cs="Arial" w:eastAsia="Arial" w:hAnsi="Arial"/>
          <w:sz w:val="16"/>
          <w:szCs w:val="16"/>
          <w:color w:val="auto"/>
        </w:rPr>
        <w:t>. All consolidated financial statements for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of its Subsidiaries delivered to Bank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51" w:lineRule="exact"/>
        <w:rPr>
          <w:sz w:val="20"/>
          <w:szCs w:val="20"/>
          <w:color w:val="auto"/>
        </w:rPr>
      </w:pPr>
    </w:p>
    <w:p>
      <w:pPr>
        <w:jc w:val="both"/>
        <w:ind w:left="200" w:right="239" w:firstLine="648"/>
        <w:spacing w:after="0" w:line="314" w:lineRule="auto"/>
        <w:rPr>
          <w:sz w:val="20"/>
          <w:szCs w:val="20"/>
          <w:color w:val="auto"/>
        </w:rPr>
      </w:pPr>
      <w:r>
        <w:rPr>
          <w:rFonts w:ascii="Arial" w:cs="Arial" w:eastAsia="Arial" w:hAnsi="Arial"/>
          <w:sz w:val="16"/>
          <w:szCs w:val="16"/>
          <w:b w:val="1"/>
          <w:bCs w:val="1"/>
          <w:color w:val="auto"/>
        </w:rPr>
        <w:t>5.5 Solvency</w:t>
      </w:r>
      <w:r>
        <w:rPr>
          <w:rFonts w:ascii="Arial" w:cs="Arial" w:eastAsia="Arial" w:hAnsi="Arial"/>
          <w:sz w:val="16"/>
          <w:szCs w:val="16"/>
          <w:color w:val="auto"/>
        </w:rPr>
        <w:t>. The fair salable value of Borrower’s consolidated assets (including goodwill minus</w:t>
      </w:r>
      <w:r>
        <w:rPr>
          <w:rFonts w:ascii="Arial" w:cs="Arial" w:eastAsia="Arial" w:hAnsi="Arial"/>
          <w:sz w:val="16"/>
          <w:szCs w:val="16"/>
          <w:b w:val="1"/>
          <w:bCs w:val="1"/>
          <w:color w:val="auto"/>
        </w:rPr>
        <w:t xml:space="preserve"> </w:t>
      </w:r>
      <w:r>
        <w:rPr>
          <w:rFonts w:ascii="Arial" w:cs="Arial" w:eastAsia="Arial" w:hAnsi="Arial"/>
          <w:sz w:val="16"/>
          <w:szCs w:val="16"/>
          <w:color w:val="auto"/>
        </w:rPr>
        <w:t>disposition costs) exceeds the fair value of Borrower’s liabilities; Borrower is not left with unreasonably small capital after the transactions in this Agreement; and Borrower is able to pay its debts (including trade debts) as they mature.</w:t>
      </w:r>
    </w:p>
    <w:p>
      <w:pPr>
        <w:spacing w:after="0" w:line="142"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b w:val="1"/>
          <w:bCs w:val="1"/>
          <w:color w:val="auto"/>
        </w:rPr>
        <w:t>5.6 Regulatory Compliance</w:t>
      </w:r>
      <w:r>
        <w:rPr>
          <w:rFonts w:ascii="Arial" w:cs="Arial" w:eastAsia="Arial" w:hAnsi="Arial"/>
          <w:sz w:val="16"/>
          <w:szCs w:val="16"/>
          <w:color w:val="auto"/>
        </w:rPr>
        <w:t>. Borrower is not an “investment company” or a company “controlled” by</w:t>
      </w:r>
      <w:r>
        <w:rPr>
          <w:rFonts w:ascii="Arial" w:cs="Arial" w:eastAsia="Arial" w:hAnsi="Arial"/>
          <w:sz w:val="16"/>
          <w:szCs w:val="16"/>
          <w:b w:val="1"/>
          <w:bCs w:val="1"/>
          <w:color w:val="auto"/>
        </w:rPr>
        <w:t xml:space="preserve"> </w:t>
      </w:r>
      <w:r>
        <w:rPr>
          <w:rFonts w:ascii="Arial" w:cs="Arial" w:eastAsia="Arial" w:hAnsi="Arial"/>
          <w:sz w:val="16"/>
          <w:szCs w:val="16"/>
          <w:color w:val="auto"/>
        </w:rPr>
        <w:t>an “investment company” under the 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61"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b w:val="1"/>
          <w:bCs w:val="1"/>
          <w:color w:val="auto"/>
        </w:rPr>
        <w:t>5.7 Subsidiaries; Investments</w:t>
      </w:r>
      <w:r>
        <w:rPr>
          <w:rFonts w:ascii="Arial" w:cs="Arial" w:eastAsia="Arial" w:hAnsi="Arial"/>
          <w:sz w:val="18"/>
          <w:szCs w:val="18"/>
          <w:color w:val="auto"/>
        </w:rPr>
        <w:t>. Borrower does not own any stock, partnership interest,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interest or other equity securities except for Permitted Investments.</w:t>
      </w:r>
    </w:p>
    <w:p>
      <w:pPr>
        <w:spacing w:after="0" w:line="162"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6"/>
          <w:szCs w:val="16"/>
          <w:b w:val="1"/>
          <w:bCs w:val="1"/>
          <w:color w:val="auto"/>
        </w:rPr>
        <w:t>5.8 Tax Returns and Payments; Pension Contributions</w:t>
      </w:r>
      <w:r>
        <w:rPr>
          <w:rFonts w:ascii="Arial" w:cs="Arial" w:eastAsia="Arial" w:hAnsi="Arial"/>
          <w:sz w:val="16"/>
          <w:szCs w:val="16"/>
          <w:color w:val="auto"/>
        </w:rPr>
        <w:t>. Borrower has timely filed all required tax</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reports, and Borrower has timely 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($50,000.00).</w:t>
      </w:r>
    </w:p>
    <w:p>
      <w:pPr>
        <w:spacing w:after="0" w:line="164"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Fifty Thousand Dollars ($50,000.00).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jc w:val="both"/>
        <w:ind w:left="200" w:right="219"/>
        <w:spacing w:after="0" w:line="277" w:lineRule="auto"/>
        <w:rPr>
          <w:sz w:val="20"/>
          <w:szCs w:val="20"/>
          <w:color w:val="auto"/>
        </w:rPr>
      </w:pPr>
      <w:r>
        <w:rPr>
          <w:rFonts w:ascii="Arial" w:cs="Arial" w:eastAsia="Arial" w:hAnsi="Arial"/>
          <w:sz w:val="18"/>
          <w:szCs w:val="18"/>
          <w:color w:val="auto"/>
        </w:rPr>
        <w:t>including any liability to the Pension Benefit Guaranty Corporation or its successors or any other Governmental Authority.</w:t>
      </w:r>
    </w:p>
    <w:p>
      <w:pPr>
        <w:spacing w:after="0" w:line="166"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7"/>
          <w:szCs w:val="17"/>
          <w:b w:val="1"/>
          <w:bCs w:val="1"/>
          <w:color w:val="auto"/>
        </w:rPr>
        <w:t>5.9 Use of Proceeds</w:t>
      </w:r>
      <w:r>
        <w:rPr>
          <w:rFonts w:ascii="Arial" w:cs="Arial" w:eastAsia="Arial" w:hAnsi="Arial"/>
          <w:sz w:val="17"/>
          <w:szCs w:val="17"/>
          <w:color w:val="auto"/>
        </w:rPr>
        <w:t>. Borrower shall use the proceeds of the Credit Extensions as working capital, and</w:t>
      </w:r>
      <w:r>
        <w:rPr>
          <w:rFonts w:ascii="Arial" w:cs="Arial" w:eastAsia="Arial" w:hAnsi="Arial"/>
          <w:sz w:val="17"/>
          <w:szCs w:val="17"/>
          <w:b w:val="1"/>
          <w:bCs w:val="1"/>
          <w:color w:val="auto"/>
        </w:rPr>
        <w:t xml:space="preserve"> </w:t>
      </w:r>
      <w:r>
        <w:rPr>
          <w:rFonts w:ascii="Arial" w:cs="Arial" w:eastAsia="Arial" w:hAnsi="Arial"/>
          <w:sz w:val="17"/>
          <w:szCs w:val="17"/>
          <w:color w:val="auto"/>
        </w:rPr>
        <w:t>to fund its general business requirements and not for personal, family, household or agricultural purposes.</w:t>
      </w:r>
    </w:p>
    <w:p>
      <w:pPr>
        <w:spacing w:after="0" w:line="140"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6"/>
          <w:szCs w:val="16"/>
          <w:b w:val="1"/>
          <w:bCs w:val="1"/>
          <w:color w:val="auto"/>
        </w:rPr>
        <w:t>5.10 Full Disclosure</w:t>
      </w:r>
      <w:r>
        <w:rPr>
          <w:rFonts w:ascii="Arial" w:cs="Arial" w:eastAsia="Arial" w:hAnsi="Arial"/>
          <w:sz w:val="16"/>
          <w:szCs w:val="16"/>
          <w:color w:val="auto"/>
        </w:rPr>
        <w:t>. No written representation, warranty or other statement of Borrower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or written statement given to 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61"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is made to Borrower’s knowledge or awareness, to the “best of” Borrower’s knowledge, or with a similar qualification, knowledge or awareness means the actual knowledge, after reasonable investigation, of any Responsible Officer.</w:t>
      </w:r>
    </w:p>
    <w:p>
      <w:pPr>
        <w:spacing w:after="0" w:line="180" w:lineRule="exact"/>
        <w:rPr>
          <w:sz w:val="20"/>
          <w:szCs w:val="20"/>
          <w:color w:val="auto"/>
        </w:rPr>
      </w:pPr>
    </w:p>
    <w:p>
      <w:pPr>
        <w:ind w:left="1520" w:hanging="663"/>
        <w:spacing w:after="0"/>
        <w:tabs>
          <w:tab w:leader="none" w:pos="1520" w:val="left"/>
        </w:tabs>
        <w:numPr>
          <w:ilvl w:val="0"/>
          <w:numId w:val="1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29" w:lineRule="exact"/>
        <w:rPr>
          <w:sz w:val="20"/>
          <w:szCs w:val="20"/>
          <w:color w:val="auto"/>
        </w:rPr>
      </w:pPr>
    </w:p>
    <w:p>
      <w:pPr>
        <w:jc w:val="both"/>
        <w:ind w:left="200" w:right="219" w:firstLine="1305"/>
        <w:spacing w:after="0" w:line="257" w:lineRule="auto"/>
        <w:tabs>
          <w:tab w:leader="none" w:pos="21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7" w:lineRule="exact"/>
        <w:rPr>
          <w:rFonts w:ascii="Arial" w:cs="Arial" w:eastAsia="Arial" w:hAnsi="Arial"/>
          <w:sz w:val="18"/>
          <w:szCs w:val="18"/>
          <w:color w:val="auto"/>
        </w:rPr>
      </w:pPr>
    </w:p>
    <w:p>
      <w:pPr>
        <w:jc w:val="both"/>
        <w:ind w:left="200" w:right="239" w:firstLine="1305"/>
        <w:spacing w:after="0" w:line="286" w:lineRule="auto"/>
        <w:tabs>
          <w:tab w:leader="none" w:pos="2169"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and the grant of a security interest to Bank in Collateral. Borrower shall promptly provide copies of any such obtained Governmental Approvals to Bank.</w:t>
      </w:r>
    </w:p>
    <w:p>
      <w:pPr>
        <w:spacing w:after="0" w:line="16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29" w:lineRule="exact"/>
        <w:rPr>
          <w:sz w:val="20"/>
          <w:szCs w:val="20"/>
          <w:color w:val="auto"/>
        </w:rPr>
      </w:pPr>
    </w:p>
    <w:p>
      <w:pPr>
        <w:jc w:val="both"/>
        <w:ind w:left="200" w:right="219" w:firstLine="1305"/>
        <w:spacing w:after="0" w:line="259" w:lineRule="auto"/>
        <w:tabs>
          <w:tab w:leader="none" w:pos="214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a company prepared consolidated balance sheet and income statement covering Borrower’s consolidated operations for such month certified by a Responsible Officer and in a form acceptable to Bank (the “</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200" w:right="219" w:firstLine="1305"/>
        <w:spacing w:after="0" w:line="257" w:lineRule="auto"/>
        <w:tabs>
          <w:tab w:leader="none" w:pos="215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Monthly Compliance Certificate</w:t>
      </w:r>
      <w:r>
        <w:rPr>
          <w:rFonts w:ascii="Arial" w:cs="Arial" w:eastAsia="Arial" w:hAnsi="Arial"/>
          <w:sz w:val="18"/>
          <w:szCs w:val="18"/>
          <w:color w:val="auto"/>
        </w:rPr>
        <w:t>. Within thirty (30) days after the last day of each month and together with the Monthly Financial Statements, a duly completed Compliance Certificate signed by a Responsible Officer, certifying that as of the end of such month, Borrower was in compliance with all of the terms and conditions of this Agreement, and setting forth calculations showing compliance with the financial covenants, if any, set forth in this Agreement;</w:t>
      </w:r>
    </w:p>
    <w:p>
      <w:pPr>
        <w:spacing w:after="0" w:line="187" w:lineRule="exact"/>
        <w:rPr>
          <w:rFonts w:ascii="Arial" w:cs="Arial" w:eastAsia="Arial" w:hAnsi="Arial"/>
          <w:sz w:val="18"/>
          <w:szCs w:val="18"/>
          <w:color w:val="auto"/>
        </w:rPr>
      </w:pPr>
    </w:p>
    <w:p>
      <w:pPr>
        <w:jc w:val="both"/>
        <w:ind w:left="200" w:right="239" w:firstLine="1305"/>
        <w:spacing w:after="0" w:line="275" w:lineRule="auto"/>
        <w:tabs>
          <w:tab w:leader="none" w:pos="221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Annual Operating Budget and Financial Projections</w:t>
      </w:r>
      <w:r>
        <w:rPr>
          <w:rFonts w:ascii="Arial" w:cs="Arial" w:eastAsia="Arial" w:hAnsi="Arial"/>
          <w:sz w:val="17"/>
          <w:szCs w:val="17"/>
          <w:color w:val="auto"/>
        </w:rPr>
        <w:t>. Within the earlier of (i) Board approval, and (ii) ninety (90) days after the end of each fiscal year of Borrower, and contemporaneously with any updates or changes thereto, (i) annual operating budgets (including income statements, balance sheets and cash flow statements, by month), and (ii) annual financial projections (on a quarterly basis) as approved by the Board, together with any related business forecasts used in the preparation of such annual financial projections;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jc w:val="both"/>
        <w:ind w:left="200" w:right="219" w:firstLine="1305"/>
        <w:spacing w:after="0" w:line="293" w:lineRule="auto"/>
        <w:tabs>
          <w:tab w:leader="none" w:pos="218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Annual Audited Financial Statements</w:t>
      </w:r>
      <w:r>
        <w:rPr>
          <w:rFonts w:ascii="Arial" w:cs="Arial" w:eastAsia="Arial" w:hAnsi="Arial"/>
          <w:sz w:val="16"/>
          <w:szCs w:val="16"/>
          <w:color w:val="auto"/>
        </w:rPr>
        <w:t>. As soon as available, but no later than (i) one hundred twenty (120) days after the last day of Borrower’s fiscal year, or (ii) within five (5) Business Days of filing with SEC, audited consolidated financial statements prepared under GAAP, consistently applied, together with an unqualified opinion on the financial statements from an independent certified public accounting firm reasonably acceptable to Bank, provided that such audited financial statements shall be deemed to have been delivered to Bank on the date on which such financial statement is publicly available via EDGAR on the SEC’s website at www.sec.gov;</w:t>
      </w:r>
    </w:p>
    <w:p>
      <w:pPr>
        <w:spacing w:after="0" w:line="164" w:lineRule="exact"/>
        <w:rPr>
          <w:rFonts w:ascii="Arial" w:cs="Arial" w:eastAsia="Arial" w:hAnsi="Arial"/>
          <w:sz w:val="16"/>
          <w:szCs w:val="16"/>
          <w:color w:val="auto"/>
        </w:rPr>
      </w:pPr>
    </w:p>
    <w:p>
      <w:pPr>
        <w:ind w:left="200" w:right="239" w:firstLine="1305"/>
        <w:spacing w:after="0" w:line="277" w:lineRule="auto"/>
        <w:tabs>
          <w:tab w:leader="none" w:pos="2159"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jc w:val="both"/>
        <w:ind w:left="200" w:right="219" w:firstLine="1305"/>
        <w:spacing w:after="0" w:line="255" w:lineRule="auto"/>
        <w:tabs>
          <w:tab w:leader="none" w:pos="2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shall be deemed to have been delivered to Bank if publicly available via EDGAR on the SEC’s website at www.sec.gov;</w:t>
      </w:r>
    </w:p>
    <w:p>
      <w:pPr>
        <w:spacing w:after="0" w:line="192" w:lineRule="exact"/>
        <w:rPr>
          <w:rFonts w:ascii="Arial" w:cs="Arial" w:eastAsia="Arial" w:hAnsi="Arial"/>
          <w:sz w:val="18"/>
          <w:szCs w:val="18"/>
          <w:color w:val="auto"/>
        </w:rPr>
      </w:pPr>
    </w:p>
    <w:p>
      <w:pPr>
        <w:jc w:val="both"/>
        <w:ind w:left="200" w:right="219" w:firstLine="1305"/>
        <w:spacing w:after="0" w:line="286" w:lineRule="auto"/>
        <w:tabs>
          <w:tab w:leader="none" w:pos="215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Legal Action Notice</w:t>
      </w:r>
      <w:r>
        <w:rPr>
          <w:rFonts w:ascii="Arial" w:cs="Arial" w:eastAsia="Arial" w:hAnsi="Arial"/>
          <w:sz w:val="17"/>
          <w:szCs w:val="17"/>
          <w:color w:val="auto"/>
        </w:rPr>
        <w:t>. A prompt report of any legal actions pending or threatened in writing against Borrower or any of its Subsidiaries that could result in damages or costs to Borrower or any of its Subsidiaries of, individually or in the aggregate, One Hundred Thousand Dollars ($100,000.00) or more</w:t>
      </w:r>
    </w:p>
    <w:p>
      <w:pPr>
        <w:spacing w:after="0" w:line="165" w:lineRule="exact"/>
        <w:rPr>
          <w:rFonts w:ascii="Arial" w:cs="Arial" w:eastAsia="Arial" w:hAnsi="Arial"/>
          <w:sz w:val="17"/>
          <w:szCs w:val="17"/>
          <w:color w:val="auto"/>
        </w:rPr>
      </w:pPr>
    </w:p>
    <w:p>
      <w:pPr>
        <w:jc w:val="both"/>
        <w:ind w:left="200" w:right="219" w:firstLine="1305"/>
        <w:spacing w:after="0" w:line="254" w:lineRule="auto"/>
        <w:tabs>
          <w:tab w:leader="none" w:pos="215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(i) To the extent Aclaris is no longer a public company, Aclaris shall promptly provide Bank with an updated Perfection Certificate setting forth its beneficial ownership information, and (ii) Confluence shall provide Bank with prompt written notice of any changes to the beneficial ownership information set forth in Section 2(d) and (e) of the Perfection Certificate. In each case, Borrower understands and acknowledges that Bank relies on such true, accurate and up-to-date beneficial ownership information to meet Bank’s regulatory obligations to obtain, verify and record information about the beneficial owners of its legal entity customers; and</w:t>
      </w:r>
    </w:p>
    <w:p>
      <w:pPr>
        <w:spacing w:after="0" w:line="194" w:lineRule="exact"/>
        <w:rPr>
          <w:rFonts w:ascii="Arial" w:cs="Arial" w:eastAsia="Arial" w:hAnsi="Arial"/>
          <w:sz w:val="18"/>
          <w:szCs w:val="18"/>
          <w:color w:val="auto"/>
        </w:rPr>
      </w:pPr>
    </w:p>
    <w:p>
      <w:pPr>
        <w:ind w:left="2180" w:hanging="675"/>
        <w:spacing w:after="0"/>
        <w:tabs>
          <w:tab w:leader="none" w:pos="21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Other Financial Information</w:t>
      </w:r>
      <w:r>
        <w:rPr>
          <w:rFonts w:ascii="Arial" w:cs="Arial" w:eastAsia="Arial" w:hAnsi="Arial"/>
          <w:sz w:val="17"/>
          <w:szCs w:val="17"/>
          <w:color w:val="auto"/>
        </w:rPr>
        <w:t>. Other financial information reasonably requested by Bank.</w:t>
      </w:r>
    </w:p>
    <w:p>
      <w:pPr>
        <w:spacing w:after="0" w:line="233"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Inventory</w:t>
      </w:r>
      <w:r>
        <w:rPr>
          <w:rFonts w:ascii="Arial" w:cs="Arial" w:eastAsia="Arial" w:hAnsi="Arial"/>
          <w:sz w:val="16"/>
          <w:szCs w:val="16"/>
          <w:color w:val="auto"/>
        </w:rPr>
        <w:t>. Keep all Inventory in good and marketable condition, free from material defects.</w:t>
      </w:r>
    </w:p>
    <w:p>
      <w:pPr>
        <w:spacing w:after="0" w:line="225"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6"/>
          <w:szCs w:val="16"/>
          <w:b w:val="1"/>
          <w:bCs w:val="1"/>
          <w:color w:val="auto"/>
        </w:rPr>
        <w:t>6.4 Taxes; Pensions</w:t>
      </w:r>
      <w:r>
        <w:rPr>
          <w:rFonts w:ascii="Arial" w:cs="Arial" w:eastAsia="Arial" w:hAnsi="Arial"/>
          <w:sz w:val="16"/>
          <w:szCs w:val="16"/>
          <w:color w:val="auto"/>
        </w:rPr>
        <w:t>. Timely file, and require each of its Subsidiaries to timely file, all required tax</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reports and timely pay, and require each of its Subsidiaries to timely pay, all foreign, federal, state and local taxes, assessments, deposits and contributions owed by Borrower and each of its Subsidiaries, except for (i) any taxes in an amount less than Fifty Thousand Dollars ($50,000.00), (ii) deferred payment of any taxes contested pursuant to the terms of Section 5.8 hereof, or (iii) as otherwise permitted in Section 5.8 hereof, and shall deliver to Bank, on demand, appropriate certificates attesting to such payments, and pay all amounts necessary to fund all present pension, profit sharing and deferred compensation plans in accordance with their terms.</w:t>
      </w:r>
    </w:p>
    <w:p>
      <w:pPr>
        <w:spacing w:after="0" w:line="16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200" w:right="219" w:firstLine="1305"/>
        <w:spacing w:after="0" w:line="254" w:lineRule="auto"/>
        <w:tabs>
          <w:tab w:leader="none" w:pos="21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All property policies shall have a lender’s loss payable endorsement showing Bank as lender loss payable. All liability policies shall show, or have endorsements showing, Bank as an additional insured. Bank shall be named as lender loss payable and/or additional insured with respect to any such insurance providing coverage in respect of any Collateral.</w:t>
      </w:r>
    </w:p>
    <w:p>
      <w:pPr>
        <w:spacing w:after="0" w:line="194" w:lineRule="exact"/>
        <w:rPr>
          <w:rFonts w:ascii="Arial" w:cs="Arial" w:eastAsia="Arial" w:hAnsi="Arial"/>
          <w:sz w:val="18"/>
          <w:szCs w:val="18"/>
          <w:color w:val="auto"/>
        </w:rPr>
      </w:pPr>
    </w:p>
    <w:p>
      <w:pPr>
        <w:ind w:left="200" w:right="239" w:firstLine="1305"/>
        <w:spacing w:after="0" w:line="277" w:lineRule="auto"/>
        <w:tabs>
          <w:tab w:leader="none" w:pos="21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jc w:val="both"/>
        <w:ind w:left="200" w:right="219" w:firstLine="1305"/>
        <w:spacing w:after="0" w:line="291" w:lineRule="auto"/>
        <w:tabs>
          <w:tab w:leader="none" w:pos="22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Bank’s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Bank, that it will give Bank thirty (30) days prior written notice before any such policy or policies shall be materially altered or canceled. If Borrower fails to obtain insurance as required under this Section 6.5 or to pay any amount or furnish any required proof of payment to third persons and Bank, Bank may make all or part of such payment or obtain such insurance policies required in this Section 6.5, and take any action under the policies Bank deems prudent.</w:t>
      </w:r>
    </w:p>
    <w:p>
      <w:pPr>
        <w:spacing w:after="0" w:line="162"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jc w:val="both"/>
        <w:ind w:left="200" w:right="219" w:firstLine="1305"/>
        <w:spacing w:after="0" w:line="259" w:lineRule="auto"/>
        <w:tabs>
          <w:tab w:leader="none" w:pos="21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all of its and all of its Subsidiaries’ operating accounts and excess cash with Bank and Bank’s Affiliates, except for Excluded Accounts. In addition to the foregoing, Borrower shall conduct all of its primary banking with Bank and Bank’s Affiliates, including, without limitation, letters of credit and business credit cards.</w:t>
      </w:r>
    </w:p>
    <w:p>
      <w:pPr>
        <w:spacing w:after="0" w:line="186" w:lineRule="exact"/>
        <w:rPr>
          <w:rFonts w:ascii="Arial" w:cs="Arial" w:eastAsia="Arial" w:hAnsi="Arial"/>
          <w:sz w:val="18"/>
          <w:szCs w:val="18"/>
          <w:color w:val="auto"/>
        </w:rPr>
      </w:pPr>
    </w:p>
    <w:p>
      <w:pPr>
        <w:jc w:val="both"/>
        <w:ind w:left="200" w:right="219" w:firstLine="1305"/>
        <w:spacing w:after="0" w:line="272" w:lineRule="auto"/>
        <w:tabs>
          <w:tab w:leader="none" w:pos="21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Excluded Accounts.</w:t>
      </w:r>
    </w:p>
    <w:p>
      <w:pPr>
        <w:spacing w:after="0" w:line="173"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jc w:val="both"/>
        <w:ind w:left="200" w:right="219" w:firstLine="1305"/>
        <w:spacing w:after="0" w:line="255" w:lineRule="auto"/>
        <w:tabs>
          <w:tab w:leader="none" w:pos="21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Use commercially reasonably efforts to protect, defend and maintain the validity and enforceability of its Intellectual Property material to the Borrower’s business; (ii) promptly advise Bank in writing of material infringements or any other event that could reasonably be expected to materially and adversely affect the value of its Intellectual Property material to the Borrower’s business; and (iii) not allow any Intellectual Property material to Borrower’s business or operations to be abandoned, forfeited or dedicated to the public without Bank’s written consent.</w:t>
      </w:r>
    </w:p>
    <w:p>
      <w:pPr>
        <w:spacing w:after="0" w:line="192" w:lineRule="exact"/>
        <w:rPr>
          <w:rFonts w:ascii="Arial" w:cs="Arial" w:eastAsia="Arial" w:hAnsi="Arial"/>
          <w:sz w:val="18"/>
          <w:szCs w:val="18"/>
          <w:color w:val="auto"/>
        </w:rPr>
      </w:pPr>
    </w:p>
    <w:p>
      <w:pPr>
        <w:jc w:val="both"/>
        <w:ind w:left="200" w:right="219" w:firstLine="1305"/>
        <w:spacing w:after="0" w:line="271" w:lineRule="auto"/>
        <w:tabs>
          <w:tab w:leader="none" w:pos="21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written notice to Bank within ten (10) days of entering or becoming bound by any Restricted License (other than over-the-counter software that is commercially available to the public). Borrower shall take such commercially reasonable steps as Bank reasonably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74" w:lineRule="exact"/>
        <w:rPr>
          <w:sz w:val="20"/>
          <w:szCs w:val="20"/>
          <w:color w:val="auto"/>
        </w:rPr>
      </w:pPr>
    </w:p>
    <w:p>
      <w:pPr>
        <w:jc w:val="both"/>
        <w:ind w:left="200" w:right="219" w:firstLine="648"/>
        <w:spacing w:after="0" w:line="303" w:lineRule="auto"/>
        <w:rPr>
          <w:sz w:val="20"/>
          <w:szCs w:val="20"/>
          <w:color w:val="auto"/>
        </w:rPr>
      </w:pPr>
      <w:r>
        <w:rPr>
          <w:rFonts w:ascii="Arial" w:cs="Arial" w:eastAsia="Arial" w:hAnsi="Arial"/>
          <w:sz w:val="16"/>
          <w:szCs w:val="16"/>
          <w:b w:val="1"/>
          <w:bCs w:val="1"/>
          <w:color w:val="auto"/>
        </w:rPr>
        <w:t>6.8 Litigation Cooperation</w:t>
      </w:r>
      <w:r>
        <w:rPr>
          <w:rFonts w:ascii="Arial" w:cs="Arial" w:eastAsia="Arial" w:hAnsi="Arial"/>
          <w:sz w:val="16"/>
          <w:szCs w:val="16"/>
          <w:color w:val="auto"/>
        </w:rPr>
        <w:t>. From the date hereof and continuing through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151"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Access to Collateral; Books and Records</w:t>
      </w:r>
      <w:r>
        <w:rPr>
          <w:rFonts w:ascii="Arial" w:cs="Arial" w:eastAsia="Arial" w:hAnsi="Arial"/>
          <w:sz w:val="16"/>
          <w:szCs w:val="16"/>
          <w:color w:val="auto"/>
        </w:rPr>
        <w:t>. Allow Bank, or its agents, at reasonable times, on three</w:t>
      </w:r>
    </w:p>
    <w:p>
      <w:pPr>
        <w:spacing w:after="0" w:line="27" w:lineRule="exact"/>
        <w:rPr>
          <w:sz w:val="20"/>
          <w:szCs w:val="20"/>
          <w:color w:val="auto"/>
        </w:rPr>
      </w:pPr>
    </w:p>
    <w:p>
      <w:pPr>
        <w:jc w:val="both"/>
        <w:ind w:left="200" w:right="219" w:firstLine="9"/>
        <w:spacing w:after="0" w:line="251"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Day’s written notice (provided no notice is required if an Event of Default has occurred and is continuing),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 and the charge therefor shall be One Thousand Dollars ($1,000.00) per person per day (or such higher amount as shall represent Bank’s then-current standard charge for the same), plus reasonable out-of-pocket expenses. In the event Borrower and Bank schedule an audit more than eight (8) days in advance, and Borrower cancels or seeks to reschedule the audit with less than eight (8) days written notice to Bank, then (without limiting any of Bank’s rights or remedies), Borrower shall pay Bank a fee of Two Thousand Dollars ($2,000.00) plus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both"/>
        <w:ind w:left="200" w:right="239"/>
        <w:spacing w:after="0" w:line="277" w:lineRule="auto"/>
        <w:rPr>
          <w:sz w:val="20"/>
          <w:szCs w:val="20"/>
          <w:color w:val="auto"/>
        </w:rPr>
      </w:pPr>
      <w:r>
        <w:rPr>
          <w:rFonts w:ascii="Arial" w:cs="Arial" w:eastAsia="Arial" w:hAnsi="Arial"/>
          <w:sz w:val="18"/>
          <w:szCs w:val="18"/>
          <w:color w:val="auto"/>
        </w:rPr>
        <w:t>any out-of-pocket expenses incurred by Bank to compensate Bank for the anticipated costs and expenses of the cancellation or rescheduling.</w:t>
      </w:r>
    </w:p>
    <w:p>
      <w:pPr>
        <w:spacing w:after="0" w:line="166"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6"/>
          <w:szCs w:val="16"/>
          <w:b w:val="1"/>
          <w:bCs w:val="1"/>
          <w:color w:val="auto"/>
        </w:rPr>
        <w:t>6.10 Further Assurances</w:t>
      </w:r>
      <w:r>
        <w:rPr>
          <w:rFonts w:ascii="Arial" w:cs="Arial" w:eastAsia="Arial" w:hAnsi="Arial"/>
          <w:sz w:val="16"/>
          <w:szCs w:val="16"/>
          <w:color w:val="auto"/>
        </w:rPr>
        <w:t>. Execute any further instruments and take further action as Bank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requests to perfect or continue Bank’s Lien in the Collateral or to effect the purposes of this Agreement. Deliver to Bank, within ten (10)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Borrower or any of its Subsidiaries.</w:t>
      </w:r>
    </w:p>
    <w:p>
      <w:pPr>
        <w:spacing w:after="0" w:line="160" w:lineRule="exact"/>
        <w:rPr>
          <w:sz w:val="20"/>
          <w:szCs w:val="20"/>
          <w:color w:val="auto"/>
        </w:rPr>
      </w:pPr>
    </w:p>
    <w:p>
      <w:pPr>
        <w:ind w:left="1520" w:hanging="663"/>
        <w:spacing w:after="0"/>
        <w:tabs>
          <w:tab w:leader="none" w:pos="1520" w:val="left"/>
        </w:tabs>
        <w:numPr>
          <w:ilvl w:val="0"/>
          <w:numId w:val="2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21"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or otherwise dispose of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pursuant to a Division) (collectively, “Transfer”), or permit any of its Subsidiaries to Transfer, all or any part of its business or property, except for Transfers (a) of any Permitted Transfers; (b) of surplus,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the ordinary course of its business for the payment of ordinary course business expenses in a manner that is not prohibited by the terms of this Agreement or the other Loan Documents; (f) any Permitted Licenses; and (g) the Permitted Dissolutions.</w:t>
      </w:r>
    </w:p>
    <w:p>
      <w:pPr>
        <w:spacing w:after="0" w:line="174" w:lineRule="exact"/>
        <w:rPr>
          <w:sz w:val="20"/>
          <w:szCs w:val="20"/>
          <w:color w:val="auto"/>
        </w:rPr>
      </w:pPr>
    </w:p>
    <w:p>
      <w:pPr>
        <w:jc w:val="both"/>
        <w:ind w:left="200" w:right="239" w:firstLine="648"/>
        <w:spacing w:after="0" w:line="289" w:lineRule="auto"/>
        <w:rPr>
          <w:sz w:val="20"/>
          <w:szCs w:val="20"/>
          <w:color w:val="auto"/>
        </w:rPr>
      </w:pPr>
      <w:r>
        <w:rPr>
          <w:rFonts w:ascii="Arial" w:cs="Arial" w:eastAsia="Arial" w:hAnsi="Arial"/>
          <w:sz w:val="16"/>
          <w:szCs w:val="16"/>
          <w:b w:val="1"/>
          <w:bCs w:val="1"/>
          <w:color w:val="auto"/>
        </w:rPr>
        <w:t xml:space="preserve">7.2 Changes in Business, Management Control, or Business Locations. </w:t>
      </w:r>
      <w:r>
        <w:rPr>
          <w:rFonts w:ascii="Arial" w:cs="Arial" w:eastAsia="Arial" w:hAnsi="Arial"/>
          <w:sz w:val="16"/>
          <w:szCs w:val="16"/>
          <w:color w:val="auto"/>
        </w:rPr>
        <w:t>(a) Engage in or permit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to engage in any business other than the businesses currently engaged in by Borrower and such Subsidiary, as applicable, or reasonably related thereto; (b) liquidate or dissolve (other than Permitted Dissolutions);</w:t>
      </w:r>
    </w:p>
    <w:p>
      <w:pPr>
        <w:spacing w:after="0" w:line="2" w:lineRule="exact"/>
        <w:rPr>
          <w:sz w:val="20"/>
          <w:szCs w:val="20"/>
          <w:color w:val="auto"/>
        </w:rPr>
      </w:pPr>
    </w:p>
    <w:p>
      <w:pPr>
        <w:ind w:left="460" w:hanging="251"/>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provide notice to Bank of any Key Person departing from or ceasing to be employed by Borrower within five</w:t>
      </w:r>
    </w:p>
    <w:p>
      <w:pPr>
        <w:spacing w:after="0" w:line="3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(5) days after such Key Person’s departure from Borrower; or (d) permit or suffer any Change in Control.</w:t>
      </w:r>
    </w:p>
    <w:p>
      <w:pPr>
        <w:spacing w:after="0" w:line="211" w:lineRule="exact"/>
        <w:rPr>
          <w:sz w:val="20"/>
          <w:szCs w:val="20"/>
          <w:color w:val="auto"/>
        </w:rPr>
      </w:pPr>
    </w:p>
    <w:p>
      <w:pPr>
        <w:jc w:val="both"/>
        <w:ind w:left="200" w:right="219" w:firstLine="648"/>
        <w:spacing w:after="0" w:line="267" w:lineRule="auto"/>
        <w:rPr>
          <w:sz w:val="20"/>
          <w:szCs w:val="20"/>
          <w:color w:val="auto"/>
        </w:rPr>
      </w:pPr>
      <w:r>
        <w:rPr>
          <w:rFonts w:ascii="Arial" w:cs="Arial" w:eastAsia="Arial" w:hAnsi="Arial"/>
          <w:sz w:val="17"/>
          <w:szCs w:val="17"/>
          <w:color w:val="auto"/>
        </w:rPr>
        <w:t>Borrower shall not, without at least thirty (30) days prior written notice to Bank: (1) add any new offices or business locations, including new warehouses (unless such new offices or business locations contain less than Two Hundred Fifty Thousand Dollars ($250,000.00) in Borrower’s assets or property) or deliver any portion of the Collateral valued, individually or in the aggregate, in excess of Two Hundred Fifty Thousand Dollars ($250,000.00)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Two Hundred Fifty Thousand Dollars ($250,000.00) of Borrower’s assets or property, not disclosed on the Perfection Certificate, then Borrower will first receive the written consent of Bank, and the landlord of any such new offices or business locations, including warehouses, shall execute and deliver a landlord consent in form and substance reasonably satisfactory to Bank. If Borrower intends to deliver any portion of the Collateral valued, individually or in the aggregate, in excess of Two Hundred Fifty Thousand Dollars ($250,000.00) to a new bailee not disclosed on the Perfection Certificate, and Bank and such bailee are not already parties to a bailee agreement governing both the Collateral and the location to which Borrower intends to deliver the Collateral, then Borrower will first receive the written consent of Bank, and such bailee shall execute and deliver, if required by Bank, a bailee agreement in form and substance reasonably satisfactory to Bank.</w:t>
      </w:r>
    </w:p>
    <w:p>
      <w:pPr>
        <w:spacing w:after="0" w:line="187"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with any other Person, or acquire, or permit any of its Subsidiaries to acquire, all or substantially all of the capital stock or property of another Person (including, without limitation, by the formation of any Subsidiary or pursuant to a Division), provided that a Subsidiary may merge or consolidate into another Subsidiary or into Borrower.</w:t>
      </w:r>
    </w:p>
    <w:p>
      <w:pPr>
        <w:spacing w:after="0" w:line="183"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b w:val="1"/>
          <w:bCs w:val="1"/>
          <w:color w:val="auto"/>
        </w:rPr>
        <w:t xml:space="preserve">7.4 Indebtedness. </w:t>
      </w:r>
      <w:r>
        <w:rPr>
          <w:rFonts w:ascii="Arial" w:cs="Arial" w:eastAsia="Arial" w:hAnsi="Arial"/>
          <w:sz w:val="18"/>
          <w:szCs w:val="18"/>
          <w:color w:val="auto"/>
        </w:rPr>
        <w:t>Create, incur, assume, or be liable for any Indebtedness, or permit any Subsidiary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other than Permitted Indebtedness.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both"/>
        <w:ind w:left="200" w:right="219" w:firstLine="648"/>
        <w:spacing w:after="0" w:line="254"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92"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Section 6.6(b) hereof.</w:t>
      </w:r>
    </w:p>
    <w:p>
      <w:pPr>
        <w:spacing w:after="0" w:line="162"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w:t>
      </w:r>
      <w:r>
        <w:rPr>
          <w:rFonts w:ascii="Arial" w:cs="Arial" w:eastAsia="Arial" w:hAnsi="Arial"/>
          <w:sz w:val="17"/>
          <w:szCs w:val="17"/>
          <w:b w:val="1"/>
          <w:bCs w:val="1"/>
          <w:color w:val="auto"/>
        </w:rPr>
        <w:t xml:space="preserve"> </w:t>
      </w:r>
      <w:r>
        <w:rPr>
          <w:rFonts w:ascii="Arial" w:cs="Arial" w:eastAsia="Arial" w:hAnsi="Arial"/>
          <w:sz w:val="17"/>
          <w:szCs w:val="17"/>
          <w:color w:val="auto"/>
        </w:rPr>
        <w:t>retire or purchase any capital stock provided that (i) Borrower may pay dividends solely in common stock; (ii) Borrower may repurchase the stock of former employees or consultants pursuant to employee stock purchase plans, employee restricted stock agreements, stockholder rights plans, director or consultant stock option plans or similar plans so long as an Event of Default does not exist at the time of such repurchase and would not exist after giving effect to such repurchase, provided that the aggregate amount of all such repurchases does not exceed Five Hundred Thousand Dollars ($500,000.00) per fiscal year, and (iii) Borrower may make distributions or payments to pay payroll and withholdings tax liabilities and obligations in the ordinary course of business; or (b) directly or indirectly make any Investment (including, without limitation, by the formation of any Subsidiary) other than Permitted Investments, or permit any of its Subsidiaries to do so.</w:t>
      </w:r>
    </w:p>
    <w:p>
      <w:pPr>
        <w:spacing w:after="0" w:line="177"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with any Affiliate of Borrower, except for (i) transactions that are in the ordinary course of Borrower’s business, upon fair and reasonable terms that are no less favorable to Borrower than would be obtained in an arm’s length transaction with a non-affiliated Person, (ii) compensation and indemnification of, and other customary employment arrangements with, directors, officers and employees of Borrower, in each case, entered into in the ordinary course of business in accordance with Borrower’s annual financial projections and corporate governance practices, and (iii) intercompany services agreements between Borrower and its Subsidiaries.</w:t>
      </w:r>
    </w:p>
    <w:p>
      <w:pPr>
        <w:spacing w:after="0" w:line="172"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3"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Governmental Authority.</w:t>
      </w:r>
    </w:p>
    <w:p>
      <w:pPr>
        <w:spacing w:after="0" w:line="176" w:lineRule="exact"/>
        <w:rPr>
          <w:sz w:val="20"/>
          <w:szCs w:val="20"/>
          <w:color w:val="auto"/>
        </w:rPr>
      </w:pPr>
    </w:p>
    <w:p>
      <w:pPr>
        <w:ind w:left="1520" w:hanging="663"/>
        <w:spacing w:after="0"/>
        <w:tabs>
          <w:tab w:leader="none" w:pos="1520"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Any one of the following shall constitute an event of default (an “</w:t>
      </w:r>
      <w:r>
        <w:rPr>
          <w:rFonts w:ascii="Arial" w:cs="Arial" w:eastAsia="Arial" w:hAnsi="Arial"/>
          <w:sz w:val="16"/>
          <w:szCs w:val="16"/>
          <w:b w:val="1"/>
          <w:bCs w:val="1"/>
          <w:color w:val="auto"/>
        </w:rPr>
        <w:t>Event of Default</w:t>
      </w:r>
      <w:r>
        <w:rPr>
          <w:rFonts w:ascii="Arial" w:cs="Arial" w:eastAsia="Arial" w:hAnsi="Arial"/>
          <w:sz w:val="16"/>
          <w:szCs w:val="16"/>
          <w:color w:val="auto"/>
        </w:rPr>
        <w:t>”) under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both"/>
        <w:ind w:left="200" w:right="219" w:firstLine="648"/>
        <w:spacing w:after="0" w:line="277" w:lineRule="auto"/>
        <w:rPr>
          <w:sz w:val="20"/>
          <w:szCs w:val="20"/>
          <w:color w:val="auto"/>
        </w:rPr>
      </w:pPr>
      <w:r>
        <w:rPr>
          <w:rFonts w:ascii="Arial" w:cs="Arial" w:eastAsia="Arial" w:hAnsi="Arial"/>
          <w:sz w:val="17"/>
          <w:szCs w:val="17"/>
          <w:b w:val="1"/>
          <w:bCs w:val="1"/>
          <w:color w:val="auto"/>
        </w:rPr>
        <w:t>8.1 Payment Default</w:t>
      </w:r>
      <w:r>
        <w:rPr>
          <w:rFonts w:ascii="Arial" w:cs="Arial" w:eastAsia="Arial" w:hAnsi="Arial"/>
          <w:sz w:val="17"/>
          <w:szCs w:val="17"/>
          <w:color w:val="auto"/>
        </w:rPr>
        <w:t>. Borrower fails to (a) make any payment of principal or interest on any Credit</w:t>
      </w:r>
      <w:r>
        <w:rPr>
          <w:rFonts w:ascii="Arial" w:cs="Arial" w:eastAsia="Arial" w:hAnsi="Arial"/>
          <w:sz w:val="17"/>
          <w:szCs w:val="17"/>
          <w:b w:val="1"/>
          <w:bCs w:val="1"/>
          <w:color w:val="auto"/>
        </w:rPr>
        <w:t xml:space="preserve"> </w:t>
      </w:r>
      <w:r>
        <w:rPr>
          <w:rFonts w:ascii="Arial" w:cs="Arial" w:eastAsia="Arial" w:hAnsi="Arial"/>
          <w:sz w:val="17"/>
          <w:szCs w:val="17"/>
          <w:color w:val="auto"/>
        </w:rPr>
        <w:t>Extension when due, or (b) 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68"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left="200" w:right="239" w:firstLine="1305"/>
        <w:spacing w:after="0" w:line="277" w:lineRule="auto"/>
        <w:tabs>
          <w:tab w:leader="none" w:pos="21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6.4, 6.5, 6.6, 6.7(b), 6.9, or violates any covenant in Section 7; or</w:t>
      </w:r>
    </w:p>
    <w:p>
      <w:pPr>
        <w:spacing w:after="0" w:line="170" w:lineRule="exact"/>
        <w:rPr>
          <w:rFonts w:ascii="Arial" w:cs="Arial" w:eastAsia="Arial" w:hAnsi="Arial"/>
          <w:sz w:val="18"/>
          <w:szCs w:val="18"/>
          <w:color w:val="auto"/>
        </w:rPr>
      </w:pPr>
    </w:p>
    <w:p>
      <w:pPr>
        <w:jc w:val="both"/>
        <w:ind w:left="200" w:right="219" w:firstLine="1305"/>
        <w:spacing w:after="0" w:line="288" w:lineRule="auto"/>
        <w:tabs>
          <w:tab w:leader="none" w:pos="221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64"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Material Adverse Change</w:t>
      </w:r>
      <w:r>
        <w:rPr>
          <w:rFonts w:ascii="Arial" w:cs="Arial" w:eastAsia="Arial" w:hAnsi="Arial"/>
          <w:sz w:val="16"/>
          <w:szCs w:val="16"/>
          <w:color w:val="auto"/>
        </w:rPr>
        <w:t>. A Material Adverse Change occurs;</w:t>
      </w:r>
    </w:p>
    <w:p>
      <w:pPr>
        <w:spacing w:after="0" w:line="225"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jc w:val="both"/>
        <w:ind w:left="200" w:right="219" w:firstLine="1305"/>
        <w:spacing w:after="0" w:line="296" w:lineRule="auto"/>
        <w:tabs>
          <w:tab w:leader="none" w:pos="21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61" w:lineRule="exact"/>
        <w:rPr>
          <w:rFonts w:ascii="Arial" w:cs="Arial" w:eastAsia="Arial" w:hAnsi="Arial"/>
          <w:sz w:val="16"/>
          <w:szCs w:val="16"/>
          <w:color w:val="auto"/>
        </w:rPr>
      </w:pPr>
    </w:p>
    <w:p>
      <w:pPr>
        <w:jc w:val="both"/>
        <w:ind w:left="200" w:right="239" w:firstLine="1305"/>
        <w:spacing w:after="0" w:line="263" w:lineRule="auto"/>
        <w:tabs>
          <w:tab w:leader="none" w:pos="21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80"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unable to pay its debts (including trade debts)</w:t>
      </w:r>
      <w:r>
        <w:rPr>
          <w:rFonts w:ascii="Arial" w:cs="Arial" w:eastAsia="Arial" w:hAnsi="Arial"/>
          <w:sz w:val="17"/>
          <w:szCs w:val="17"/>
          <w:b w:val="1"/>
          <w:bCs w:val="1"/>
          <w:color w:val="auto"/>
        </w:rPr>
        <w:t xml:space="preserve"> </w:t>
      </w:r>
      <w:r>
        <w:rPr>
          <w:rFonts w:ascii="Arial" w:cs="Arial" w:eastAsia="Arial" w:hAnsi="Arial"/>
          <w:sz w:val="17"/>
          <w:szCs w:val="17"/>
          <w:color w:val="auto"/>
        </w:rPr>
        <w:t>as they become 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68"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under any agreement to which Borrower or any Guarantor is a party</w:t>
      </w:r>
      <w:r>
        <w:rPr>
          <w:rFonts w:ascii="Arial" w:cs="Arial" w:eastAsia="Arial" w:hAnsi="Arial"/>
          <w:sz w:val="17"/>
          <w:szCs w:val="17"/>
          <w:b w:val="1"/>
          <w:bCs w:val="1"/>
          <w:color w:val="auto"/>
        </w:rPr>
        <w:t xml:space="preserve"> </w:t>
      </w:r>
      <w:r>
        <w:rPr>
          <w:rFonts w:ascii="Arial" w:cs="Arial" w:eastAsia="Arial" w:hAnsi="Arial"/>
          <w:sz w:val="17"/>
          <w:szCs w:val="17"/>
          <w:color w:val="auto"/>
        </w:rPr>
        <w:t>with a third party or parties, (a) any default resulting in a right by such third party or parties, whether or not exercised, to accelerate the maturity of any Indebtedness in an amount individually or in the aggregate in excess of Five Hundred Thousand Dollars ($500,000.00); or (b) any breach or default by Borrower or Guarantor, the result of which could have a material adverse effect on Borrower’s or any Guarantor’s business;</w:t>
      </w:r>
    </w:p>
    <w:p>
      <w:pPr>
        <w:spacing w:after="0" w:line="168"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6"/>
          <w:szCs w:val="16"/>
          <w:b w:val="1"/>
          <w:bCs w:val="1"/>
          <w:color w:val="auto"/>
        </w:rPr>
        <w:t>8.7 Judgments; Penalties</w:t>
      </w:r>
      <w:r>
        <w:rPr>
          <w:rFonts w:ascii="Arial" w:cs="Arial" w:eastAsia="Arial" w:hAnsi="Arial"/>
          <w:sz w:val="16"/>
          <w:szCs w:val="16"/>
          <w:color w:val="auto"/>
        </w:rPr>
        <w:t>. One or more fines, penalties or final judgments, orders or decrees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money in an amount, individually or in the aggregate, of at least Five Hundred Thousand Dollars ($500,000.00) (not covered by independent third-party insurance as to which liability has been accepted by such insurance carrier) shall be rendered against Borrower by any Governmental Authority, and the same are not, within thirty (30) days after the entry, assessment or issuance thereof, discharged, satisfied, or paid, or after execution thereof, stayed or bonded pending appeal, or such judgments are not discharged prior to the expiration of any such stay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both"/>
        <w:ind w:left="200" w:right="239"/>
        <w:spacing w:after="0" w:line="277" w:lineRule="auto"/>
        <w:rPr>
          <w:sz w:val="20"/>
          <w:szCs w:val="20"/>
          <w:color w:val="auto"/>
        </w:rPr>
      </w:pPr>
      <w:r>
        <w:rPr>
          <w:rFonts w:ascii="Arial" w:cs="Arial" w:eastAsia="Arial" w:hAnsi="Arial"/>
          <w:sz w:val="18"/>
          <w:szCs w:val="18"/>
          <w:color w:val="auto"/>
        </w:rPr>
        <w:t>(provided that no Credit Extensions will be made prior to the satisfaction, payment, discharge, stay, or bonding of such fine, penalty, judgment, order or decree);</w:t>
      </w:r>
    </w:p>
    <w:p>
      <w:pPr>
        <w:spacing w:after="0" w:line="166"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Bank or to induce Bank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w:t>
      </w:r>
      <w:r>
        <w:rPr>
          <w:rFonts w:ascii="Arial" w:cs="Arial" w:eastAsia="Arial" w:hAnsi="Arial"/>
          <w:sz w:val="18"/>
          <w:szCs w:val="18"/>
          <w:b w:val="1"/>
          <w:bCs w:val="1"/>
          <w:color w:val="auto"/>
        </w:rPr>
        <w:t xml:space="preserve"> </w:t>
      </w:r>
      <w:r>
        <w:rPr>
          <w:rFonts w:ascii="Arial" w:cs="Arial" w:eastAsia="Arial" w:hAnsi="Arial"/>
          <w:sz w:val="18"/>
          <w:szCs w:val="18"/>
          <w:color w:val="auto"/>
        </w:rPr>
        <w:t>shall for 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w:t>
      </w:r>
    </w:p>
    <w:p>
      <w:pPr>
        <w:spacing w:after="0" w:line="183" w:lineRule="exact"/>
        <w:rPr>
          <w:sz w:val="20"/>
          <w:szCs w:val="20"/>
          <w:color w:val="auto"/>
        </w:rPr>
      </w:pPr>
    </w:p>
    <w:p>
      <w:pPr>
        <w:jc w:val="both"/>
        <w:ind w:left="200" w:right="219" w:firstLine="648"/>
        <w:spacing w:after="0" w:line="274" w:lineRule="auto"/>
        <w:rPr>
          <w:sz w:val="20"/>
          <w:szCs w:val="20"/>
          <w:color w:val="auto"/>
        </w:rPr>
      </w:pPr>
      <w:r>
        <w:rPr>
          <w:rFonts w:ascii="Arial" w:cs="Arial" w:eastAsia="Arial" w:hAnsi="Arial"/>
          <w:sz w:val="17"/>
          <w:szCs w:val="17"/>
          <w:b w:val="1"/>
          <w:bCs w:val="1"/>
          <w:color w:val="auto"/>
        </w:rPr>
        <w:t xml:space="preserve">8.10 Governmental Approvals. </w:t>
      </w:r>
      <w:r>
        <w:rPr>
          <w:rFonts w:ascii="Arial" w:cs="Arial" w:eastAsia="Arial" w:hAnsi="Arial"/>
          <w:sz w:val="17"/>
          <w:szCs w:val="17"/>
          <w:color w:val="auto"/>
        </w:rPr>
        <w:t>Any Governmental Approval shall have been (a) revoked, rescinded,</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cause, or could reasonably be expected to cause, a Material Adverse Change.</w:t>
      </w:r>
    </w:p>
    <w:p>
      <w:pPr>
        <w:spacing w:after="0" w:line="173" w:lineRule="exact"/>
        <w:rPr>
          <w:sz w:val="20"/>
          <w:szCs w:val="20"/>
          <w:color w:val="auto"/>
        </w:rPr>
      </w:pPr>
    </w:p>
    <w:p>
      <w:pPr>
        <w:ind w:left="1520" w:hanging="663"/>
        <w:spacing w:after="0"/>
        <w:tabs>
          <w:tab w:leader="none" w:pos="1520" w:val="left"/>
        </w:tabs>
        <w:numPr>
          <w:ilvl w:val="0"/>
          <w:numId w:val="2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left="200" w:right="239" w:firstLine="648"/>
        <w:spacing w:after="0" w:line="312" w:lineRule="auto"/>
        <w:rPr>
          <w:sz w:val="20"/>
          <w:szCs w:val="20"/>
          <w:color w:val="auto"/>
        </w:rPr>
      </w:pPr>
      <w:r>
        <w:rPr>
          <w:rFonts w:ascii="Arial" w:cs="Arial" w:eastAsia="Arial" w:hAnsi="Arial"/>
          <w:sz w:val="17"/>
          <w:szCs w:val="17"/>
          <w:b w:val="1"/>
          <w:bCs w:val="1"/>
          <w:color w:val="auto"/>
        </w:rPr>
        <w:t>9.1 Rights and Remedies</w:t>
      </w:r>
      <w:r>
        <w:rPr>
          <w:rFonts w:ascii="Arial" w:cs="Arial" w:eastAsia="Arial" w:hAnsi="Arial"/>
          <w:sz w:val="17"/>
          <w:szCs w:val="17"/>
          <w:color w:val="auto"/>
        </w:rPr>
        <w:t>. Upon the occurrence and during the continuance of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beyond any applicable grace period (if any), Bank may, without notice or demand, do any or all of the following:</w:t>
      </w:r>
    </w:p>
    <w:p>
      <w:pPr>
        <w:spacing w:after="0" w:line="144" w:lineRule="exact"/>
        <w:rPr>
          <w:sz w:val="20"/>
          <w:szCs w:val="20"/>
          <w:color w:val="auto"/>
        </w:rPr>
      </w:pPr>
    </w:p>
    <w:p>
      <w:pPr>
        <w:ind w:left="200" w:right="239" w:firstLine="1305"/>
        <w:spacing w:after="0" w:line="308" w:lineRule="auto"/>
        <w:tabs>
          <w:tab w:leader="none" w:pos="21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declare all Obligations immediately due and payable (but if an Event of Default described in Section 8.5 occurs all Obligations are immediately due and payable without any action by Bank);</w:t>
      </w:r>
    </w:p>
    <w:p>
      <w:pPr>
        <w:spacing w:after="0" w:line="146" w:lineRule="exact"/>
        <w:rPr>
          <w:rFonts w:ascii="Arial" w:cs="Arial" w:eastAsia="Arial" w:hAnsi="Arial"/>
          <w:sz w:val="17"/>
          <w:szCs w:val="17"/>
          <w:color w:val="auto"/>
        </w:rPr>
      </w:pPr>
    </w:p>
    <w:p>
      <w:pPr>
        <w:ind w:left="200" w:right="239" w:firstLine="1305"/>
        <w:spacing w:after="0" w:line="277" w:lineRule="auto"/>
        <w:tabs>
          <w:tab w:leader="none" w:pos="21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between Borrower and Bank;</w:t>
      </w:r>
    </w:p>
    <w:p>
      <w:pPr>
        <w:spacing w:after="0" w:line="170" w:lineRule="exact"/>
        <w:rPr>
          <w:rFonts w:ascii="Arial" w:cs="Arial" w:eastAsia="Arial" w:hAnsi="Arial"/>
          <w:sz w:val="18"/>
          <w:szCs w:val="18"/>
          <w:color w:val="auto"/>
        </w:rPr>
      </w:pPr>
    </w:p>
    <w:p>
      <w:pPr>
        <w:jc w:val="both"/>
        <w:ind w:left="200" w:right="219" w:firstLine="1305"/>
        <w:spacing w:after="0" w:line="253" w:lineRule="auto"/>
        <w:tabs>
          <w:tab w:leader="none" w:pos="2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6" w:lineRule="exact"/>
        <w:rPr>
          <w:rFonts w:ascii="Arial" w:cs="Arial" w:eastAsia="Arial" w:hAnsi="Arial"/>
          <w:sz w:val="18"/>
          <w:szCs w:val="18"/>
          <w:color w:val="auto"/>
        </w:rPr>
      </w:pPr>
    </w:p>
    <w:p>
      <w:pPr>
        <w:ind w:left="2160" w:hanging="655"/>
        <w:spacing w:after="0"/>
        <w:tabs>
          <w:tab w:leader="none" w:pos="2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left="200" w:right="239" w:firstLine="1305"/>
        <w:spacing w:after="0" w:line="259" w:lineRule="auto"/>
        <w:tabs>
          <w:tab w:leader="none" w:pos="21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186" w:lineRule="exact"/>
        <w:rPr>
          <w:rFonts w:ascii="Arial" w:cs="Arial" w:eastAsia="Arial" w:hAnsi="Arial"/>
          <w:sz w:val="18"/>
          <w:szCs w:val="18"/>
          <w:color w:val="auto"/>
        </w:rPr>
      </w:pPr>
    </w:p>
    <w:p>
      <w:pPr>
        <w:jc w:val="both"/>
        <w:ind w:left="200" w:right="219" w:firstLine="1305"/>
        <w:spacing w:after="0" w:line="273" w:lineRule="auto"/>
        <w:tabs>
          <w:tab w:leader="none" w:pos="2193"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200" w:right="239" w:firstLine="1305"/>
        <w:spacing w:after="0" w:line="277" w:lineRule="auto"/>
        <w:tabs>
          <w:tab w:leader="none" w:pos="21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Bank owing to or for the credit or the account of Borrower;</w:t>
      </w:r>
    </w:p>
    <w:p>
      <w:pPr>
        <w:spacing w:after="0" w:line="170" w:lineRule="exact"/>
        <w:rPr>
          <w:rFonts w:ascii="Arial" w:cs="Arial" w:eastAsia="Arial" w:hAnsi="Arial"/>
          <w:sz w:val="18"/>
          <w:szCs w:val="18"/>
          <w:color w:val="auto"/>
        </w:rPr>
      </w:pPr>
    </w:p>
    <w:p>
      <w:pPr>
        <w:jc w:val="both"/>
        <w:ind w:left="200" w:right="219" w:firstLine="1305"/>
        <w:spacing w:after="0" w:line="272" w:lineRule="auto"/>
        <w:tabs>
          <w:tab w:leader="none" w:pos="2156"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Upon the occurrence and during the continuance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177" w:lineRule="exact"/>
        <w:rPr>
          <w:rFonts w:ascii="Arial" w:cs="Arial" w:eastAsia="Arial" w:hAnsi="Arial"/>
          <w:sz w:val="17"/>
          <w:szCs w:val="17"/>
          <w:color w:val="auto"/>
        </w:rPr>
      </w:pPr>
    </w:p>
    <w:p>
      <w:pPr>
        <w:jc w:val="both"/>
        <w:ind w:left="200" w:right="239" w:firstLine="1305"/>
        <w:spacing w:after="0" w:line="263" w:lineRule="auto"/>
        <w:tabs>
          <w:tab w:leader="none" w:pos="21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83" w:lineRule="exact"/>
        <w:rPr>
          <w:rFonts w:ascii="Arial" w:cs="Arial" w:eastAsia="Arial" w:hAnsi="Arial"/>
          <w:sz w:val="18"/>
          <w:szCs w:val="18"/>
          <w:color w:val="auto"/>
        </w:rPr>
      </w:pPr>
    </w:p>
    <w:p>
      <w:pPr>
        <w:ind w:left="2180" w:hanging="675"/>
        <w:spacing w:after="0"/>
        <w:tabs>
          <w:tab w:leader="none" w:pos="2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jc w:val="both"/>
        <w:ind w:left="200" w:right="219" w:firstLine="1305"/>
        <w:spacing w:after="0" w:line="263" w:lineRule="auto"/>
        <w:tabs>
          <w:tab w:leader="none" w:pos="21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80"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Bank as its lawful attorney-in-fact,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182"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fails to obtain the insurance called for by Section 6.5 or fails to</w:t>
      </w:r>
      <w:r>
        <w:rPr>
          <w:rFonts w:ascii="Arial" w:cs="Arial" w:eastAsia="Arial" w:hAnsi="Arial"/>
          <w:sz w:val="18"/>
          <w:szCs w:val="18"/>
          <w:b w:val="1"/>
          <w:bCs w:val="1"/>
          <w:color w:val="auto"/>
        </w:rPr>
        <w:t xml:space="preserve"> </w:t>
      </w:r>
      <w:r>
        <w:rPr>
          <w:rFonts w:ascii="Arial" w:cs="Arial" w:eastAsia="Arial" w:hAnsi="Arial"/>
          <w:sz w:val="18"/>
          <w:szCs w:val="18"/>
          <w:color w:val="auto"/>
        </w:rPr>
        <w:t>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Default Rate,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192"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b w:val="1"/>
          <w:bCs w:val="1"/>
          <w:color w:val="auto"/>
        </w:rPr>
        <w:t>9.4 Application of Payments and Proceeds Upon Default</w:t>
      </w:r>
      <w:r>
        <w:rPr>
          <w:rFonts w:ascii="Arial" w:cs="Arial" w:eastAsia="Arial" w:hAnsi="Arial"/>
          <w:sz w:val="16"/>
          <w:szCs w:val="16"/>
          <w:color w:val="auto"/>
        </w:rPr>
        <w:t>. If an Event of Default has occurred and is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Bank shall have the right to apply in 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jc w:val="both"/>
        <w:ind w:left="200" w:right="219" w:firstLine="648"/>
        <w:spacing w:after="0" w:line="258"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reasonable banking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safekeeping of the 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3"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6"/>
          <w:szCs w:val="16"/>
          <w:b w:val="1"/>
          <w:bCs w:val="1"/>
          <w:color w:val="auto"/>
        </w:rPr>
        <w:t>9.6 No Waiver; Remedies Cumulative</w:t>
      </w:r>
      <w:r>
        <w:rPr>
          <w:rFonts w:ascii="Arial" w:cs="Arial" w:eastAsia="Arial" w:hAnsi="Arial"/>
          <w:sz w:val="16"/>
          <w:szCs w:val="16"/>
          <w:color w:val="auto"/>
        </w:rPr>
        <w:t>. Bank’s failure, at any time or times, to require strict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66" w:lineRule="exact"/>
        <w:rPr>
          <w:sz w:val="20"/>
          <w:szCs w:val="20"/>
          <w:color w:val="auto"/>
        </w:rPr>
      </w:pPr>
    </w:p>
    <w:p>
      <w:pPr>
        <w:jc w:val="both"/>
        <w:ind w:left="200" w:right="219" w:firstLine="648"/>
        <w:spacing w:after="0" w:line="314" w:lineRule="auto"/>
        <w:rPr>
          <w:sz w:val="20"/>
          <w:szCs w:val="20"/>
          <w:color w:val="auto"/>
        </w:rPr>
      </w:pPr>
      <w:r>
        <w:rPr>
          <w:rFonts w:ascii="Arial" w:cs="Arial" w:eastAsia="Arial" w:hAnsi="Arial"/>
          <w:sz w:val="16"/>
          <w:szCs w:val="16"/>
          <w:b w:val="1"/>
          <w:bCs w:val="1"/>
          <w:color w:val="auto"/>
        </w:rPr>
        <w:t>9.7 Demand Waiver</w:t>
      </w:r>
      <w:r>
        <w:rPr>
          <w:rFonts w:ascii="Arial" w:cs="Arial" w:eastAsia="Arial" w:hAnsi="Arial"/>
          <w:sz w:val="16"/>
          <w:szCs w:val="16"/>
          <w:color w:val="auto"/>
        </w:rPr>
        <w:t>. Borrower waives demand, notice of default or dishonor, notice of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nonpayment, notice of any default, nonpayment at maturity, release, compromise, settlement, extension, or renewal of accounts, documents, instruments, chattel paper, and guarantees held by Bank on which Borrower is liable.</w:t>
      </w:r>
    </w:p>
    <w:p>
      <w:pPr>
        <w:spacing w:after="0" w:line="142" w:lineRule="exact"/>
        <w:rPr>
          <w:sz w:val="20"/>
          <w:szCs w:val="20"/>
          <w:color w:val="auto"/>
        </w:rPr>
      </w:pPr>
    </w:p>
    <w:p>
      <w:pPr>
        <w:jc w:val="both"/>
        <w:ind w:left="200" w:right="219" w:firstLine="648"/>
        <w:spacing w:after="0" w:line="267" w:lineRule="auto"/>
        <w:rPr>
          <w:sz w:val="20"/>
          <w:szCs w:val="20"/>
          <w:color w:val="auto"/>
        </w:rPr>
      </w:pPr>
      <w:r>
        <w:rPr>
          <w:rFonts w:ascii="Arial" w:cs="Arial" w:eastAsia="Arial" w:hAnsi="Arial"/>
          <w:sz w:val="17"/>
          <w:szCs w:val="17"/>
          <w:b w:val="1"/>
          <w:bCs w:val="1"/>
          <w:color w:val="auto"/>
        </w:rPr>
        <w:t>9.8 Borrower Liability</w:t>
      </w:r>
      <w:r>
        <w:rPr>
          <w:rFonts w:ascii="Arial" w:cs="Arial" w:eastAsia="Arial" w:hAnsi="Arial"/>
          <w:sz w:val="17"/>
          <w:szCs w:val="17"/>
          <w:color w:val="auto"/>
        </w:rPr>
        <w:t>. Either Borrower may, acting singly, request Credit Extensions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Each Borrower hereby appoints the other as agent for the other for all purposes hereunder, including with respect to requesting Credit Extensions hereunder. Each Borrower hereunder shall be jointly and severally obligated to repay all Credit Extensions made hereunder, regardless of which Borrower actually receives said Credit Extensions, as if each Borrower hereunder directly received all Credit Extensions. Each Borrower waives (a) any suretyship defenses available to it under the Code or any other applicable law, and (b) any right to require Bank to: (i) proceed against any Borrower or any other person; (ii) proceed against or exhaust any security; or (iii) pursue any other remedy. Bank may exercise or not exercise any right or remedy it has against any Borrower or any security it holds (including the right to foreclose by judicial or non-judicial sale) without affecting any Borrower’s liability. Notwithstanding any other provision of this Agreement or any other Loan Document, each Borrower irrevocably waives all rights that it may have at law or in equity (including, without limitation, any law subrogating Borrower to the rights of Bank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Bank and such payment shall be promptly delivered to Bank for application to the Obligations, whether matured or unmatured.</w:t>
      </w:r>
    </w:p>
    <w:p>
      <w:pPr>
        <w:spacing w:after="0" w:line="187" w:lineRule="exact"/>
        <w:rPr>
          <w:sz w:val="20"/>
          <w:szCs w:val="20"/>
          <w:color w:val="auto"/>
        </w:rPr>
      </w:pPr>
    </w:p>
    <w:p>
      <w:pPr>
        <w:ind w:left="1520" w:hanging="663"/>
        <w:spacing w:after="0"/>
        <w:tabs>
          <w:tab w:leader="none" w:pos="1520" w:val="left"/>
        </w:tabs>
        <w:numPr>
          <w:ilvl w:val="0"/>
          <w:numId w:val="3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w:t>
      </w:r>
    </w:p>
    <w:p>
      <w:pPr>
        <w:jc w:val="both"/>
        <w:ind w:left="200" w:right="219" w:firstLine="9"/>
        <w:spacing w:after="0" w:line="269" w:lineRule="auto"/>
        <w:tabs>
          <w:tab w:leader="none" w:pos="447"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1280"/>
        <w:spacing w:after="0"/>
        <w:tabs>
          <w:tab w:leader="none" w:pos="2560"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6"/>
          <w:szCs w:val="16"/>
          <w:color w:val="auto"/>
        </w:rPr>
        <w:t>Aclaris Therapeutics, Inc.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Confluence Discovery Technologies, Inc.</w:t>
      </w:r>
    </w:p>
    <w:p>
      <w:pPr>
        <w:spacing w:after="0" w:line="3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640 Lee Road, Suite 200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Wayne, Pennsylvania 19087</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Kamil Ali-Jackson, Esquire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Email:  kalijackson@aclaristx.com</w:t>
      </w:r>
    </w:p>
    <w:p>
      <w:pPr>
        <w:spacing w:after="0" w:line="211"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7"/>
          <w:szCs w:val="17"/>
          <w:color w:val="auto"/>
        </w:rPr>
        <w:t>DLA Piper LLP (US)</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One Liberty Place</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1650 Market Street, Suite 5000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Philadelphia, Pennsylvania 19103-7300</w:t>
      </w:r>
    </w:p>
    <w:p>
      <w:pPr>
        <w:spacing w:after="0" w:line="3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Attn:  Fahd Riaz, Esquire</w:t>
      </w:r>
    </w:p>
    <w:p>
      <w:pPr>
        <w:spacing w:after="0" w:line="9"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Fahd.Riaz@us.dlapiper.com</w:t>
      </w:r>
    </w:p>
    <w:p>
      <w:pPr>
        <w:sectPr>
          <w:pgSz w:w="11900" w:h="16838" w:orient="portrait"/>
          <w:cols w:equalWidth="0" w:num="1">
            <w:col w:w="9019"/>
          </w:cols>
          <w:pgMar w:left="1440" w:top="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Front Street, Suite 1340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West Conshohocken, Pennsylvania 19428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Tom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TGordon@svb.com</w:t>
      </w:r>
    </w:p>
    <w:p>
      <w:pPr>
        <w:spacing w:after="0" w:line="200" w:lineRule="exact"/>
        <w:rPr>
          <w:sz w:val="20"/>
          <w:szCs w:val="20"/>
          <w:color w:val="auto"/>
        </w:rPr>
      </w:pPr>
    </w:p>
    <w:p>
      <w:pPr>
        <w:sectPr>
          <w:pgSz w:w="11900" w:h="16838" w:orient="portrait"/>
          <w:cols w:equalWidth="0" w:num="2">
            <w:col w:w="2060" w:space="520"/>
            <w:col w:w="6439"/>
          </w:cols>
          <w:pgMar w:left="1440" w:top="179" w:right="1440" w:bottom="1440" w:gutter="0" w:footer="0" w:header="0"/>
          <w:type w:val="continuous"/>
        </w:sectPr>
      </w:pPr>
    </w:p>
    <w:p>
      <w:pPr>
        <w:spacing w:after="0" w:line="11"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7"/>
          <w:szCs w:val="17"/>
          <w:color w:val="auto"/>
        </w:rPr>
        <w:t>Morrison &amp; Foerster LLP</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Floor 20</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2580"/>
        <w:spacing w:after="0"/>
        <w:tabs>
          <w:tab w:leader="none" w:pos="3160" w:val="left"/>
        </w:tabs>
        <w:rPr>
          <w:sz w:val="20"/>
          <w:szCs w:val="20"/>
          <w:color w:val="auto"/>
        </w:rPr>
      </w:pPr>
      <w:r>
        <w:rPr>
          <w:rFonts w:ascii="Arial" w:cs="Arial" w:eastAsia="Arial" w:hAnsi="Arial"/>
          <w:sz w:val="16"/>
          <w:szCs w:val="16"/>
          <w:color w:val="auto"/>
        </w:rPr>
        <w:t>Attn:</w:t>
        <w:tab/>
        <w:t>David A. Ephraim, Esquire</w:t>
      </w:r>
    </w:p>
    <w:p>
      <w:pPr>
        <w:spacing w:after="0" w:line="3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Email:  DEphraim@mofo.com</w:t>
      </w:r>
    </w:p>
    <w:p>
      <w:pPr>
        <w:sectPr>
          <w:pgSz w:w="11900" w:h="16838" w:orient="portrait"/>
          <w:cols w:equalWidth="0" w:num="1">
            <w:col w:w="9019"/>
          </w:cols>
          <w:pgMar w:left="1440" w:top="179" w:right="1440" w:bottom="1440" w:gutter="0" w:footer="0" w:header="0"/>
          <w:type w:val="continuous"/>
        </w:sectPr>
      </w:pPr>
    </w:p>
    <w:p>
      <w:pPr>
        <w:spacing w:after="0" w:line="207" w:lineRule="exact"/>
        <w:rPr>
          <w:sz w:val="20"/>
          <w:szCs w:val="20"/>
          <w:color w:val="auto"/>
        </w:rPr>
      </w:pPr>
    </w:p>
    <w:p>
      <w:pPr>
        <w:ind w:left="1500" w:hanging="643"/>
        <w:spacing w:after="0"/>
        <w:tabs>
          <w:tab w:leader="none" w:pos="1500"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CHOICE OF LAW, VENUE and JURY TRIAL WAIVER</w:t>
      </w:r>
    </w:p>
    <w:p>
      <w:pPr>
        <w:spacing w:after="0" w:line="229"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color w:val="auto"/>
        </w:rPr>
        <w:t>New York law governs the Loan Documents (excluding the Warrant) without regard to principles of conflicts of law. Borrower and Bank each submit to the exclusive jurisdiction of the State and Federal courts in New York, New York;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62" w:lineRule="exact"/>
        <w:rPr>
          <w:sz w:val="20"/>
          <w:szCs w:val="20"/>
          <w:color w:val="auto"/>
        </w:rPr>
      </w:pPr>
    </w:p>
    <w:p>
      <w:pPr>
        <w:ind w:left="200" w:right="359" w:firstLine="648"/>
        <w:spacing w:after="0" w:line="256"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21" w:name="page22"/>
    <w:bookmarkEnd w:id="21"/>
    <w:p>
      <w:pPr>
        <w:ind w:left="8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520" w:hanging="663"/>
        <w:spacing w:after="0"/>
        <w:tabs>
          <w:tab w:leader="none" w:pos="1520" w:val="left"/>
        </w:tabs>
        <w:numPr>
          <w:ilvl w:val="0"/>
          <w:numId w:val="3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b w:val="1"/>
          <w:bCs w:val="1"/>
          <w:color w:val="auto"/>
        </w:rPr>
        <w:t>12.1 Termination Prior to Term Loan Maturity Date; Survival</w:t>
      </w:r>
      <w:r>
        <w:rPr>
          <w:rFonts w:ascii="Arial" w:cs="Arial" w:eastAsia="Arial" w:hAnsi="Arial"/>
          <w:sz w:val="17"/>
          <w:szCs w:val="17"/>
          <w:color w:val="auto"/>
        </w:rPr>
        <w:t>. All covenants, representations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74" w:lineRule="exact"/>
        <w:rPr>
          <w:sz w:val="20"/>
          <w:szCs w:val="20"/>
          <w:color w:val="auto"/>
        </w:rPr>
      </w:pPr>
    </w:p>
    <w:p>
      <w:pPr>
        <w:jc w:val="both"/>
        <w:ind w:left="200" w:right="219" w:firstLine="648"/>
        <w:spacing w:after="0" w:line="294" w:lineRule="auto"/>
        <w:rPr>
          <w:sz w:val="20"/>
          <w:szCs w:val="20"/>
          <w:color w:val="auto"/>
        </w:rPr>
      </w:pPr>
      <w:r>
        <w:rPr>
          <w:rFonts w:ascii="Arial" w:cs="Arial" w:eastAsia="Arial" w:hAnsi="Arial"/>
          <w:sz w:val="16"/>
          <w:szCs w:val="16"/>
          <w:b w:val="1"/>
          <w:bCs w:val="1"/>
          <w:color w:val="auto"/>
        </w:rPr>
        <w:t>12.2 Successors and Assigns</w:t>
      </w:r>
      <w:r>
        <w:rPr>
          <w:rFonts w:ascii="Arial" w:cs="Arial" w:eastAsia="Arial" w:hAnsi="Arial"/>
          <w:sz w:val="16"/>
          <w:szCs w:val="16"/>
          <w:color w:val="auto"/>
        </w:rPr>
        <w:t>. This Agreement binds and is for the benefit of the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60"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7"/>
          <w:szCs w:val="17"/>
          <w:b w:val="1"/>
          <w:bCs w:val="1"/>
          <w:color w:val="auto"/>
        </w:rPr>
        <w:t>12.3 Indemnification</w:t>
      </w:r>
      <w:r>
        <w:rPr>
          <w:rFonts w:ascii="Arial" w:cs="Arial" w:eastAsia="Arial" w:hAnsi="Arial"/>
          <w:sz w:val="17"/>
          <w:szCs w:val="17"/>
          <w:color w:val="auto"/>
        </w:rPr>
        <w:t>. Borrower agrees to indemnify, defend and hold Bank and its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Bank (each,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harmless against: (i)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w:t>
      </w:r>
      <w:r>
        <w:rPr>
          <w:rFonts w:ascii="Arial" w:cs="Arial" w:eastAsia="Arial" w:hAnsi="Arial"/>
          <w:sz w:val="17"/>
          <w:szCs w:val="17"/>
          <w:b w:val="1"/>
          <w:bCs w:val="1"/>
          <w:color w:val="auto"/>
        </w:rPr>
        <w:t xml:space="preserve"> </w:t>
      </w:r>
      <w:r>
        <w:rPr>
          <w:rFonts w:ascii="Arial" w:cs="Arial" w:eastAsia="Arial" w:hAnsi="Arial"/>
          <w:sz w:val="17"/>
          <w:szCs w:val="17"/>
          <w:color w:val="auto"/>
        </w:rPr>
        <w:t>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and documented out-of-pocket attorneys’ fees and expenses), except for Claims and/or losses directly caused by such Indemnified Person’s gross negligence or willful misconduct.</w:t>
      </w:r>
    </w:p>
    <w:p>
      <w:pPr>
        <w:spacing w:after="0" w:line="176" w:lineRule="exact"/>
        <w:rPr>
          <w:sz w:val="20"/>
          <w:szCs w:val="20"/>
          <w:color w:val="auto"/>
        </w:rPr>
      </w:pPr>
    </w:p>
    <w:p>
      <w:pPr>
        <w:jc w:val="both"/>
        <w:ind w:left="200" w:right="239" w:firstLine="648"/>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166"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determining the enforceability of any provision.</w:t>
      </w:r>
    </w:p>
    <w:p>
      <w:pPr>
        <w:spacing w:after="0" w:line="16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b w:val="1"/>
          <w:bCs w:val="1"/>
          <w:color w:val="auto"/>
        </w:rPr>
        <w:t>12.6 Correction of Loan Documents</w:t>
      </w:r>
      <w:r>
        <w:rPr>
          <w:rFonts w:ascii="Arial" w:cs="Arial" w:eastAsia="Arial" w:hAnsi="Arial"/>
          <w:sz w:val="18"/>
          <w:szCs w:val="18"/>
          <w:color w:val="auto"/>
        </w:rPr>
        <w:t>. Bank may correct patent errors and fill in any blanks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p>
    <w:p>
      <w:pPr>
        <w:spacing w:after="0" w:line="162"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6"/>
          <w:szCs w:val="16"/>
          <w:b w:val="1"/>
          <w:bCs w:val="1"/>
          <w:color w:val="auto"/>
        </w:rPr>
        <w:t>12.7 Amendments in Writing; Waiver; Integration</w:t>
      </w:r>
      <w:r>
        <w:rPr>
          <w:rFonts w:ascii="Arial" w:cs="Arial" w:eastAsia="Arial" w:hAnsi="Arial"/>
          <w:sz w:val="16"/>
          <w:szCs w:val="16"/>
          <w:color w:val="auto"/>
        </w:rPr>
        <w:t>.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jc w:val="both"/>
        <w:ind w:left="200" w:right="219" w:firstLine="648"/>
        <w:spacing w:after="0" w:line="266"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on separate counterparts, each of which, when executed and delivered, is an original, and all taken together, constitute one Agreement.</w:t>
      </w:r>
    </w:p>
    <w:p>
      <w:pPr>
        <w:spacing w:after="0" w:line="17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w:t>
      </w:r>
      <w:r>
        <w:rPr>
          <w:rFonts w:ascii="Arial" w:cs="Arial" w:eastAsia="Arial" w:hAnsi="Arial"/>
          <w:sz w:val="17"/>
          <w:szCs w:val="17"/>
          <w:b w:val="1"/>
          <w:bCs w:val="1"/>
          <w:color w:val="auto"/>
        </w:rPr>
        <w:t xml:space="preserve"> </w:t>
      </w:r>
      <w:r>
        <w:rPr>
          <w:rFonts w:ascii="Arial" w:cs="Arial" w:eastAsia="Arial" w:hAnsi="Arial"/>
          <w:sz w:val="17"/>
          <w:szCs w:val="17"/>
          <w:color w:val="auto"/>
        </w:rPr>
        <w:t>care that it exercises for its own proprietary 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Bank shall use its best efforts to obtain any prospective transferee’s or purchaser’s agreement to the terms of this provision;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7"/>
          <w:szCs w:val="17"/>
          <w:b w:val="1"/>
          <w:bCs w:val="1"/>
          <w:color w:val="auto"/>
        </w:rPr>
        <w:t xml:space="preserve">12.10 Right of Set Off. </w:t>
      </w:r>
      <w:r>
        <w:rPr>
          <w:rFonts w:ascii="Arial" w:cs="Arial" w:eastAsia="Arial" w:hAnsi="Arial"/>
          <w:sz w:val="17"/>
          <w:szCs w:val="17"/>
          <w:color w:val="auto"/>
        </w:rPr>
        <w:t>Borrower hereby grants to Bank, a lien, security interest and right of set off as</w:t>
      </w:r>
      <w:r>
        <w:rPr>
          <w:rFonts w:ascii="Arial" w:cs="Arial" w:eastAsia="Arial" w:hAnsi="Arial"/>
          <w:sz w:val="17"/>
          <w:szCs w:val="17"/>
          <w:b w:val="1"/>
          <w:bCs w:val="1"/>
          <w:color w:val="auto"/>
        </w:rPr>
        <w:t xml:space="preserve"> </w:t>
      </w:r>
      <w:r>
        <w:rPr>
          <w:rFonts w:ascii="Arial" w:cs="Arial" w:eastAsia="Arial" w:hAnsi="Arial"/>
          <w:sz w:val="17"/>
          <w:szCs w:val="17"/>
          <w:color w:val="auto"/>
        </w:rPr>
        <w:t>security for all Obligations to Bank, whether now existing or hereafter arising upon and against all deposits, credits, collateral and property, now or hereafter in the possession, custody, safekeeping or control of Bank or any entity under the control of Bank (including a Bank Subsidiary) or in transit to any of them. At any time after the occurrence and during the continuance of an Event of Default, without demand or notice, Bank may set 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2" w:lineRule="exact"/>
        <w:rPr>
          <w:sz w:val="20"/>
          <w:szCs w:val="20"/>
          <w:color w:val="auto"/>
        </w:rPr>
      </w:pPr>
    </w:p>
    <w:p>
      <w:pPr>
        <w:jc w:val="both"/>
        <w:ind w:left="200" w:right="219" w:firstLine="648"/>
        <w:spacing w:after="0" w:line="298" w:lineRule="auto"/>
        <w:rPr>
          <w:sz w:val="20"/>
          <w:szCs w:val="20"/>
          <w:color w:val="auto"/>
        </w:rPr>
      </w:pPr>
      <w:r>
        <w:rPr>
          <w:rFonts w:ascii="Arial" w:cs="Arial" w:eastAsia="Arial" w:hAnsi="Arial"/>
          <w:sz w:val="16"/>
          <w:szCs w:val="16"/>
          <w:b w:val="1"/>
          <w:bCs w:val="1"/>
          <w:color w:val="auto"/>
        </w:rPr>
        <w:t>12.11 Electronic Execution of Documents</w:t>
      </w:r>
      <w:r>
        <w:rPr>
          <w:rFonts w:ascii="Arial" w:cs="Arial" w:eastAsia="Arial" w:hAnsi="Arial"/>
          <w:sz w:val="16"/>
          <w:szCs w:val="16"/>
          <w:color w:val="auto"/>
        </w:rPr>
        <w:t>. The words “execution,” “signed,” “signature” and words of</w:t>
      </w:r>
      <w:r>
        <w:rPr>
          <w:rFonts w:ascii="Arial" w:cs="Arial" w:eastAsia="Arial" w:hAnsi="Arial"/>
          <w:sz w:val="16"/>
          <w:szCs w:val="16"/>
          <w:b w:val="1"/>
          <w:bCs w:val="1"/>
          <w:color w:val="auto"/>
        </w:rPr>
        <w:t xml:space="preserve"> </w:t>
      </w:r>
      <w:r>
        <w:rPr>
          <w:rFonts w:ascii="Arial" w:cs="Arial" w:eastAsia="Arial" w:hAnsi="Arial"/>
          <w:sz w:val="16"/>
          <w:szCs w:val="16"/>
          <w:color w:val="auto"/>
        </w:rPr>
        <w:t>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54"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 The headings used in this Agreement are for convenience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2"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b w:val="1"/>
          <w:bCs w:val="1"/>
          <w:color w:val="auto"/>
        </w:rPr>
        <w:t>12.13 Construction of Agreement</w:t>
      </w:r>
      <w:r>
        <w:rPr>
          <w:rFonts w:ascii="Arial" w:cs="Arial" w:eastAsia="Arial" w:hAnsi="Arial"/>
          <w:sz w:val="18"/>
          <w:szCs w:val="18"/>
          <w:color w:val="auto"/>
        </w:rPr>
        <w:t>. The parties mutually acknowledge that they and their attorneys have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participated in the preparation and 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7"/>
          <w:szCs w:val="17"/>
          <w:b w:val="1"/>
          <w:bCs w:val="1"/>
          <w:color w:val="auto"/>
        </w:rPr>
        <w:t>12.14 Relationship</w:t>
      </w:r>
      <w:r>
        <w:rPr>
          <w:rFonts w:ascii="Arial" w:cs="Arial" w:eastAsia="Arial" w:hAnsi="Arial"/>
          <w:sz w:val="17"/>
          <w:szCs w:val="17"/>
          <w:color w:val="auto"/>
        </w:rPr>
        <w:t>. The relationship of the parties to this Agreement is determined solely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The parties do not intend to create any agency, partnership, joint venture, trust, fiduciary or other relationship with duties or incidents different from those of parties to an arm’s-length contract.</w:t>
      </w:r>
    </w:p>
    <w:p>
      <w:pPr>
        <w:spacing w:after="0" w:line="158"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18"/>
          <w:szCs w:val="18"/>
          <w:b w:val="1"/>
          <w:bCs w:val="1"/>
          <w:color w:val="auto"/>
        </w:rPr>
        <w:t>12.15 Third Parties</w:t>
      </w:r>
      <w:r>
        <w:rPr>
          <w:rFonts w:ascii="Arial" w:cs="Arial" w:eastAsia="Arial" w:hAnsi="Arial"/>
          <w:sz w:val="18"/>
          <w:szCs w:val="18"/>
          <w:color w:val="auto"/>
        </w:rPr>
        <w:t>. Nothing in this Agreement, whether express or implied, is intended to: (a) confer</w:t>
      </w:r>
      <w:r>
        <w:rPr>
          <w:rFonts w:ascii="Arial" w:cs="Arial" w:eastAsia="Arial" w:hAnsi="Arial"/>
          <w:sz w:val="18"/>
          <w:szCs w:val="18"/>
          <w:b w:val="1"/>
          <w:bCs w:val="1"/>
          <w:color w:val="auto"/>
        </w:rPr>
        <w:t xml:space="preserve"> </w:t>
      </w:r>
      <w:r>
        <w:rPr>
          <w:rFonts w:ascii="Arial" w:cs="Arial" w:eastAsia="Arial" w:hAnsi="Arial"/>
          <w:sz w:val="18"/>
          <w:szCs w:val="18"/>
          <w:color w:val="auto"/>
        </w:rPr>
        <w:t>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1520" w:hanging="663"/>
        <w:spacing w:after="0"/>
        <w:tabs>
          <w:tab w:leader="none" w:pos="1520" w:val="left"/>
        </w:tabs>
        <w:numPr>
          <w:ilvl w:val="0"/>
          <w:numId w:val="3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permissive, the word “or” is not exclusive, the words “includes” and “including” are not limiting, the singular includes the plural, and numbers denoting amounts that are set off in brackets are negative. As used in this Agreement, the following capitalized terms have the following meanings:</w:t>
      </w:r>
    </w:p>
    <w:p>
      <w:pPr>
        <w:spacing w:after="0" w:line="180" w:lineRule="exact"/>
        <w:rPr>
          <w:sz w:val="20"/>
          <w:szCs w:val="20"/>
          <w:color w:val="auto"/>
        </w:rPr>
      </w:pPr>
    </w:p>
    <w:p>
      <w:pPr>
        <w:jc w:val="both"/>
        <w:ind w:left="200" w:right="219" w:firstLine="70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is any “account” as defined in the Code with such additions to such term as may hereafter be made, and includes, without limitation, all accounts receivable and other sums owing to Borrower.</w:t>
      </w:r>
    </w:p>
    <w:p>
      <w:pPr>
        <w:spacing w:after="0" w:line="32"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Aclaris</w:t>
      </w:r>
      <w:r>
        <w:rPr>
          <w:rFonts w:ascii="Arial" w:cs="Arial" w:eastAsia="Arial" w:hAnsi="Arial"/>
          <w:sz w:val="18"/>
          <w:szCs w:val="18"/>
          <w:color w:val="auto"/>
        </w:rPr>
        <w:t>” is defined in the preamble hereof.</w:t>
      </w:r>
    </w:p>
    <w:p>
      <w:pPr>
        <w:spacing w:after="0" w:line="117" w:lineRule="exact"/>
        <w:rPr>
          <w:sz w:val="20"/>
          <w:szCs w:val="20"/>
          <w:color w:val="auto"/>
        </w:rPr>
      </w:pPr>
    </w:p>
    <w:p>
      <w:pPr>
        <w:jc w:val="both"/>
        <w:ind w:left="200" w:right="219" w:firstLine="69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117" w:lineRule="exact"/>
        <w:rPr>
          <w:sz w:val="20"/>
          <w:szCs w:val="20"/>
          <w:color w:val="auto"/>
        </w:rPr>
      </w:pPr>
    </w:p>
    <w:p>
      <w:pPr>
        <w:jc w:val="both"/>
        <w:ind w:left="200" w:right="219" w:firstLine="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any Credit Extension request, on behalf of Borrower.</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117"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and documented out-of-pocket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72" w:lineRule="exact"/>
        <w:rPr>
          <w:sz w:val="20"/>
          <w:szCs w:val="20"/>
          <w:color w:val="auto"/>
        </w:rPr>
      </w:pPr>
    </w:p>
    <w:p>
      <w:pPr>
        <w:jc w:val="both"/>
        <w:ind w:left="200" w:right="219" w:firstLine="70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8"/>
          <w:szCs w:val="18"/>
          <w:b w:val="1"/>
          <w:bCs w:val="1"/>
          <w:color w:val="auto"/>
        </w:rPr>
        <w:t>Bank Services Agreement</w:t>
      </w:r>
      <w:r>
        <w:rPr>
          <w:rFonts w:ascii="Arial" w:cs="Arial" w:eastAsia="Arial" w:hAnsi="Arial"/>
          <w:sz w:val="18"/>
          <w:szCs w:val="18"/>
          <w:color w:val="auto"/>
        </w:rPr>
        <w:t>”).</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Aclaris’ board of directors.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117"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68" w:lineRule="exact"/>
        <w:rPr>
          <w:sz w:val="20"/>
          <w:szCs w:val="20"/>
          <w:color w:val="auto"/>
        </w:rPr>
      </w:pPr>
    </w:p>
    <w:p>
      <w:pPr>
        <w:jc w:val="both"/>
        <w:ind w:left="200" w:right="219" w:firstLine="69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6"/>
          <w:szCs w:val="16"/>
          <w:color w:val="auto"/>
        </w:rPr>
        <w:t>the authority to execute, deliver, and perform its obligations under each of the Loan Documents to which it is a party,</w:t>
      </w:r>
    </w:p>
    <w:p>
      <w:pPr>
        <w:spacing w:after="0" w:line="46" w:lineRule="exact"/>
        <w:rPr>
          <w:sz w:val="20"/>
          <w:szCs w:val="20"/>
          <w:color w:val="auto"/>
        </w:rPr>
      </w:pPr>
    </w:p>
    <w:p>
      <w:pPr>
        <w:jc w:val="both"/>
        <w:ind w:left="200" w:right="219" w:firstLine="9"/>
        <w:spacing w:after="0" w:line="252" w:lineRule="auto"/>
        <w:tabs>
          <w:tab w:leader="none" w:pos="4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and (d) that Bank may conclusively rely on such certificate unless and until such Person shall have delivered to Bank a further certificate canceling or amending such prior certificate.</w:t>
      </w:r>
    </w:p>
    <w:p>
      <w:pPr>
        <w:spacing w:after="0" w:line="8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117" w:lineRule="exact"/>
        <w:rPr>
          <w:sz w:val="20"/>
          <w:szCs w:val="20"/>
          <w:color w:val="auto"/>
        </w:rPr>
      </w:pPr>
    </w:p>
    <w:p>
      <w:pPr>
        <w:jc w:val="both"/>
        <w:ind w:left="200" w:right="219" w:firstLine="70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52" w:lineRule="exact"/>
        <w:rPr>
          <w:sz w:val="20"/>
          <w:szCs w:val="20"/>
          <w:color w:val="auto"/>
        </w:rPr>
      </w:pPr>
    </w:p>
    <w:p>
      <w:pPr>
        <w:jc w:val="both"/>
        <w:ind w:left="200" w:right="219" w:firstLine="70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defined in the Exchange Act), shall become, or obtain rights (whether by means or warrants, options or otherwise) to become, the “beneficial owner” (as defined in Rules 13(d)-3 and 13(d)-5 under the Exchange Act), directly or indirectly, of forty-nine percent (49.0%)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12 consecutive months, a majority of the members of the Board or other equivalent governing body of Aclaris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6" w:lineRule="exact"/>
        <w:rPr>
          <w:sz w:val="20"/>
          <w:szCs w:val="20"/>
          <w:color w:val="auto"/>
        </w:rPr>
      </w:pPr>
    </w:p>
    <w:p>
      <w:pPr>
        <w:jc w:val="both"/>
        <w:ind w:left="200" w:right="219" w:firstLine="9"/>
        <w:spacing w:after="0" w:line="29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above constituting at the time of such election or nomination at least a majority of that board or equivalent governing body; or (c) at any time, Aclaris shall cease to own and control, of record and beneficially, directly or indirectly, one hundred percent (100.0%) of each class of outstanding capital stock of each Subsidiary of Aclaris (other than as a result of the Permitted Dissolutions) free and clear of all Liens (except Liens created by this Agreement).</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117"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Sections of the Code, the definition of such term contained in Article or Section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New York, the term “</w:t>
      </w:r>
      <w:r>
        <w:rPr>
          <w:rFonts w:ascii="Arial" w:cs="Arial" w:eastAsia="Arial" w:hAnsi="Arial"/>
          <w:sz w:val="17"/>
          <w:szCs w:val="17"/>
          <w:b w:val="1"/>
          <w:bCs w:val="1"/>
          <w:color w:val="auto"/>
        </w:rPr>
        <w:t>Code</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6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17"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in each case other than an Excluded Account, maintained by Borrower at any time.</w:t>
      </w:r>
    </w:p>
    <w:p>
      <w:pPr>
        <w:spacing w:after="0" w:line="54" w:lineRule="exact"/>
        <w:rPr>
          <w:sz w:val="20"/>
          <w:szCs w:val="20"/>
          <w:color w:val="auto"/>
        </w:rPr>
      </w:pPr>
    </w:p>
    <w:p>
      <w:pPr>
        <w:jc w:val="both"/>
        <w:ind w:left="200" w:right="239"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Confluence</w:t>
      </w:r>
      <w:r>
        <w:rPr>
          <w:rFonts w:ascii="Arial" w:cs="Arial" w:eastAsia="Arial" w:hAnsi="Arial"/>
          <w:sz w:val="18"/>
          <w:szCs w:val="18"/>
          <w:color w:val="auto"/>
        </w:rPr>
        <w:t>” is defined in the preamble hereof.</w:t>
      </w:r>
    </w:p>
    <w:p>
      <w:pPr>
        <w:spacing w:after="0" w:line="117" w:lineRule="exact"/>
        <w:rPr>
          <w:sz w:val="20"/>
          <w:szCs w:val="20"/>
          <w:color w:val="auto"/>
        </w:rPr>
      </w:pPr>
    </w:p>
    <w:p>
      <w:pPr>
        <w:jc w:val="both"/>
        <w:ind w:left="200" w:right="219"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w:t>
      </w:r>
      <w:r>
        <w:rPr>
          <w:rFonts w:ascii="MS PGothic" w:cs="MS PGothic" w:eastAsia="MS PGothic" w:hAnsi="MS PGothic"/>
          <w:sz w:val="16"/>
          <w:szCs w:val="16"/>
          <w:color w:val="auto"/>
        </w:rPr>
        <w:t>‑</w:t>
      </w:r>
      <w:r>
        <w:rPr>
          <w:rFonts w:ascii="Arial" w:cs="Arial" w:eastAsia="Arial" w:hAnsi="Arial"/>
          <w:sz w:val="16"/>
          <w:szCs w:val="16"/>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98" w:lineRule="exact"/>
        <w:rPr>
          <w:sz w:val="20"/>
          <w:szCs w:val="20"/>
          <w:color w:val="auto"/>
        </w:rPr>
      </w:pPr>
    </w:p>
    <w:p>
      <w:pPr>
        <w:jc w:val="both"/>
        <w:ind w:left="200" w:right="219" w:firstLine="7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(other than an Excluded Account) or the securities intermediary or commodity intermediary at which Borrower maintains a Securities Account or a Commodity Account (other than an Excluded Account), Borrower, and Bank pursuant to which Bank obtains control (within the meaning of the Code) over such Deposit Account, Securities Account, or Commodity Account.</w:t>
      </w:r>
    </w:p>
    <w:p>
      <w:pPr>
        <w:spacing w:after="0" w:line="75" w:lineRule="exact"/>
        <w:rPr>
          <w:sz w:val="20"/>
          <w:szCs w:val="20"/>
          <w:color w:val="auto"/>
        </w:rPr>
      </w:pPr>
    </w:p>
    <w:p>
      <w:pPr>
        <w:jc w:val="both"/>
        <w:ind w:left="200" w:right="219" w:firstLine="73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Extension</w:t>
      </w:r>
      <w:r>
        <w:rPr>
          <w:rFonts w:ascii="Arial" w:cs="Arial" w:eastAsia="Arial" w:hAnsi="Arial"/>
          <w:sz w:val="17"/>
          <w:szCs w:val="17"/>
          <w:color w:val="auto"/>
        </w:rPr>
        <w:t>” is any Term Loan Advance, or any other extension of credit by Bank for Borrower’s</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benefit.</w:t>
      </w:r>
    </w:p>
    <w:p>
      <w:pPr>
        <w:spacing w:after="0" w:line="99" w:lineRule="exact"/>
        <w:rPr>
          <w:sz w:val="20"/>
          <w:szCs w:val="20"/>
          <w:color w:val="auto"/>
        </w:rPr>
      </w:pPr>
    </w:p>
    <w:p>
      <w:pPr>
        <w:jc w:val="both"/>
        <w:ind w:left="200" w:right="219"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w:t>
      </w:r>
      <w:r>
        <w:rPr>
          <w:rFonts w:ascii="Arial" w:cs="Arial" w:eastAsia="Arial" w:hAnsi="Arial"/>
          <w:sz w:val="18"/>
          <w:szCs w:val="18"/>
          <w:color w:val="auto"/>
        </w:rPr>
        <w:t>” is coined money and such other banknotes or other paper money as are authorized by law and circulate as a medium of exchange.</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117" w:lineRule="exact"/>
        <w:rPr>
          <w:sz w:val="20"/>
          <w:szCs w:val="20"/>
          <w:color w:val="auto"/>
        </w:rPr>
      </w:pPr>
    </w:p>
    <w:p>
      <w:pPr>
        <w:jc w:val="both"/>
        <w:ind w:left="200" w:right="239"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54" w:lineRule="exact"/>
        <w:rPr>
          <w:sz w:val="20"/>
          <w:szCs w:val="20"/>
          <w:color w:val="auto"/>
        </w:rPr>
      </w:pPr>
    </w:p>
    <w:p>
      <w:pPr>
        <w:jc w:val="both"/>
        <w:ind w:left="200" w:right="219" w:firstLine="73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the account number ending 609 (last three digits), maintained by Borrower with Bank (provided, however, if no such account number is included, then the Designated Deposit Account shall be any deposit account of Borrower maintained with Bank as chosen by Bank).</w:t>
      </w:r>
    </w:p>
    <w:p>
      <w:pPr>
        <w:spacing w:after="0" w:line="68" w:lineRule="exact"/>
        <w:rPr>
          <w:sz w:val="20"/>
          <w:szCs w:val="20"/>
          <w:color w:val="auto"/>
        </w:rPr>
      </w:pPr>
    </w:p>
    <w:p>
      <w:pPr>
        <w:jc w:val="both"/>
        <w:ind w:left="200" w:right="219" w:firstLine="693"/>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60"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68" w:lineRule="exact"/>
        <w:rPr>
          <w:sz w:val="20"/>
          <w:szCs w:val="20"/>
          <w:color w:val="auto"/>
        </w:rPr>
      </w:pPr>
    </w:p>
    <w:p>
      <w:pPr>
        <w:jc w:val="both"/>
        <w:ind w:left="200" w:right="219" w:firstLine="70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A</w:t>
      </w:r>
      <w:r>
        <w:rPr>
          <w:rFonts w:ascii="Arial" w:cs="Arial" w:eastAsia="Arial" w:hAnsi="Arial"/>
          <w:sz w:val="18"/>
          <w:szCs w:val="18"/>
          <w:color w:val="auto"/>
        </w:rPr>
        <w:t>” is the period of time from the Effective Date through the earlier to occur of (a) March 31, 2020, or (b) an Event of Default.</w:t>
      </w:r>
    </w:p>
    <w:p>
      <w:pPr>
        <w:spacing w:after="0" w:line="54"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 B</w:t>
      </w:r>
      <w:r>
        <w:rPr>
          <w:rFonts w:ascii="Arial" w:cs="Arial" w:eastAsia="Arial" w:hAnsi="Arial"/>
          <w:sz w:val="18"/>
          <w:szCs w:val="18"/>
          <w:color w:val="auto"/>
        </w:rPr>
        <w:t>” is the period of time commencing April 1, 2020 through the earlier to occur of (a) June 30, 2020, and (b) an Event of Default.</w:t>
      </w: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117"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117"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means any deposit accounts exclusively used for payroll, payroll taxes and other employee wage and benefit payments to or for the benefit of Borrower’s employees, client accounts, and zero balance accounts, identified to Bank by Borrower as such, and the Citibank, N.A. escrow account noted in the Perfection Certificate.</w:t>
      </w:r>
    </w:p>
    <w:p>
      <w:pPr>
        <w:spacing w:after="0" w:line="72" w:lineRule="exact"/>
        <w:rPr>
          <w:sz w:val="20"/>
          <w:szCs w:val="20"/>
          <w:color w:val="auto"/>
        </w:rPr>
      </w:pPr>
    </w:p>
    <w:p>
      <w:pPr>
        <w:jc w:val="both"/>
        <w:ind w:left="200" w:right="219" w:firstLine="70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is a payment (in addition to and not in substitution for the regular monthly payments of principal plus accrued interest) equal to the original principal amount of the Term Loan Advances extended by the Bank to Borrower hereunder, multiplied by five percent (5.0%), due on the earliest to occur of (a) the Term Loan Maturity Date, (b) the prepayment in full of the Term Loan Advances pursuant to Section 2.1.1(d) or 2.1.1(e), (c) the termination of this Agreement, or (d) the acceleration of the Term Loan Advances.</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117" w:lineRule="exact"/>
        <w:rPr>
          <w:sz w:val="20"/>
          <w:szCs w:val="20"/>
          <w:color w:val="auto"/>
        </w:rPr>
      </w:pPr>
    </w:p>
    <w:p>
      <w:pPr>
        <w:jc w:val="both"/>
        <w:ind w:left="200" w:right="219"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54" w:lineRule="exact"/>
        <w:rPr>
          <w:sz w:val="20"/>
          <w:szCs w:val="20"/>
          <w:color w:val="auto"/>
        </w:rPr>
      </w:pPr>
    </w:p>
    <w:p>
      <w:pPr>
        <w:jc w:val="both"/>
        <w:ind w:left="200" w:right="219" w:firstLine="69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FX Contract</w:t>
      </w:r>
      <w:r>
        <w:rPr>
          <w:rFonts w:ascii="Arial" w:cs="Arial" w:eastAsia="Arial" w:hAnsi="Arial"/>
          <w:sz w:val="17"/>
          <w:szCs w:val="17"/>
          <w:color w:val="auto"/>
        </w:rPr>
        <w:t>” is any foreign exchange contract by and between Borrower and Bank under which Borrower commits to purchase from or sell to Bank a specific amount of Foreign Currency on a specified date.</w:t>
      </w:r>
    </w:p>
    <w:p>
      <w:pPr>
        <w:spacing w:after="0" w:line="32" w:lineRule="exact"/>
        <w:rPr>
          <w:sz w:val="20"/>
          <w:szCs w:val="20"/>
          <w:color w:val="auto"/>
        </w:rPr>
      </w:pPr>
    </w:p>
    <w:p>
      <w:pPr>
        <w:jc w:val="both"/>
        <w:ind w:left="200" w:right="219" w:firstLine="70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75"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79"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jc w:val="both"/>
        <w:ind w:left="200" w:right="219" w:firstLine="648"/>
        <w:spacing w:after="0" w:line="261" w:lineRule="auto"/>
        <w:rPr>
          <w:sz w:val="20"/>
          <w:szCs w:val="20"/>
          <w:color w:val="auto"/>
        </w:rPr>
      </w:pP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117"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54" w:lineRule="exact"/>
        <w:rPr>
          <w:sz w:val="20"/>
          <w:szCs w:val="20"/>
          <w:color w:val="auto"/>
        </w:rPr>
      </w:pPr>
    </w:p>
    <w:p>
      <w:pPr>
        <w:jc w:val="both"/>
        <w:ind w:left="200" w:right="219" w:firstLine="69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117" w:lineRule="exact"/>
        <w:rPr>
          <w:sz w:val="20"/>
          <w:szCs w:val="20"/>
          <w:color w:val="auto"/>
        </w:rPr>
      </w:pPr>
    </w:p>
    <w:p>
      <w:pPr>
        <w:jc w:val="both"/>
        <w:ind w:left="200" w:right="239"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34"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Borrower, all of Borrower’s right, title, and interest in and to the following:</w:t>
      </w:r>
    </w:p>
    <w:p>
      <w:pPr>
        <w:spacing w:after="0" w:line="166" w:lineRule="exact"/>
        <w:rPr>
          <w:sz w:val="20"/>
          <w:szCs w:val="20"/>
          <w:color w:val="auto"/>
        </w:rPr>
      </w:pPr>
    </w:p>
    <w:p>
      <w:pPr>
        <w:ind w:left="2160" w:hanging="655"/>
        <w:spacing w:after="0"/>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200" w:right="239" w:firstLine="1305"/>
        <w:spacing w:after="0" w:line="277" w:lineRule="auto"/>
        <w:tabs>
          <w:tab w:leader="none" w:pos="21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2180" w:hanging="675"/>
        <w:spacing w:after="0"/>
        <w:tabs>
          <w:tab w:leader="none" w:pos="2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160" w:hanging="655"/>
        <w:spacing w:after="0"/>
        <w:tabs>
          <w:tab w:leader="none" w:pos="2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jc w:val="both"/>
        <w:ind w:left="200" w:right="219" w:firstLine="1305"/>
        <w:spacing w:after="0" w:line="263" w:lineRule="auto"/>
        <w:tabs>
          <w:tab w:leader="none" w:pos="21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83" w:lineRule="exact"/>
        <w:rPr>
          <w:rFonts w:ascii="Arial" w:cs="Arial" w:eastAsia="Arial" w:hAnsi="Arial"/>
          <w:sz w:val="18"/>
          <w:szCs w:val="18"/>
          <w:color w:val="auto"/>
        </w:rPr>
      </w:pPr>
    </w:p>
    <w:p>
      <w:pPr>
        <w:ind w:left="2180" w:hanging="675"/>
        <w:spacing w:after="0"/>
        <w:tabs>
          <w:tab w:leader="none" w:pos="2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amendments, renewals and extensions of any of the Copyrights, Trademarks or Patents.</w:t>
      </w:r>
    </w:p>
    <w:p>
      <w:pPr>
        <w:spacing w:after="0" w:line="244" w:lineRule="exact"/>
        <w:rPr>
          <w:sz w:val="20"/>
          <w:szCs w:val="20"/>
          <w:color w:val="auto"/>
        </w:rPr>
      </w:pPr>
    </w:p>
    <w:p>
      <w:pPr>
        <w:jc w:val="both"/>
        <w:ind w:left="200" w:right="219" w:firstLine="69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75"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54" w:lineRule="exact"/>
        <w:rPr>
          <w:sz w:val="20"/>
          <w:szCs w:val="20"/>
          <w:color w:val="auto"/>
        </w:rPr>
      </w:pPr>
    </w:p>
    <w:p>
      <w:pPr>
        <w:jc w:val="both"/>
        <w:ind w:left="200" w:right="239" w:firstLine="69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President and Chief Executive Officer, who is Neal Walker as of the Effective Date, and (b) Chief Financial Officer, who is Frank Ruffo as of the Effective Date.</w:t>
      </w:r>
    </w:p>
    <w:p>
      <w:pPr>
        <w:spacing w:after="0" w:line="54"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54" w:lineRule="exact"/>
        <w:rPr>
          <w:sz w:val="20"/>
          <w:szCs w:val="20"/>
          <w:color w:val="auto"/>
        </w:rPr>
      </w:pPr>
    </w:p>
    <w:p>
      <w:pPr>
        <w:jc w:val="both"/>
        <w:ind w:left="200" w:right="239" w:firstLine="69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is a claim, mortgage, deed of trust, levy, charge, pledge, security interest or other encumbrance of any kind, whether voluntarily incurred or arising by operation of law or otherwise against any property.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jc w:val="both"/>
        <w:ind w:left="200" w:right="219"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and any schedules, exhibits, certificates, notices, and any other documents related to this Agreement, the Warrant, the Perfection Certificate any Bank Services Agreement, any subordination agreement, any note, or notes or guaranties executed by Borrower or any Guarantor, and any other present or future agreement by Borrower and/or any Guarantor with or for the benefit of Bank in connection with this Agreement or Bank Services, all as amended, restated, or otherwise modified.</w:t>
      </w:r>
    </w:p>
    <w:p>
      <w:pPr>
        <w:spacing w:after="0" w:line="60" w:lineRule="exact"/>
        <w:rPr>
          <w:sz w:val="20"/>
          <w:szCs w:val="20"/>
          <w:color w:val="auto"/>
        </w:rPr>
      </w:pPr>
    </w:p>
    <w:p>
      <w:pPr>
        <w:jc w:val="both"/>
        <w:ind w:left="200" w:right="219" w:firstLine="69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Bank’s Lien in the Collateral or in the value of such Collateral (which is not covered by adequate insurance); (b) a material adverse change in the business, operations, or financial condition of Borrower; or (c) a material impairment of the ability of Borrower to repay any portion of the Obligations.</w:t>
      </w:r>
    </w:p>
    <w:p>
      <w:pPr>
        <w:spacing w:after="0" w:line="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117" w:lineRule="exact"/>
        <w:rPr>
          <w:sz w:val="20"/>
          <w:szCs w:val="20"/>
          <w:color w:val="auto"/>
        </w:rPr>
      </w:pPr>
    </w:p>
    <w:p>
      <w:pPr>
        <w:jc w:val="both"/>
        <w:ind w:left="200" w:right="219" w:firstLine="73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are Borrower’s obligations to pay when due any debts, principal, interest, fees, Bank Expenses, Final Payment, Prepayment Premium, and other amounts Borrower owes Bank now or later, whether under this Agreement, the other Loan Documents (other than the Warrant),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 (other than the Warrant).</w:t>
      </w:r>
    </w:p>
    <w:p>
      <w:pPr>
        <w:spacing w:after="0" w:line="64"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 Term Loan Advance</w:t>
      </w:r>
      <w:r>
        <w:rPr>
          <w:rFonts w:ascii="Arial" w:cs="Arial" w:eastAsia="Arial" w:hAnsi="Arial"/>
          <w:sz w:val="18"/>
          <w:szCs w:val="18"/>
          <w:color w:val="auto"/>
        </w:rPr>
        <w:t>” is defined in Section 2.1.1(a)</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 B Term Loan Advance</w:t>
      </w:r>
      <w:r>
        <w:rPr>
          <w:rFonts w:ascii="Arial" w:cs="Arial" w:eastAsia="Arial" w:hAnsi="Arial"/>
          <w:sz w:val="17"/>
          <w:szCs w:val="17"/>
          <w:color w:val="auto"/>
        </w:rPr>
        <w:t>” or “</w:t>
      </w:r>
      <w:r>
        <w:rPr>
          <w:rFonts w:ascii="Arial" w:cs="Arial" w:eastAsia="Arial" w:hAnsi="Arial"/>
          <w:sz w:val="17"/>
          <w:szCs w:val="17"/>
          <w:b w:val="1"/>
          <w:bCs w:val="1"/>
          <w:color w:val="auto"/>
        </w:rPr>
        <w:t>Option B Term Loan Advances</w:t>
      </w:r>
      <w:r>
        <w:rPr>
          <w:rFonts w:ascii="Arial" w:cs="Arial" w:eastAsia="Arial" w:hAnsi="Arial"/>
          <w:sz w:val="17"/>
          <w:szCs w:val="17"/>
          <w:color w:val="auto"/>
        </w:rPr>
        <w:t>” is defined in Section 2.1.1(a)</w:t>
      </w:r>
    </w:p>
    <w:p>
      <w:pPr>
        <w:spacing w:after="0" w:line="129" w:lineRule="exact"/>
        <w:rPr>
          <w:sz w:val="20"/>
          <w:szCs w:val="20"/>
          <w:color w:val="auto"/>
        </w:rPr>
      </w:pPr>
    </w:p>
    <w:p>
      <w:pPr>
        <w:jc w:val="both"/>
        <w:ind w:left="200" w:right="219" w:firstLine="7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all patents, patent applications and like protections including without limitation improvements, divisions, continuations, renewals, reissues, extensions and continuations-in-part of the same.</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8"/>
          <w:szCs w:val="8"/>
          <w:color w:val="auto"/>
        </w:rPr>
        <w:t>st</w:t>
      </w:r>
      <w:r>
        <w:rPr>
          <w:rFonts w:ascii="Arial" w:cs="Arial" w:eastAsia="Arial" w:hAnsi="Arial"/>
          <w:sz w:val="18"/>
          <w:szCs w:val="18"/>
          <w:color w:val="auto"/>
        </w:rPr>
        <w:t>) calendar day of each month.</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117"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Dissolutions</w:t>
      </w:r>
      <w:r>
        <w:rPr>
          <w:rFonts w:ascii="Arial" w:cs="Arial" w:eastAsia="Arial" w:hAnsi="Arial"/>
          <w:sz w:val="18"/>
          <w:szCs w:val="18"/>
          <w:color w:val="auto"/>
        </w:rPr>
        <w:t>” means the dissolution of Aclaris Therapeutics International Limited and Aclaris Life Sciences, Inc., the result of which shall be each Borrower shall continue as a separate surviving entity, and Confluence shall be a wholly owned subsidiary of Aclaris.</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160" w:hanging="655"/>
        <w:spacing w:after="0"/>
        <w:tabs>
          <w:tab w:leader="none" w:pos="2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Borrower’s Indebtedness to Bank under this Agreement and the other Loan Documents;</w:t>
      </w:r>
    </w:p>
    <w:p>
      <w:pPr>
        <w:spacing w:after="0" w:line="236" w:lineRule="exact"/>
        <w:rPr>
          <w:rFonts w:ascii="Arial" w:cs="Arial" w:eastAsia="Arial" w:hAnsi="Arial"/>
          <w:sz w:val="17"/>
          <w:szCs w:val="17"/>
          <w:color w:val="auto"/>
        </w:rPr>
      </w:pPr>
    </w:p>
    <w:p>
      <w:pPr>
        <w:ind w:left="2160" w:hanging="655"/>
        <w:spacing w:after="0"/>
        <w:tabs>
          <w:tab w:leader="none" w:pos="2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Indebtedness existing on the Effective Date and shown on the Perfection Certificate;</w:t>
      </w:r>
    </w:p>
    <w:p>
      <w:pPr>
        <w:spacing w:after="0" w:line="236" w:lineRule="exact"/>
        <w:rPr>
          <w:rFonts w:ascii="Arial" w:cs="Arial" w:eastAsia="Arial" w:hAnsi="Arial"/>
          <w:sz w:val="17"/>
          <w:szCs w:val="17"/>
          <w:color w:val="auto"/>
        </w:rPr>
      </w:pPr>
    </w:p>
    <w:p>
      <w:pPr>
        <w:ind w:left="2180" w:hanging="675"/>
        <w:spacing w:after="0"/>
        <w:tabs>
          <w:tab w:leader="none" w:pos="2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160" w:hanging="655"/>
        <w:spacing w:after="0"/>
        <w:tabs>
          <w:tab w:leader="none" w:pos="2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unsecured Indebtedness to trade creditors incurred in the ordinary course of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ind w:left="200" w:right="239" w:firstLine="1305"/>
        <w:spacing w:after="0" w:line="277" w:lineRule="auto"/>
        <w:tabs>
          <w:tab w:leader="none" w:pos="2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70" w:lineRule="exact"/>
        <w:rPr>
          <w:rFonts w:ascii="Arial" w:cs="Arial" w:eastAsia="Arial" w:hAnsi="Arial"/>
          <w:sz w:val="18"/>
          <w:szCs w:val="18"/>
          <w:color w:val="auto"/>
        </w:rPr>
      </w:pPr>
    </w:p>
    <w:p>
      <w:pPr>
        <w:ind w:left="200" w:right="239" w:firstLine="1305"/>
        <w:spacing w:after="0" w:line="277" w:lineRule="auto"/>
        <w:tabs>
          <w:tab w:leader="none" w:pos="22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170" w:lineRule="exact"/>
        <w:rPr>
          <w:rFonts w:ascii="Arial" w:cs="Arial" w:eastAsia="Arial" w:hAnsi="Arial"/>
          <w:sz w:val="18"/>
          <w:szCs w:val="18"/>
          <w:color w:val="auto"/>
        </w:rPr>
      </w:pPr>
    </w:p>
    <w:p>
      <w:pPr>
        <w:jc w:val="both"/>
        <w:ind w:left="200" w:right="219" w:firstLine="1305"/>
        <w:spacing w:after="0" w:line="311" w:lineRule="auto"/>
        <w:tabs>
          <w:tab w:leader="none" w:pos="21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00" w:right="239" w:firstLine="1305"/>
        <w:spacing w:after="0" w:line="277" w:lineRule="auto"/>
        <w:tabs>
          <w:tab w:leader="none" w:pos="21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(including, without limitation, the ownership equity interests of Subsidiaries, if any) existing on the Effective Date and shown on the Perfection Certificate; and</w:t>
      </w:r>
    </w:p>
    <w:p>
      <w:pPr>
        <w:spacing w:after="0" w:line="170" w:lineRule="exact"/>
        <w:rPr>
          <w:rFonts w:ascii="Arial" w:cs="Arial" w:eastAsia="Arial" w:hAnsi="Arial"/>
          <w:sz w:val="18"/>
          <w:szCs w:val="18"/>
          <w:color w:val="auto"/>
        </w:rPr>
      </w:pPr>
    </w:p>
    <w:p>
      <w:pPr>
        <w:jc w:val="both"/>
        <w:ind w:left="200" w:right="219" w:firstLine="1305"/>
        <w:spacing w:after="0" w:line="263" w:lineRule="auto"/>
        <w:tabs>
          <w:tab w:leader="none" w:pos="2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w:t>
      </w:r>
    </w:p>
    <w:p>
      <w:pPr>
        <w:spacing w:after="0" w:line="180"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xml:space="preserve"> are (a) licenses of over-the-counter software that is commercially available to the public, (b) non-exclusive licenses for the use of the property of Borrower in the ordinary course of business, including, without limitation, a non-exclusive license between Aclaris and a certain third party identified by Aclaris to Bank prior to the date hereof, and (c) licenses that could not result in a legal transfer of title of the licensed property but that may be exclusive in respects other than territory and that may be exclusive as to territory only as to discreet geographical areas outside of the United States.</w:t>
      </w:r>
    </w:p>
    <w:p>
      <w:pPr>
        <w:spacing w:after="0" w:line="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00" w:right="219" w:firstLine="1305"/>
        <w:spacing w:after="0" w:line="277" w:lineRule="auto"/>
        <w:tabs>
          <w:tab w:leader="none" w:pos="21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existing on the Effective Date and shown on the Perfection Certificate or arising under this Agreement and the other Loan Documents;</w:t>
      </w:r>
    </w:p>
    <w:p>
      <w:pPr>
        <w:spacing w:after="0" w:line="170" w:lineRule="exact"/>
        <w:rPr>
          <w:rFonts w:ascii="Arial" w:cs="Arial" w:eastAsia="Arial" w:hAnsi="Arial"/>
          <w:sz w:val="18"/>
          <w:szCs w:val="18"/>
          <w:color w:val="auto"/>
        </w:rPr>
      </w:pPr>
    </w:p>
    <w:p>
      <w:pPr>
        <w:jc w:val="both"/>
        <w:ind w:left="200" w:right="219" w:firstLine="1305"/>
        <w:spacing w:after="0" w:line="259" w:lineRule="auto"/>
        <w:tabs>
          <w:tab w:leader="none" w:pos="21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6" w:lineRule="exact"/>
        <w:rPr>
          <w:rFonts w:ascii="Arial" w:cs="Arial" w:eastAsia="Arial" w:hAnsi="Arial"/>
          <w:sz w:val="18"/>
          <w:szCs w:val="18"/>
          <w:color w:val="auto"/>
        </w:rPr>
      </w:pPr>
    </w:p>
    <w:p>
      <w:pPr>
        <w:jc w:val="both"/>
        <w:ind w:left="200" w:right="219" w:firstLine="1305"/>
        <w:spacing w:after="0" w:line="255" w:lineRule="auto"/>
        <w:tabs>
          <w:tab w:leader="none" w:pos="21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than as noted on the Perfection Certificate, any purchase money Liens or capital leases incurred by Borrower subsequent to the Effective Date (i) on Equipment (other than Financed Equipment) acquired or held by Borrower incurred for financing the acquisition of the Equipment securing no more than Five Hundred Thousand Dollars ($500,000.00) in the aggregate amount outstanding, or (ii) existing on Equipment (other than Financed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 and</w:t>
      </w:r>
    </w:p>
    <w:p>
      <w:pPr>
        <w:spacing w:after="0" w:line="192" w:lineRule="exact"/>
        <w:rPr>
          <w:rFonts w:ascii="Arial" w:cs="Arial" w:eastAsia="Arial" w:hAnsi="Arial"/>
          <w:sz w:val="18"/>
          <w:szCs w:val="18"/>
          <w:color w:val="auto"/>
        </w:rPr>
      </w:pPr>
    </w:p>
    <w:p>
      <w:pPr>
        <w:jc w:val="both"/>
        <w:ind w:left="200" w:right="219" w:firstLine="1305"/>
        <w:spacing w:after="0" w:line="286" w:lineRule="auto"/>
        <w:tabs>
          <w:tab w:leader="none" w:pos="218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Liens incurred in the extension, renewal or refinancing of the indebtedness secured by Liens described in (a) through (c), </w:t>
      </w:r>
      <w:r>
        <w:rPr>
          <w:rFonts w:ascii="Arial" w:cs="Arial" w:eastAsia="Arial" w:hAnsi="Arial"/>
          <w:sz w:val="17"/>
          <w:szCs w:val="17"/>
          <w:u w:val="single" w:color="auto"/>
          <w:color w:val="auto"/>
        </w:rPr>
        <w:t>but</w:t>
      </w:r>
      <w:r>
        <w:rPr>
          <w:rFonts w:ascii="Arial" w:cs="Arial" w:eastAsia="Arial" w:hAnsi="Arial"/>
          <w:sz w:val="17"/>
          <w:szCs w:val="17"/>
          <w:color w:val="auto"/>
        </w:rPr>
        <w:t xml:space="preserve"> any extension, renewal or replacement Lien must be limited to the property encumbered by the existing Lien and the principal amount of the indebtedness may not increase.</w:t>
      </w:r>
    </w:p>
    <w:p>
      <w:pPr>
        <w:spacing w:after="0" w:line="161"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Transfers</w:t>
      </w:r>
      <w:r>
        <w:rPr>
          <w:rFonts w:ascii="Arial" w:cs="Arial" w:eastAsia="Arial" w:hAnsi="Arial"/>
          <w:sz w:val="18"/>
          <w:szCs w:val="18"/>
          <w:color w:val="auto"/>
        </w:rPr>
        <w:t>” are:</w:t>
      </w:r>
    </w:p>
    <w:p>
      <w:pPr>
        <w:spacing w:after="0" w:line="121" w:lineRule="exact"/>
        <w:rPr>
          <w:sz w:val="20"/>
          <w:szCs w:val="20"/>
          <w:color w:val="auto"/>
        </w:rPr>
      </w:pPr>
    </w:p>
    <w:p>
      <w:pPr>
        <w:ind w:left="200" w:right="239" w:firstLine="1305"/>
        <w:spacing w:after="0" w:line="308" w:lineRule="auto"/>
        <w:tabs>
          <w:tab w:leader="none" w:pos="23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subject to the limitations set forth in Section 6.7(a), the permitting of any Intellectual Property to become abandoned or any registration thereof to be terminated, forfeited, expired, or dedicated to the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200" w:right="239"/>
        <w:spacing w:after="0" w:line="277" w:lineRule="auto"/>
        <w:rPr>
          <w:sz w:val="20"/>
          <w:szCs w:val="20"/>
          <w:color w:val="auto"/>
        </w:rPr>
      </w:pPr>
      <w:r>
        <w:rPr>
          <w:rFonts w:ascii="Arial" w:cs="Arial" w:eastAsia="Arial" w:hAnsi="Arial"/>
          <w:sz w:val="18"/>
          <w:szCs w:val="18"/>
          <w:color w:val="auto"/>
        </w:rPr>
        <w:t>public, in cases where Borrower deems such abandonment, termination, forfeiture, expiration, or dedication to be appropriate in the exercise of Borrower’s commercially reasonable business judgment;</w:t>
      </w:r>
    </w:p>
    <w:p>
      <w:pPr>
        <w:spacing w:after="0" w:line="62" w:lineRule="exact"/>
        <w:rPr>
          <w:sz w:val="20"/>
          <w:szCs w:val="20"/>
          <w:color w:val="auto"/>
        </w:rPr>
      </w:pPr>
    </w:p>
    <w:p>
      <w:pPr>
        <w:ind w:left="200" w:right="219" w:firstLine="1305"/>
        <w:spacing w:after="0" w:line="277" w:lineRule="auto"/>
        <w:tabs>
          <w:tab w:leader="none" w:pos="23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resulting from any casualty or other insured damage to, or any taking under power of eminent domain or condemnation or similar proceeding of, any asset;</w:t>
      </w:r>
    </w:p>
    <w:p>
      <w:pPr>
        <w:spacing w:after="0" w:line="62" w:lineRule="exact"/>
        <w:rPr>
          <w:rFonts w:ascii="Arial" w:cs="Arial" w:eastAsia="Arial" w:hAnsi="Arial"/>
          <w:sz w:val="18"/>
          <w:szCs w:val="18"/>
          <w:color w:val="auto"/>
        </w:rPr>
      </w:pPr>
    </w:p>
    <w:p>
      <w:pPr>
        <w:ind w:left="2360" w:hanging="855"/>
        <w:spacing w:after="0"/>
        <w:tabs>
          <w:tab w:leader="none" w:pos="2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cancellations of intercompany Indebtedness;</w:t>
      </w:r>
    </w:p>
    <w:p>
      <w:pPr>
        <w:spacing w:after="0" w:line="117" w:lineRule="exact"/>
        <w:rPr>
          <w:rFonts w:ascii="Arial" w:cs="Arial" w:eastAsia="Arial" w:hAnsi="Arial"/>
          <w:sz w:val="18"/>
          <w:szCs w:val="18"/>
          <w:color w:val="auto"/>
        </w:rPr>
      </w:pPr>
    </w:p>
    <w:p>
      <w:pPr>
        <w:ind w:left="2840" w:hanging="1335"/>
        <w:spacing w:after="0"/>
        <w:tabs>
          <w:tab w:leader="none" w:pos="2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Transfers of regulatory filings, documentation and approvals in conjunction with</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Permitted Licenses;</w:t>
      </w:r>
    </w:p>
    <w:p>
      <w:pPr>
        <w:spacing w:after="0" w:line="102" w:lineRule="exact"/>
        <w:rPr>
          <w:rFonts w:ascii="Arial" w:cs="Arial" w:eastAsia="Arial" w:hAnsi="Arial"/>
          <w:sz w:val="17"/>
          <w:szCs w:val="17"/>
          <w:color w:val="auto"/>
        </w:rPr>
      </w:pPr>
    </w:p>
    <w:p>
      <w:pPr>
        <w:ind w:left="200" w:right="219" w:firstLine="1305"/>
        <w:spacing w:after="0" w:line="277" w:lineRule="auto"/>
        <w:tabs>
          <w:tab w:leader="none" w:pos="28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lease or sub-lease of property in the ordinary course of business that would not materially interfere with the required use of such property by Borrower; and</w:t>
      </w:r>
    </w:p>
    <w:p>
      <w:pPr>
        <w:spacing w:after="0" w:line="62" w:lineRule="exact"/>
        <w:rPr>
          <w:rFonts w:ascii="Arial" w:cs="Arial" w:eastAsia="Arial" w:hAnsi="Arial"/>
          <w:sz w:val="18"/>
          <w:szCs w:val="18"/>
          <w:color w:val="auto"/>
        </w:rPr>
      </w:pPr>
    </w:p>
    <w:p>
      <w:pPr>
        <w:ind w:left="2820" w:hanging="1315"/>
        <w:spacing w:after="0"/>
        <w:tabs>
          <w:tab w:leader="none" w:pos="2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other Transfer not otherwise permitted under Section 7.1 not to exceed Two</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Hundred Fifty Thousand Dollars ($250,000.00) in the aggregate during any twelve (12) month period.</w:t>
      </w:r>
    </w:p>
    <w:p>
      <w:pPr>
        <w:spacing w:after="0" w:line="99" w:lineRule="exact"/>
        <w:rPr>
          <w:sz w:val="20"/>
          <w:szCs w:val="20"/>
          <w:color w:val="auto"/>
        </w:rPr>
      </w:pPr>
    </w:p>
    <w:p>
      <w:pPr>
        <w:ind w:left="200" w:right="21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Bank, with respect to the Term Loan Advances, in an amount equal to:</w:t>
      </w:r>
    </w:p>
    <w:p>
      <w:pPr>
        <w:spacing w:after="0" w:line="58" w:lineRule="exact"/>
        <w:rPr>
          <w:sz w:val="20"/>
          <w:szCs w:val="20"/>
          <w:color w:val="auto"/>
        </w:rPr>
      </w:pPr>
    </w:p>
    <w:p>
      <w:pPr>
        <w:ind w:left="200" w:right="479" w:firstLine="1305"/>
        <w:spacing w:after="0" w:line="263" w:lineRule="auto"/>
        <w:tabs>
          <w:tab w:leader="none" w:pos="21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 prepayment of the Term Loan Advances made on or prior to the first anniversary of the Effective Date, three percent (3.0%) of the then outstanding principal amount of such Term Loan Advances immediately prior to the date of such prepayment;</w:t>
      </w:r>
    </w:p>
    <w:p>
      <w:pPr>
        <w:spacing w:after="0" w:line="184" w:lineRule="exact"/>
        <w:rPr>
          <w:sz w:val="20"/>
          <w:szCs w:val="20"/>
          <w:color w:val="auto"/>
        </w:rPr>
      </w:pPr>
    </w:p>
    <w:p>
      <w:pPr>
        <w:ind w:left="200" w:right="579" w:firstLine="1305"/>
        <w:spacing w:after="0" w:line="311" w:lineRule="auto"/>
        <w:tabs>
          <w:tab w:leader="none" w:pos="21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a prepayment of the Term Loan Advances made after the first anniversary of the Effective Date, but on or prior to the second anniversary of the Effective Date, two percent (2.0%) of the then outstanding principal amount of such Term Loan Advances immediately prior to the date of such prepayment; and</w:t>
      </w:r>
    </w:p>
    <w:p>
      <w:pPr>
        <w:spacing w:after="0" w:line="149" w:lineRule="exact"/>
        <w:rPr>
          <w:sz w:val="20"/>
          <w:szCs w:val="20"/>
          <w:color w:val="auto"/>
        </w:rPr>
      </w:pPr>
    </w:p>
    <w:p>
      <w:pPr>
        <w:ind w:left="200" w:right="239" w:firstLine="1305"/>
        <w:spacing w:after="0" w:line="263" w:lineRule="auto"/>
        <w:tabs>
          <w:tab w:leader="none" w:pos="21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anniversary of the Effective Date, one percent (1.0%) of the then outstanding principal amount of such Term Loan Advances immediately prior to the date of such prepayment.</w:t>
      </w:r>
    </w:p>
    <w:p>
      <w:pPr>
        <w:spacing w:after="0" w:line="184" w:lineRule="exact"/>
        <w:rPr>
          <w:sz w:val="20"/>
          <w:szCs w:val="20"/>
          <w:color w:val="auto"/>
        </w:rPr>
      </w:pPr>
    </w:p>
    <w:p>
      <w:pPr>
        <w:ind w:left="200" w:right="239"/>
        <w:spacing w:after="0" w:line="263" w:lineRule="auto"/>
        <w:rPr>
          <w:sz w:val="20"/>
          <w:szCs w:val="20"/>
          <w:color w:val="auto"/>
        </w:rPr>
      </w:pPr>
      <w:r>
        <w:rPr>
          <w:rFonts w:ascii="Arial" w:cs="Arial" w:eastAsia="Arial" w:hAnsi="Arial"/>
          <w:sz w:val="18"/>
          <w:szCs w:val="18"/>
          <w:color w:val="auto"/>
        </w:rPr>
        <w:t>Notwithstanding the foregoing, provided no Event of Default has occurred and is continuing, the Prepayment Premium shall be waived if Bank closes on the refinance and redocumentation of this Agreement (in Bank’s sole and absolute discretion) prior to the Term Loan Maturity Date.</w:t>
      </w:r>
    </w:p>
    <w:p>
      <w:pPr>
        <w:spacing w:after="0" w:line="180" w:lineRule="exact"/>
        <w:rPr>
          <w:sz w:val="20"/>
          <w:szCs w:val="20"/>
          <w:color w:val="auto"/>
        </w:rPr>
      </w:pPr>
    </w:p>
    <w:p>
      <w:pPr>
        <w:jc w:val="both"/>
        <w:ind w:left="200" w:right="219" w:firstLine="69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65"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w:t>
      </w:r>
    </w:p>
    <w:p>
      <w:pPr>
        <w:spacing w:after="0" w:line="54"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both"/>
        <w:ind w:left="200" w:right="219" w:firstLine="70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Chief Legal Officer and Secretary of Borrower.</w:t>
      </w:r>
    </w:p>
    <w:p>
      <w:pPr>
        <w:spacing w:after="0" w:line="54" w:lineRule="exact"/>
        <w:rPr>
          <w:sz w:val="20"/>
          <w:szCs w:val="20"/>
          <w:color w:val="auto"/>
        </w:rPr>
      </w:pPr>
    </w:p>
    <w:p>
      <w:pPr>
        <w:jc w:val="both"/>
        <w:ind w:left="200" w:right="219"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72" w:lineRule="exact"/>
        <w:rPr>
          <w:sz w:val="20"/>
          <w:szCs w:val="20"/>
          <w:color w:val="auto"/>
        </w:rPr>
      </w:pPr>
    </w:p>
    <w:p>
      <w:pPr>
        <w:jc w:val="both"/>
        <w:ind w:left="200" w:right="219" w:firstLine="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54" w:lineRule="exact"/>
        <w:rPr>
          <w:sz w:val="20"/>
          <w:szCs w:val="20"/>
          <w:color w:val="auto"/>
        </w:rPr>
      </w:pPr>
    </w:p>
    <w:p>
      <w:pPr>
        <w:jc w:val="both"/>
        <w:ind w:left="200" w:right="239"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54" w:lineRule="exact"/>
        <w:rPr>
          <w:sz w:val="20"/>
          <w:szCs w:val="20"/>
          <w:color w:val="auto"/>
        </w:rPr>
      </w:pPr>
    </w:p>
    <w:p>
      <w:pPr>
        <w:jc w:val="both"/>
        <w:ind w:left="200" w:right="219" w:firstLine="7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Debt</w:t>
      </w:r>
      <w:r>
        <w:rPr>
          <w:rFonts w:ascii="Arial" w:cs="Arial" w:eastAsia="Arial" w:hAnsi="Arial"/>
          <w:sz w:val="17"/>
          <w:szCs w:val="17"/>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50"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provided, that, for the avoidance of doubt, neither Aclaris Therapeutics International Limited nor Aclaris Life Sciences, Inc. shall be deemed a Subsidiary of Borrower hereunder, the other Loan Documents or the Warrant.</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a loan made by Bank pursuant to the terms of Section 2.1.1 hereof.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2.1.1(a)</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April 1, 2022.</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March 1, 2024.</w:t>
      </w:r>
    </w:p>
    <w:p>
      <w:pPr>
        <w:spacing w:after="0" w:line="117" w:lineRule="exact"/>
        <w:rPr>
          <w:sz w:val="20"/>
          <w:szCs w:val="20"/>
          <w:color w:val="auto"/>
        </w:rPr>
      </w:pPr>
    </w:p>
    <w:p>
      <w:pPr>
        <w:jc w:val="both"/>
        <w:ind w:left="200" w:right="239" w:firstLine="7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117"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is that certain Warrant to Purchase Stock dated as of the Effective Date executed by Aclaris in favor of Bank, as may be amended, modified, restated, replaced or supplemented from time to time.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8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ACLARIS 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Neal Walker</w:t>
      </w:r>
      <w:r>
        <w:rPr>
          <w:rFonts w:ascii="Arial" w:cs="Arial" w:eastAsia="Arial" w:hAnsi="Arial"/>
          <w:sz w:val="18"/>
          <w:szCs w:val="18"/>
          <w:color w:val="auto"/>
        </w:rPr>
        <w:t>___________________________</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Neal Walker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CONFLUENCE DISCOVERY TECHNOLOGIES,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Neal Walker</w:t>
      </w:r>
      <w:r>
        <w:rPr>
          <w:rFonts w:ascii="Arial" w:cs="Arial" w:eastAsia="Arial" w:hAnsi="Arial"/>
          <w:sz w:val="18"/>
          <w:szCs w:val="18"/>
          <w:color w:val="auto"/>
        </w:rPr>
        <w:t>___________________________</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Neal Walker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BANK: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SILICON VALLEY BANK</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Tom Gordon</w:t>
      </w:r>
      <w:r>
        <w:rPr>
          <w:rFonts w:ascii="Arial" w:cs="Arial" w:eastAsia="Arial" w:hAnsi="Arial"/>
          <w:sz w:val="18"/>
          <w:szCs w:val="18"/>
          <w:color w:val="auto"/>
        </w:rPr>
        <w:t>___________________________</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 Tom Gordon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2680"/>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17"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70"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Notwithstanding the foregoing, the Collateral shall not include any of the following:</w:t>
      </w:r>
    </w:p>
    <w:p>
      <w:pPr>
        <w:spacing w:after="0" w:line="117" w:lineRule="exact"/>
        <w:rPr>
          <w:sz w:val="20"/>
          <w:szCs w:val="20"/>
          <w:color w:val="auto"/>
        </w:rPr>
      </w:pPr>
    </w:p>
    <w:p>
      <w:pPr>
        <w:ind w:left="1700" w:hanging="843"/>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Intellectual Property of Borrower;</w:t>
      </w:r>
    </w:p>
    <w:p>
      <w:pPr>
        <w:spacing w:after="0" w:line="117" w:lineRule="exact"/>
        <w:rPr>
          <w:rFonts w:ascii="Arial" w:cs="Arial" w:eastAsia="Arial" w:hAnsi="Arial"/>
          <w:sz w:val="18"/>
          <w:szCs w:val="18"/>
          <w:color w:val="auto"/>
        </w:rPr>
      </w:pPr>
    </w:p>
    <w:p>
      <w:pPr>
        <w:jc w:val="both"/>
        <w:ind w:left="200" w:right="219" w:firstLine="657"/>
        <w:spacing w:after="0" w:line="269" w:lineRule="auto"/>
        <w:tabs>
          <w:tab w:leader="none" w:pos="170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license, contract, instrument, or agreement to the extent that such grant of security interest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except to the extent that such Requirement of Law or the term in such contract, license, agreement, instrument or other document providing for such prohibition, breach, default or termination or requiring such consent is ineffective under Section 9-406, 9-407, 9-408 or 9-409 of the Code (or any successor provision or provisions) of any relevant jurisdiction or any other applicable law (including the Bankruptcy Code) or principles of equity; provided, however, that such security interest shall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w:t>
      </w:r>
    </w:p>
    <w:p>
      <w:pPr>
        <w:spacing w:after="0" w:line="73" w:lineRule="exact"/>
        <w:rPr>
          <w:rFonts w:ascii="Arial" w:cs="Arial" w:eastAsia="Arial" w:hAnsi="Arial"/>
          <w:sz w:val="17"/>
          <w:szCs w:val="17"/>
          <w:color w:val="auto"/>
        </w:rPr>
      </w:pPr>
    </w:p>
    <w:p>
      <w:pPr>
        <w:ind w:left="1740" w:hanging="883"/>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Excluded Accounts; and</w:t>
      </w:r>
    </w:p>
    <w:p>
      <w:pPr>
        <w:spacing w:after="0" w:line="117" w:lineRule="exact"/>
        <w:rPr>
          <w:rFonts w:ascii="Arial" w:cs="Arial" w:eastAsia="Arial" w:hAnsi="Arial"/>
          <w:sz w:val="18"/>
          <w:szCs w:val="18"/>
          <w:color w:val="auto"/>
        </w:rPr>
      </w:pPr>
    </w:p>
    <w:p>
      <w:pPr>
        <w:ind w:left="1720" w:hanging="863"/>
        <w:spacing w:after="0"/>
        <w:tabs>
          <w:tab w:leader="none" w:pos="1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prior to the occurrence of the Permitted Dissolutions, any equity interests of a Subsidiary of</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319" w:lineRule="exact"/>
        <w:rPr>
          <w:sz w:val="20"/>
          <w:szCs w:val="20"/>
          <w:color w:val="auto"/>
        </w:rPr>
      </w:pPr>
    </w:p>
    <w:p>
      <w:pPr>
        <w:ind w:left="200" w:right="759" w:firstLine="648"/>
        <w:spacing w:after="0" w:line="277" w:lineRule="auto"/>
        <w:rPr>
          <w:sz w:val="20"/>
          <w:szCs w:val="20"/>
          <w:color w:val="auto"/>
        </w:rPr>
      </w:pPr>
      <w:r>
        <w:rPr>
          <w:rFonts w:ascii="Arial" w:cs="Arial" w:eastAsia="Arial" w:hAnsi="Arial"/>
          <w:sz w:val="18"/>
          <w:szCs w:val="18"/>
          <w:color w:val="auto"/>
        </w:rPr>
        <w:t>Pursuant to the terms of Section 7.5 of the Agreement, Borrower has agreed not to encumber any of its Intellectual Property without Bank’s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845820</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96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304"/>
        </w:trPr>
        <w:tc>
          <w:tcPr>
            <w:tcW w:w="3360" w:type="dxa"/>
            <w:vAlign w:val="bottom"/>
          </w:tcPr>
          <w:p>
            <w:pPr>
              <w:spacing w:after="0"/>
              <w:rPr>
                <w:sz w:val="24"/>
                <w:szCs w:val="24"/>
                <w:color w:val="auto"/>
              </w:rPr>
            </w:pPr>
          </w:p>
        </w:tc>
        <w:tc>
          <w:tcPr>
            <w:tcW w:w="27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COMPLIANCE CERTIFICATE</w:t>
            </w:r>
          </w:p>
        </w:tc>
        <w:tc>
          <w:tcPr>
            <w:tcW w:w="580" w:type="dxa"/>
            <w:vAlign w:val="bottom"/>
          </w:tcPr>
          <w:p>
            <w:pPr>
              <w:spacing w:after="0"/>
              <w:rPr>
                <w:sz w:val="24"/>
                <w:szCs w:val="24"/>
                <w:color w:val="auto"/>
              </w:rPr>
            </w:pPr>
          </w:p>
        </w:tc>
      </w:tr>
      <w:tr>
        <w:trPr>
          <w:trHeight w:val="546"/>
        </w:trPr>
        <w:tc>
          <w:tcPr>
            <w:tcW w:w="3360" w:type="dxa"/>
            <w:vAlign w:val="bottom"/>
          </w:tcPr>
          <w:p>
            <w:pPr>
              <w:spacing w:after="0"/>
              <w:rPr>
                <w:sz w:val="20"/>
                <w:szCs w:val="20"/>
                <w:color w:val="auto"/>
              </w:rPr>
            </w:pPr>
            <w:r>
              <w:rPr>
                <w:rFonts w:ascii="Arial" w:cs="Arial" w:eastAsia="Arial" w:hAnsi="Arial"/>
                <w:sz w:val="18"/>
                <w:szCs w:val="18"/>
                <w:color w:val="auto"/>
              </w:rPr>
              <w:t>TO:SILICON VALLEY BANK</w:t>
            </w:r>
          </w:p>
        </w:tc>
        <w:tc>
          <w:tcPr>
            <w:tcW w:w="2520" w:type="dxa"/>
            <w:vAlign w:val="bottom"/>
            <w:tcBorders>
              <w:top w:val="single" w:sz="8" w:color="auto"/>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3"/>
              </w:rPr>
              <w:t>Date:</w:t>
            </w:r>
          </w:p>
        </w:tc>
      </w:tr>
      <w:tr>
        <w:trPr>
          <w:trHeight w:val="216"/>
        </w:trPr>
        <w:tc>
          <w:tcPr>
            <w:tcW w:w="6060" w:type="dxa"/>
            <w:vAlign w:val="bottom"/>
            <w:gridSpan w:val="5"/>
          </w:tcPr>
          <w:p>
            <w:pPr>
              <w:spacing w:after="0"/>
              <w:rPr>
                <w:sz w:val="20"/>
                <w:szCs w:val="20"/>
                <w:color w:val="auto"/>
              </w:rPr>
            </w:pPr>
            <w:r>
              <w:rPr>
                <w:rFonts w:ascii="Arial" w:cs="Arial" w:eastAsia="Arial" w:hAnsi="Arial"/>
                <w:sz w:val="18"/>
                <w:szCs w:val="18"/>
                <w:color w:val="auto"/>
              </w:rPr>
              <w:t>FROM: ACLARIS THERAPEUTICS, INC.</w:t>
            </w:r>
          </w:p>
        </w:tc>
        <w:tc>
          <w:tcPr>
            <w:tcW w:w="580" w:type="dxa"/>
            <w:vAlign w:val="bottom"/>
          </w:tcPr>
          <w:p>
            <w:pPr>
              <w:spacing w:after="0"/>
              <w:rPr>
                <w:sz w:val="18"/>
                <w:szCs w:val="18"/>
                <w:color w:val="auto"/>
              </w:rPr>
            </w:pPr>
          </w:p>
        </w:tc>
      </w:tr>
      <w:tr>
        <w:trPr>
          <w:trHeight w:val="230"/>
        </w:trPr>
        <w:tc>
          <w:tcPr>
            <w:tcW w:w="6060" w:type="dxa"/>
            <w:vAlign w:val="bottom"/>
            <w:gridSpan w:val="5"/>
          </w:tcPr>
          <w:p>
            <w:pPr>
              <w:ind w:left="80"/>
              <w:spacing w:after="0"/>
              <w:rPr>
                <w:sz w:val="20"/>
                <w:szCs w:val="20"/>
                <w:color w:val="auto"/>
              </w:rPr>
            </w:pPr>
            <w:r>
              <w:rPr>
                <w:rFonts w:ascii="Arial" w:cs="Arial" w:eastAsia="Arial" w:hAnsi="Arial"/>
                <w:sz w:val="18"/>
                <w:szCs w:val="18"/>
                <w:color w:val="auto"/>
              </w:rPr>
              <w:t>CONFLUENCE DISCOVERY TECHNOLOGIES, INC.</w:t>
            </w:r>
          </w:p>
        </w:tc>
        <w:tc>
          <w:tcPr>
            <w:tcW w:w="580" w:type="dxa"/>
            <w:vAlign w:val="bottom"/>
          </w:tcPr>
          <w:p>
            <w:pPr>
              <w:spacing w:after="0"/>
              <w:rPr>
                <w:sz w:val="20"/>
                <w:szCs w:val="20"/>
                <w:color w:val="auto"/>
              </w:rPr>
            </w:pPr>
          </w:p>
        </w:tc>
      </w:tr>
    </w:tbl>
    <w:p>
      <w:pPr>
        <w:spacing w:after="0" w:line="306" w:lineRule="exact"/>
        <w:rPr>
          <w:sz w:val="20"/>
          <w:szCs w:val="20"/>
          <w:color w:val="auto"/>
        </w:rPr>
      </w:pPr>
    </w:p>
    <w:p>
      <w:pPr>
        <w:jc w:val="both"/>
        <w:ind w:right="480" w:firstLine="648"/>
        <w:spacing w:after="0" w:line="277" w:lineRule="auto"/>
        <w:rPr>
          <w:sz w:val="20"/>
          <w:szCs w:val="20"/>
          <w:color w:val="auto"/>
        </w:rPr>
      </w:pPr>
      <w:r>
        <w:rPr>
          <w:rFonts w:ascii="Arial" w:cs="Arial" w:eastAsia="Arial" w:hAnsi="Arial"/>
          <w:sz w:val="17"/>
          <w:szCs w:val="17"/>
          <w:color w:val="auto"/>
        </w:rPr>
        <w:t xml:space="preserve">The undersigned authorized officer of </w:t>
      </w:r>
      <w:r>
        <w:rPr>
          <w:rFonts w:ascii="Arial" w:cs="Arial" w:eastAsia="Arial" w:hAnsi="Arial"/>
          <w:sz w:val="17"/>
          <w:szCs w:val="17"/>
          <w:b w:val="1"/>
          <w:bCs w:val="1"/>
          <w:color w:val="auto"/>
        </w:rPr>
        <w:t>ACLARIS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Aclaris</w:t>
      </w:r>
      <w:r>
        <w:rPr>
          <w:rFonts w:ascii="Arial" w:cs="Arial" w:eastAsia="Arial" w:hAnsi="Arial"/>
          <w:sz w:val="17"/>
          <w:szCs w:val="17"/>
          <w:color w:val="auto"/>
        </w:rPr>
        <w:t xml:space="preserve">”) on behalf of itself and any other Borrower (as hereinafter defined), certifies that under the terms and conditions of the Loan and Security Agreement, dated as of March 30, 2020 among Aclaris and </w:t>
      </w:r>
      <w:r>
        <w:rPr>
          <w:rFonts w:ascii="Arial" w:cs="Arial" w:eastAsia="Arial" w:hAnsi="Arial"/>
          <w:sz w:val="17"/>
          <w:szCs w:val="17"/>
          <w:b w:val="1"/>
          <w:bCs w:val="1"/>
          <w:color w:val="auto"/>
        </w:rPr>
        <w:t>CONFLUENCE DISCOVERY TECHNOLOGIES,</w:t>
      </w:r>
      <w:r>
        <w:rPr>
          <w:rFonts w:ascii="Arial" w:cs="Arial" w:eastAsia="Arial" w:hAnsi="Arial"/>
          <w:sz w:val="17"/>
          <w:szCs w:val="17"/>
          <w:color w:val="auto"/>
        </w:rPr>
        <w:t xml:space="preserve"> </w:t>
      </w:r>
      <w:r>
        <w:rPr>
          <w:rFonts w:ascii="Arial" w:cs="Arial" w:eastAsia="Arial" w:hAnsi="Arial"/>
          <w:sz w:val="17"/>
          <w:szCs w:val="17"/>
          <w:b w:val="1"/>
          <w:bCs w:val="1"/>
          <w:color w:val="auto"/>
        </w:rPr>
        <w:t>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Confluence</w:t>
      </w:r>
      <w:r>
        <w:rPr>
          <w:rFonts w:ascii="Arial" w:cs="Arial" w:eastAsia="Arial" w:hAnsi="Arial"/>
          <w:sz w:val="17"/>
          <w:szCs w:val="17"/>
          <w:color w:val="auto"/>
        </w:rPr>
        <w:t>”) (Aclaris and Confluence are hereinafter jointly and severally, individually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referred to as “</w:t>
      </w:r>
      <w:r>
        <w:rPr>
          <w:rFonts w:ascii="Arial" w:cs="Arial" w:eastAsia="Arial" w:hAnsi="Arial"/>
          <w:sz w:val="17"/>
          <w:szCs w:val="17"/>
          <w:b w:val="1"/>
          <w:bCs w:val="1"/>
          <w:color w:val="auto"/>
        </w:rPr>
        <w:t>Borrower</w:t>
      </w:r>
      <w:r>
        <w:rPr>
          <w:rFonts w:ascii="Arial" w:cs="Arial" w:eastAsia="Arial" w:hAnsi="Arial"/>
          <w:sz w:val="17"/>
          <w:szCs w:val="17"/>
          <w:color w:val="auto"/>
        </w:rPr>
        <w:t>”) and Bank (the “Agreement”):</w:t>
      </w:r>
    </w:p>
    <w:p>
      <w:pPr>
        <w:spacing w:after="0" w:line="64" w:lineRule="exact"/>
        <w:rPr>
          <w:sz w:val="20"/>
          <w:szCs w:val="20"/>
          <w:color w:val="auto"/>
        </w:rPr>
      </w:pPr>
    </w:p>
    <w:p>
      <w:pPr>
        <w:jc w:val="both"/>
        <w:ind w:right="480" w:firstLine="717"/>
        <w:spacing w:after="0" w:line="269" w:lineRule="auto"/>
        <w:tabs>
          <w:tab w:leader="none" w:pos="986" w:val="left"/>
        </w:tabs>
        <w:numPr>
          <w:ilvl w:val="0"/>
          <w:numId w:val="50"/>
        </w:numPr>
        <w:rPr>
          <w:rFonts w:ascii="Arial" w:cs="Arial" w:eastAsia="Arial" w:hAnsi="Arial"/>
          <w:sz w:val="17"/>
          <w:szCs w:val="17"/>
          <w:color w:val="auto"/>
        </w:rPr>
      </w:pPr>
      <w:r>
        <w:rPr>
          <w:rFonts w:ascii="Arial" w:cs="Arial" w:eastAsia="Arial" w:hAnsi="Arial"/>
          <w:sz w:val="17"/>
          <w:szCs w:val="17"/>
          <w:color w:val="auto"/>
        </w:rPr>
        <w:t>Borrower is in compliance for the period ending [_____________]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77" w:lineRule="exact"/>
        <w:rPr>
          <w:sz w:val="20"/>
          <w:szCs w:val="20"/>
          <w:color w:val="auto"/>
        </w:rPr>
      </w:pPr>
    </w:p>
    <w:p>
      <w:pPr>
        <w:jc w:val="both"/>
        <w:ind w:right="480" w:firstLine="648"/>
        <w:spacing w:after="0" w:line="272" w:lineRule="auto"/>
        <w:rPr>
          <w:sz w:val="20"/>
          <w:szCs w:val="20"/>
          <w:color w:val="auto"/>
        </w:rPr>
      </w:pPr>
      <w:r>
        <w:rPr>
          <w:rFonts w:ascii="Arial" w:cs="Arial" w:eastAsia="Arial" w:hAnsi="Arial"/>
          <w:sz w:val="17"/>
          <w:szCs w:val="17"/>
          <w:color w:val="auto"/>
        </w:rPr>
        <w:t>Attached are the required documents supporting the certification. The undersigned certifies that these are prepared in accordance with GAAP consistently applied from one period to the next except as explained in an accompanying letter or footnotes, and except, in the case of unaudited financial statements, for the absence of footnotes and subject to year-end audit adjustments as to the interim financial statements.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580" w:type="dxa"/>
            <w:vAlign w:val="bottom"/>
            <w:tcBorders>
              <w:top w:val="single" w:sz="8" w:color="auto"/>
              <w:right w:val="single" w:sz="8" w:color="auto"/>
            </w:tcBorders>
            <w:gridSpan w:val="4"/>
          </w:tcPr>
          <w:p>
            <w:pPr>
              <w:ind w:left="100"/>
              <w:spacing w:after="0" w:line="189" w:lineRule="exact"/>
              <w:rPr>
                <w:sz w:val="20"/>
                <w:szCs w:val="20"/>
                <w:color w:val="auto"/>
              </w:rPr>
            </w:pPr>
            <w:r>
              <w:rPr>
                <w:rFonts w:ascii="Arial" w:cs="Arial" w:eastAsia="Arial" w:hAnsi="Arial"/>
                <w:sz w:val="18"/>
                <w:szCs w:val="18"/>
                <w:b w:val="1"/>
                <w:bCs w:val="1"/>
                <w:color w:val="auto"/>
              </w:rPr>
              <w:t>Reporting Covenants</w:t>
            </w:r>
          </w:p>
        </w:tc>
        <w:tc>
          <w:tcPr>
            <w:tcW w:w="14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Required</w:t>
            </w:r>
          </w:p>
        </w:tc>
        <w:tc>
          <w:tcPr>
            <w:tcW w:w="500" w:type="dxa"/>
            <w:vAlign w:val="bottom"/>
            <w:tcBorders>
              <w:top w:val="single" w:sz="8" w:color="auto"/>
              <w:right w:val="single" w:sz="8" w:color="auto"/>
            </w:tcBorders>
          </w:tcPr>
          <w:p>
            <w:pPr>
              <w:spacing w:after="0"/>
              <w:rPr>
                <w:sz w:val="16"/>
                <w:szCs w:val="16"/>
                <w:color w:val="auto"/>
              </w:rPr>
            </w:pPr>
          </w:p>
        </w:tc>
        <w:tc>
          <w:tcPr>
            <w:tcW w:w="1920" w:type="dxa"/>
            <w:vAlign w:val="bottom"/>
            <w:tcBorders>
              <w:top w:val="single" w:sz="8" w:color="auto"/>
              <w:right w:val="single" w:sz="8" w:color="auto"/>
            </w:tcBorders>
            <w:gridSpan w:val="5"/>
          </w:tcPr>
          <w:p>
            <w:pPr>
              <w:ind w:left="580"/>
              <w:spacing w:after="0" w:line="189" w:lineRule="exact"/>
              <w:rPr>
                <w:sz w:val="20"/>
                <w:szCs w:val="20"/>
                <w:color w:val="auto"/>
              </w:rPr>
            </w:pPr>
            <w:r>
              <w:rPr>
                <w:rFonts w:ascii="Arial" w:cs="Arial" w:eastAsia="Arial" w:hAnsi="Arial"/>
                <w:sz w:val="18"/>
                <w:szCs w:val="18"/>
                <w:b w:val="1"/>
                <w:bCs w:val="1"/>
                <w:color w:val="auto"/>
              </w:rPr>
              <w:t>Complies</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Monthly financial statements</w:t>
            </w:r>
          </w:p>
        </w:tc>
        <w:tc>
          <w:tcPr>
            <w:tcW w:w="3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Monthly within 30 days</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Compliance Certificate</w:t>
            </w:r>
          </w:p>
        </w:tc>
        <w:tc>
          <w:tcPr>
            <w:tcW w:w="3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Monthly within 30 days</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No</w:t>
            </w:r>
          </w:p>
        </w:tc>
      </w:tr>
      <w:tr>
        <w:trPr>
          <w:trHeight w:val="195"/>
        </w:trPr>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Annual financial statement</w:t>
            </w:r>
          </w:p>
        </w:tc>
        <w:tc>
          <w:tcPr>
            <w:tcW w:w="316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FYE within 120 days or 5 days of</w:t>
            </w:r>
          </w:p>
        </w:tc>
        <w:tc>
          <w:tcPr>
            <w:tcW w:w="50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auto"/>
              </w:rPr>
              <w:t>Yes</w:t>
            </w:r>
          </w:p>
        </w:tc>
        <w:tc>
          <w:tcPr>
            <w:tcW w:w="1000" w:type="dxa"/>
            <w:vAlign w:val="bottom"/>
            <w:tcBorders>
              <w:right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filing with the SEC***</w:t>
            </w: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4"/>
          </w:tcPr>
          <w:p>
            <w:pPr>
              <w:ind w:left="100"/>
              <w:spacing w:after="0" w:line="195" w:lineRule="exact"/>
              <w:rPr>
                <w:sz w:val="20"/>
                <w:szCs w:val="20"/>
                <w:color w:val="auto"/>
              </w:rPr>
            </w:pPr>
            <w:r>
              <w:rPr>
                <w:rFonts w:ascii="Arial" w:cs="Arial" w:eastAsia="Arial" w:hAnsi="Arial"/>
                <w:sz w:val="18"/>
                <w:szCs w:val="18"/>
                <w:color w:val="auto"/>
              </w:rPr>
              <w:t>Annual  Operating  Budget  and  Financial</w:t>
            </w:r>
          </w:p>
        </w:tc>
        <w:tc>
          <w:tcPr>
            <w:tcW w:w="316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Earlier of Board approval and 90 days</w:t>
            </w:r>
          </w:p>
        </w:tc>
        <w:tc>
          <w:tcPr>
            <w:tcW w:w="50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Projections</w:t>
            </w: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w w:val="96"/>
              </w:rPr>
              <w:t>after FYE, and contemporaneously with</w:t>
            </w:r>
          </w:p>
        </w:tc>
        <w:tc>
          <w:tcPr>
            <w:tcW w:w="5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Yes</w:t>
            </w:r>
          </w:p>
        </w:tc>
        <w:tc>
          <w:tcPr>
            <w:tcW w:w="100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No</w:t>
            </w:r>
          </w:p>
        </w:tc>
      </w:tr>
      <w:tr>
        <w:trPr>
          <w:trHeight w:val="216"/>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3160" w:type="dxa"/>
            <w:vAlign w:val="bottom"/>
            <w:gridSpan w:val="3"/>
          </w:tcPr>
          <w:p>
            <w:pPr>
              <w:ind w:left="100"/>
              <w:spacing w:after="0"/>
              <w:rPr>
                <w:sz w:val="20"/>
                <w:szCs w:val="20"/>
                <w:color w:val="auto"/>
              </w:rPr>
            </w:pPr>
            <w:r>
              <w:rPr>
                <w:rFonts w:ascii="Arial" w:cs="Arial" w:eastAsia="Arial" w:hAnsi="Arial"/>
                <w:sz w:val="18"/>
                <w:szCs w:val="18"/>
                <w:color w:val="auto"/>
              </w:rPr>
              <w:t>any updates or</w:t>
            </w:r>
          </w:p>
        </w:tc>
        <w:tc>
          <w:tcPr>
            <w:tcW w:w="5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changes thereto***</w:t>
            </w:r>
          </w:p>
        </w:tc>
        <w:tc>
          <w:tcPr>
            <w:tcW w:w="50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Within 5 days after filing with SEC***</w:t>
            </w:r>
          </w:p>
        </w:tc>
        <w:tc>
          <w:tcPr>
            <w:tcW w:w="5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Yes</w:t>
            </w:r>
          </w:p>
        </w:tc>
        <w:tc>
          <w:tcPr>
            <w:tcW w:w="100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160" w:type="dxa"/>
            <w:vAlign w:val="bottom"/>
            <w:tcBorders>
              <w:bottom w:val="single" w:sz="8" w:color="auto"/>
            </w:tcBorders>
            <w:gridSpan w:val="10"/>
          </w:tcPr>
          <w:p>
            <w:pPr>
              <w:ind w:left="100"/>
              <w:spacing w:after="0"/>
              <w:rPr>
                <w:sz w:val="20"/>
                <w:szCs w:val="20"/>
                <w:color w:val="auto"/>
              </w:rPr>
            </w:pPr>
            <w:r>
              <w:rPr>
                <w:rFonts w:ascii="Arial" w:cs="Arial" w:eastAsia="Arial" w:hAnsi="Arial"/>
                <w:sz w:val="18"/>
                <w:szCs w:val="18"/>
                <w:color w:val="auto"/>
                <w:w w:val="95"/>
              </w:rPr>
              <w:t>*** Delivery to Bank is not required if publicly available via EDGAR on the SEC’s website at www.sec.gov.</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r>
      <w:tr>
        <w:trPr>
          <w:trHeight w:val="385"/>
        </w:trPr>
        <w:tc>
          <w:tcPr>
            <w:tcW w:w="3840" w:type="dxa"/>
            <w:vAlign w:val="bottom"/>
            <w:gridSpan w:val="6"/>
          </w:tcPr>
          <w:p>
            <w:pPr>
              <w:spacing w:after="0"/>
              <w:rPr>
                <w:sz w:val="20"/>
                <w:szCs w:val="20"/>
                <w:color w:val="auto"/>
              </w:rPr>
            </w:pPr>
            <w:r>
              <w:rPr>
                <w:rFonts w:ascii="Arial" w:cs="Arial" w:eastAsia="Arial" w:hAnsi="Arial"/>
                <w:sz w:val="18"/>
                <w:szCs w:val="18"/>
                <w:b w:val="1"/>
                <w:bCs w:val="1"/>
                <w:color w:val="auto"/>
              </w:rPr>
              <w:t>Other Matters</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8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40" w:type="dxa"/>
            <w:vAlign w:val="bottom"/>
            <w:gridSpan w:val="7"/>
          </w:tcPr>
          <w:p>
            <w:pPr>
              <w:ind w:left="100"/>
              <w:spacing w:after="0"/>
              <w:rPr>
                <w:sz w:val="20"/>
                <w:szCs w:val="20"/>
                <w:color w:val="auto"/>
              </w:rPr>
            </w:pPr>
            <w:r>
              <w:rPr>
                <w:rFonts w:ascii="Arial" w:cs="Arial" w:eastAsia="Arial" w:hAnsi="Arial"/>
                <w:sz w:val="18"/>
                <w:szCs w:val="18"/>
                <w:color w:val="auto"/>
                <w:w w:val="96"/>
              </w:rPr>
              <w:t>Have there been any amendments of or other changes to the Operating Documents of</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7"/>
          </w:tcPr>
          <w:p>
            <w:pPr>
              <w:ind w:left="100"/>
              <w:spacing w:after="0"/>
              <w:rPr>
                <w:sz w:val="20"/>
                <w:szCs w:val="20"/>
                <w:color w:val="auto"/>
              </w:rPr>
            </w:pPr>
            <w:r>
              <w:rPr>
                <w:rFonts w:ascii="Arial" w:cs="Arial" w:eastAsia="Arial" w:hAnsi="Arial"/>
                <w:sz w:val="18"/>
                <w:szCs w:val="18"/>
                <w:color w:val="auto"/>
                <w:w w:val="99"/>
              </w:rPr>
              <w:t>Borrower or any of its Subsidiaries? If yes, provide copies of any such amendments</w:t>
            </w:r>
          </w:p>
        </w:tc>
        <w:tc>
          <w:tcPr>
            <w:tcW w:w="500" w:type="dxa"/>
            <w:vAlign w:val="bottom"/>
          </w:tcPr>
          <w:p>
            <w:pPr>
              <w:ind w:left="200"/>
              <w:spacing w:after="0"/>
              <w:rPr>
                <w:sz w:val="20"/>
                <w:szCs w:val="20"/>
                <w:color w:val="auto"/>
              </w:rPr>
            </w:pPr>
            <w:r>
              <w:rPr>
                <w:rFonts w:ascii="Arial" w:cs="Arial" w:eastAsia="Arial" w:hAnsi="Arial"/>
                <w:sz w:val="18"/>
                <w:szCs w:val="18"/>
                <w:color w:val="auto"/>
                <w:w w:val="83"/>
              </w:rPr>
              <w:t>Yes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ind w:left="120"/>
              <w:spacing w:after="0"/>
              <w:rPr>
                <w:sz w:val="20"/>
                <w:szCs w:val="20"/>
                <w:color w:val="auto"/>
              </w:rPr>
            </w:pPr>
            <w:r>
              <w:rPr>
                <w:rFonts w:ascii="Arial" w:cs="Arial" w:eastAsia="Arial" w:hAnsi="Arial"/>
                <w:sz w:val="18"/>
                <w:szCs w:val="18"/>
                <w:color w:val="auto"/>
              </w:rPr>
              <w:t>No</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4"/>
          </w:tcPr>
          <w:p>
            <w:pPr>
              <w:ind w:left="100"/>
              <w:spacing w:after="0"/>
              <w:rPr>
                <w:sz w:val="20"/>
                <w:szCs w:val="20"/>
                <w:color w:val="auto"/>
              </w:rPr>
            </w:pPr>
            <w:r>
              <w:rPr>
                <w:rFonts w:ascii="Arial" w:cs="Arial" w:eastAsia="Arial" w:hAnsi="Arial"/>
                <w:sz w:val="18"/>
                <w:szCs w:val="18"/>
                <w:color w:val="auto"/>
                <w:w w:val="98"/>
              </w:rPr>
              <w:t>or changes with this Compliance Certificate.</w:t>
            </w:r>
          </w:p>
        </w:tc>
        <w:tc>
          <w:tcPr>
            <w:tcW w:w="1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168"/>
        </w:trPr>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720"/>
          </w:cols>
          <w:pgMar w:left="1320" w:top="108" w:right="859" w:bottom="1440" w:gutter="0" w:footer="0" w:header="0"/>
        </w:sectPr>
      </w:pPr>
    </w:p>
    <w:bookmarkStart w:id="35" w:name="page36"/>
    <w:bookmarkEnd w:id="35"/>
    <w:p>
      <w:pPr>
        <w:ind w:left="200" w:right="519" w:firstLine="648"/>
        <w:spacing w:after="0" w:line="277" w:lineRule="auto"/>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00" w:type="dxa"/>
            <w:vAlign w:val="bottom"/>
          </w:tcPr>
          <w:p>
            <w:pPr>
              <w:ind w:left="100"/>
              <w:spacing w:after="0"/>
              <w:rPr>
                <w:sz w:val="20"/>
                <w:szCs w:val="20"/>
                <w:color w:val="auto"/>
              </w:rPr>
            </w:pPr>
            <w:r>
              <w:rPr>
                <w:rFonts w:ascii="Arial" w:cs="Arial" w:eastAsia="Arial" w:hAnsi="Arial"/>
                <w:sz w:val="18"/>
                <w:szCs w:val="18"/>
                <w:b w:val="1"/>
                <w:bCs w:val="1"/>
                <w:color w:val="auto"/>
              </w:rPr>
              <w:t>ACLARIS THERAPEUTICS, INC.</w:t>
            </w:r>
          </w:p>
        </w:tc>
        <w:tc>
          <w:tcPr>
            <w:tcW w:w="2600" w:type="dxa"/>
            <w:vAlign w:val="bottom"/>
            <w:gridSpan w:val="2"/>
          </w:tcPr>
          <w:p>
            <w:pPr>
              <w:ind w:left="840"/>
              <w:spacing w:after="0"/>
              <w:rPr>
                <w:sz w:val="20"/>
                <w:szCs w:val="20"/>
                <w:color w:val="auto"/>
              </w:rPr>
            </w:pPr>
            <w:r>
              <w:rPr>
                <w:rFonts w:ascii="Arial" w:cs="Arial" w:eastAsia="Arial" w:hAnsi="Arial"/>
                <w:sz w:val="18"/>
                <w:szCs w:val="18"/>
                <w:b w:val="1"/>
                <w:bCs w:val="1"/>
                <w:color w:val="auto"/>
              </w:rPr>
              <w:t>BANK USE ONLY</w:t>
            </w:r>
          </w:p>
        </w:tc>
        <w:tc>
          <w:tcPr>
            <w:tcW w:w="2280" w:type="dxa"/>
            <w:vAlign w:val="bottom"/>
          </w:tcPr>
          <w:p>
            <w:pPr>
              <w:spacing w:after="0"/>
              <w:rPr>
                <w:sz w:val="20"/>
                <w:szCs w:val="20"/>
                <w:color w:val="auto"/>
              </w:rPr>
            </w:pPr>
          </w:p>
        </w:tc>
      </w:tr>
      <w:tr>
        <w:trPr>
          <w:trHeight w:val="418"/>
        </w:trPr>
        <w:tc>
          <w:tcPr>
            <w:tcW w:w="3700" w:type="dxa"/>
            <w:vAlign w:val="bottom"/>
          </w:tcPr>
          <w:p>
            <w:pPr>
              <w:ind w:left="100"/>
              <w:spacing w:after="0"/>
              <w:rPr>
                <w:sz w:val="20"/>
                <w:szCs w:val="20"/>
                <w:color w:val="auto"/>
              </w:rPr>
            </w:pPr>
            <w:r>
              <w:rPr>
                <w:rFonts w:ascii="Arial" w:cs="Arial" w:eastAsia="Arial" w:hAnsi="Arial"/>
                <w:sz w:val="18"/>
                <w:szCs w:val="18"/>
                <w:color w:val="auto"/>
              </w:rPr>
              <w:t>By:</w:t>
            </w: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Received by: _____________________</w:t>
            </w: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Name:</w:t>
            </w:r>
          </w:p>
        </w:tc>
        <w:tc>
          <w:tcPr>
            <w:tcW w:w="1580" w:type="dxa"/>
            <w:vAlign w:val="bottom"/>
          </w:tcPr>
          <w:p>
            <w:pPr>
              <w:spacing w:after="0"/>
              <w:rPr>
                <w:sz w:val="18"/>
                <w:szCs w:val="18"/>
                <w:color w:val="auto"/>
              </w:rPr>
            </w:pPr>
          </w:p>
        </w:tc>
        <w:tc>
          <w:tcPr>
            <w:tcW w:w="3300" w:type="dxa"/>
            <w:vAlign w:val="bottom"/>
            <w:gridSpan w:val="2"/>
          </w:tcPr>
          <w:p>
            <w:pPr>
              <w:jc w:val="right"/>
              <w:ind w:right="1410"/>
              <w:spacing w:after="0"/>
              <w:rPr>
                <w:sz w:val="20"/>
                <w:szCs w:val="20"/>
                <w:color w:val="auto"/>
              </w:rPr>
            </w:pPr>
            <w:r>
              <w:rPr>
                <w:rFonts w:ascii="Arial" w:cs="Arial" w:eastAsia="Arial" w:hAnsi="Arial"/>
                <w:sz w:val="18"/>
                <w:szCs w:val="18"/>
                <w:color w:val="auto"/>
              </w:rPr>
              <w:t>authorized signer</w:t>
            </w:r>
          </w:p>
        </w:tc>
      </w:tr>
      <w:tr>
        <w:trPr>
          <w:trHeight w:val="230"/>
        </w:trPr>
        <w:tc>
          <w:tcPr>
            <w:tcW w:w="3700" w:type="dxa"/>
            <w:vAlign w:val="bottom"/>
          </w:tcPr>
          <w:p>
            <w:pPr>
              <w:ind w:left="100"/>
              <w:spacing w:after="0"/>
              <w:rPr>
                <w:sz w:val="20"/>
                <w:szCs w:val="20"/>
                <w:color w:val="auto"/>
              </w:rPr>
            </w:pPr>
            <w:r>
              <w:rPr>
                <w:rFonts w:ascii="Arial" w:cs="Arial" w:eastAsia="Arial" w:hAnsi="Arial"/>
                <w:sz w:val="18"/>
                <w:szCs w:val="18"/>
                <w:color w:val="auto"/>
              </w:rPr>
              <w:t>Title:</w:t>
            </w:r>
          </w:p>
        </w:tc>
        <w:tc>
          <w:tcPr>
            <w:tcW w:w="1580" w:type="dxa"/>
            <w:vAlign w:val="bottom"/>
          </w:tcPr>
          <w:p>
            <w:pPr>
              <w:ind w:left="840"/>
              <w:spacing w:after="0"/>
              <w:rPr>
                <w:sz w:val="20"/>
                <w:szCs w:val="20"/>
                <w:color w:val="auto"/>
              </w:rPr>
            </w:pPr>
            <w:r>
              <w:rPr>
                <w:rFonts w:ascii="Arial" w:cs="Arial" w:eastAsia="Arial" w:hAnsi="Arial"/>
                <w:sz w:val="18"/>
                <w:szCs w:val="18"/>
                <w:color w:val="auto"/>
              </w:rPr>
              <w:t>Date:</w:t>
            </w:r>
          </w:p>
        </w:tc>
        <w:tc>
          <w:tcPr>
            <w:tcW w:w="3300" w:type="dxa"/>
            <w:vAlign w:val="bottom"/>
            <w:gridSpan w:val="2"/>
          </w:tcPr>
          <w:p>
            <w:pPr>
              <w:jc w:val="right"/>
              <w:ind w:right="610"/>
              <w:spacing w:after="0"/>
              <w:rPr>
                <w:sz w:val="20"/>
                <w:szCs w:val="20"/>
                <w:color w:val="auto"/>
              </w:rPr>
            </w:pPr>
            <w:r>
              <w:rPr>
                <w:rFonts w:ascii="Arial" w:cs="Arial" w:eastAsia="Arial" w:hAnsi="Arial"/>
                <w:sz w:val="18"/>
                <w:szCs w:val="18"/>
                <w:color w:val="auto"/>
              </w:rPr>
              <w:t>_________________________</w:t>
            </w:r>
          </w:p>
        </w:tc>
      </w:tr>
      <w:tr>
        <w:trPr>
          <w:trHeight w:val="418"/>
        </w:trPr>
        <w:tc>
          <w:tcPr>
            <w:tcW w:w="3700" w:type="dxa"/>
            <w:vAlign w:val="bottom"/>
          </w:tcPr>
          <w:p>
            <w:pPr>
              <w:spacing w:after="0"/>
              <w:rPr>
                <w:sz w:val="24"/>
                <w:szCs w:val="24"/>
                <w:color w:val="auto"/>
              </w:rPr>
            </w:pPr>
          </w:p>
        </w:tc>
        <w:tc>
          <w:tcPr>
            <w:tcW w:w="4880" w:type="dxa"/>
            <w:vAlign w:val="bottom"/>
            <w:gridSpan w:val="3"/>
          </w:tcPr>
          <w:p>
            <w:pPr>
              <w:ind w:left="840"/>
              <w:spacing w:after="0"/>
              <w:rPr>
                <w:sz w:val="20"/>
                <w:szCs w:val="20"/>
                <w:color w:val="auto"/>
              </w:rPr>
            </w:pPr>
            <w:r>
              <w:rPr>
                <w:rFonts w:ascii="Arial" w:cs="Arial" w:eastAsia="Arial" w:hAnsi="Arial"/>
                <w:sz w:val="18"/>
                <w:szCs w:val="18"/>
                <w:color w:val="auto"/>
              </w:rPr>
              <w:t>Verified: ________________________</w:t>
            </w:r>
          </w:p>
        </w:tc>
      </w:tr>
      <w:tr>
        <w:trPr>
          <w:trHeight w:val="216"/>
        </w:trPr>
        <w:tc>
          <w:tcPr>
            <w:tcW w:w="3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300" w:type="dxa"/>
            <w:vAlign w:val="bottom"/>
            <w:gridSpan w:val="2"/>
          </w:tcPr>
          <w:p>
            <w:pPr>
              <w:jc w:val="right"/>
              <w:ind w:right="1410"/>
              <w:spacing w:after="0"/>
              <w:rPr>
                <w:sz w:val="20"/>
                <w:szCs w:val="20"/>
                <w:color w:val="auto"/>
              </w:rPr>
            </w:pPr>
            <w:r>
              <w:rPr>
                <w:rFonts w:ascii="Arial" w:cs="Arial" w:eastAsia="Arial" w:hAnsi="Arial"/>
                <w:sz w:val="18"/>
                <w:szCs w:val="18"/>
                <w:color w:val="auto"/>
              </w:rPr>
              <w:t>authorized signer</w:t>
            </w:r>
          </w:p>
        </w:tc>
      </w:tr>
      <w:tr>
        <w:trPr>
          <w:trHeight w:val="230"/>
        </w:trPr>
        <w:tc>
          <w:tcPr>
            <w:tcW w:w="3700" w:type="dxa"/>
            <w:vAlign w:val="bottom"/>
          </w:tcPr>
          <w:p>
            <w:pPr>
              <w:spacing w:after="0"/>
              <w:rPr>
                <w:sz w:val="20"/>
                <w:szCs w:val="20"/>
                <w:color w:val="auto"/>
              </w:rPr>
            </w:pPr>
          </w:p>
        </w:tc>
        <w:tc>
          <w:tcPr>
            <w:tcW w:w="1580" w:type="dxa"/>
            <w:vAlign w:val="bottom"/>
          </w:tcPr>
          <w:p>
            <w:pPr>
              <w:ind w:left="840"/>
              <w:spacing w:after="0"/>
              <w:rPr>
                <w:sz w:val="20"/>
                <w:szCs w:val="20"/>
                <w:color w:val="auto"/>
              </w:rPr>
            </w:pPr>
            <w:r>
              <w:rPr>
                <w:rFonts w:ascii="Arial" w:cs="Arial" w:eastAsia="Arial" w:hAnsi="Arial"/>
                <w:sz w:val="18"/>
                <w:szCs w:val="18"/>
                <w:color w:val="auto"/>
              </w:rPr>
              <w:t>Date:</w:t>
            </w:r>
          </w:p>
        </w:tc>
        <w:tc>
          <w:tcPr>
            <w:tcW w:w="3300" w:type="dxa"/>
            <w:vAlign w:val="bottom"/>
            <w:gridSpan w:val="2"/>
          </w:tcPr>
          <w:p>
            <w:pPr>
              <w:jc w:val="right"/>
              <w:ind w:right="610"/>
              <w:spacing w:after="0"/>
              <w:rPr>
                <w:sz w:val="20"/>
                <w:szCs w:val="20"/>
                <w:color w:val="auto"/>
              </w:rPr>
            </w:pPr>
            <w:r>
              <w:rPr>
                <w:rFonts w:ascii="Arial" w:cs="Arial" w:eastAsia="Arial" w:hAnsi="Arial"/>
                <w:sz w:val="18"/>
                <w:szCs w:val="18"/>
                <w:color w:val="auto"/>
              </w:rPr>
              <w:t>_________________________</w:t>
            </w:r>
          </w:p>
        </w:tc>
      </w:tr>
      <w:tr>
        <w:trPr>
          <w:trHeight w:val="432"/>
        </w:trPr>
        <w:tc>
          <w:tcPr>
            <w:tcW w:w="3700" w:type="dxa"/>
            <w:vAlign w:val="bottom"/>
          </w:tcPr>
          <w:p>
            <w:pPr>
              <w:spacing w:after="0"/>
              <w:rPr>
                <w:sz w:val="24"/>
                <w:szCs w:val="24"/>
                <w:color w:val="auto"/>
              </w:rPr>
            </w:pPr>
          </w:p>
        </w:tc>
        <w:tc>
          <w:tcPr>
            <w:tcW w:w="2600" w:type="dxa"/>
            <w:vAlign w:val="bottom"/>
            <w:gridSpan w:val="2"/>
          </w:tcPr>
          <w:p>
            <w:pPr>
              <w:ind w:left="840"/>
              <w:spacing w:after="0"/>
              <w:rPr>
                <w:sz w:val="20"/>
                <w:szCs w:val="20"/>
                <w:color w:val="auto"/>
              </w:rPr>
            </w:pPr>
            <w:r>
              <w:rPr>
                <w:rFonts w:ascii="Arial" w:cs="Arial" w:eastAsia="Arial" w:hAnsi="Arial"/>
                <w:sz w:val="18"/>
                <w:szCs w:val="18"/>
                <w:color w:val="auto"/>
              </w:rPr>
              <w:t>Compliance Status:</w:t>
            </w:r>
          </w:p>
        </w:tc>
        <w:tc>
          <w:tcPr>
            <w:tcW w:w="2280" w:type="dxa"/>
            <w:vAlign w:val="bottom"/>
          </w:tcPr>
          <w:p>
            <w:pPr>
              <w:jc w:val="right"/>
              <w:ind w:right="1190"/>
              <w:spacing w:after="0"/>
              <w:rPr>
                <w:sz w:val="20"/>
                <w:szCs w:val="20"/>
                <w:color w:val="auto"/>
              </w:rPr>
            </w:pPr>
            <w:r>
              <w:rPr>
                <w:rFonts w:ascii="Arial" w:cs="Arial" w:eastAsia="Arial" w:hAnsi="Arial"/>
                <w:sz w:val="18"/>
                <w:szCs w:val="18"/>
                <w:color w:val="auto"/>
              </w:rPr>
              <w:t>Yes   No</w:t>
            </w:r>
          </w:p>
        </w:tc>
      </w:tr>
      <w:tr>
        <w:trPr>
          <w:trHeight w:val="1168"/>
        </w:trPr>
        <w:tc>
          <w:tcPr>
            <w:tcW w:w="3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EXHIBIT C – LOAN PAYMENT/ADVANCE REQUEST FORM</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same day processing is Noon Eastern Time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Fax To: Date: _____________________</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300" w:type="dxa"/>
            <w:vAlign w:val="bottom"/>
            <w:tcBorders>
              <w:top w:val="single" w:sz="8" w:color="auto"/>
              <w:lef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w w:val="98"/>
              </w:rPr>
              <w:t>Loan Payment</w:t>
            </w:r>
            <w:r>
              <w:rPr>
                <w:rFonts w:ascii="Arial" w:cs="Arial" w:eastAsia="Arial" w:hAnsi="Arial"/>
                <w:sz w:val="14"/>
                <w:szCs w:val="14"/>
                <w:b w:val="1"/>
                <w:bCs w:val="1"/>
                <w:color w:val="auto"/>
                <w:w w:val="98"/>
              </w:rPr>
              <w:t>:</w:t>
            </w:r>
          </w:p>
        </w:tc>
        <w:tc>
          <w:tcPr>
            <w:tcW w:w="540" w:type="dxa"/>
            <w:vAlign w:val="bottom"/>
            <w:tcBorders>
              <w:top w:val="single" w:sz="8" w:color="auto"/>
            </w:tcBorders>
          </w:tcPr>
          <w:p>
            <w:pPr>
              <w:spacing w:after="0"/>
              <w:rPr>
                <w:sz w:val="15"/>
                <w:szCs w:val="15"/>
                <w:color w:val="auto"/>
              </w:rPr>
            </w:pPr>
          </w:p>
        </w:tc>
        <w:tc>
          <w:tcPr>
            <w:tcW w:w="75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ACLARIS THERAPEUTICS, INC. AND CONFLUENCE DISCOVERY TECHNOLOGIES, INC.</w:t>
            </w:r>
          </w:p>
        </w:tc>
      </w:tr>
      <w:tr>
        <w:trPr>
          <w:trHeight w:val="20"/>
        </w:trPr>
        <w:tc>
          <w:tcPr>
            <w:tcW w:w="1840" w:type="dxa"/>
            <w:vAlign w:val="bottom"/>
            <w:tcBorders>
              <w:left w:val="single" w:sz="8" w:color="auto"/>
            </w:tcBorders>
            <w:gridSpan w:val="2"/>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r>
      <w:tr>
        <w:trPr>
          <w:trHeight w:val="198"/>
        </w:trPr>
        <w:tc>
          <w:tcPr>
            <w:tcW w:w="3580" w:type="dxa"/>
            <w:vAlign w:val="bottom"/>
            <w:tcBorders>
              <w:left w:val="single" w:sz="8" w:color="auto"/>
            </w:tcBorders>
            <w:gridSpan w:val="3"/>
          </w:tcPr>
          <w:p>
            <w:pPr>
              <w:ind w:left="20"/>
              <w:spacing w:after="0"/>
              <w:rPr>
                <w:sz w:val="20"/>
                <w:szCs w:val="20"/>
                <w:color w:val="auto"/>
              </w:rPr>
            </w:pPr>
            <w:r>
              <w:rPr>
                <w:rFonts w:ascii="Arial" w:cs="Arial" w:eastAsia="Arial" w:hAnsi="Arial"/>
                <w:sz w:val="14"/>
                <w:szCs w:val="14"/>
                <w:color w:val="auto"/>
              </w:rPr>
              <w:t>From Account #________________________________</w:t>
            </w:r>
          </w:p>
        </w:tc>
        <w:tc>
          <w:tcPr>
            <w:tcW w:w="5760" w:type="dxa"/>
            <w:vAlign w:val="bottom"/>
            <w:tcBorders>
              <w:right w:val="single" w:sz="8" w:color="auto"/>
            </w:tcBorders>
            <w:gridSpan w:val="2"/>
          </w:tcPr>
          <w:p>
            <w:pPr>
              <w:jc w:val="center"/>
              <w:ind w:right="700"/>
              <w:spacing w:after="0"/>
              <w:rPr>
                <w:sz w:val="20"/>
                <w:szCs w:val="20"/>
                <w:color w:val="auto"/>
              </w:rPr>
            </w:pPr>
            <w:r>
              <w:rPr>
                <w:rFonts w:ascii="Arial" w:cs="Arial" w:eastAsia="Arial" w:hAnsi="Arial"/>
                <w:sz w:val="14"/>
                <w:szCs w:val="14"/>
                <w:color w:val="auto"/>
                <w:w w:val="92"/>
              </w:rPr>
              <w:t>To Account #__________________________________________________</w:t>
            </w:r>
          </w:p>
        </w:tc>
      </w:tr>
      <w:tr>
        <w:trPr>
          <w:trHeight w:val="189"/>
        </w:trPr>
        <w:tc>
          <w:tcPr>
            <w:tcW w:w="1300" w:type="dxa"/>
            <w:vAlign w:val="bottom"/>
            <w:tcBorders>
              <w:left w:val="single" w:sz="8" w:color="auto"/>
            </w:tcBorders>
          </w:tcPr>
          <w:p>
            <w:pPr>
              <w:spacing w:after="0"/>
              <w:rPr>
                <w:sz w:val="16"/>
                <w:szCs w:val="16"/>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(Deposit Account #)</w:t>
            </w:r>
          </w:p>
        </w:tc>
        <w:tc>
          <w:tcPr>
            <w:tcW w:w="5760" w:type="dxa"/>
            <w:vAlign w:val="bottom"/>
            <w:tcBorders>
              <w:right w:val="single" w:sz="8" w:color="auto"/>
            </w:tcBorders>
            <w:gridSpan w:val="2"/>
          </w:tcPr>
          <w:p>
            <w:pPr>
              <w:ind w:left="1740"/>
              <w:spacing w:after="0"/>
              <w:rPr>
                <w:sz w:val="20"/>
                <w:szCs w:val="20"/>
                <w:color w:val="auto"/>
              </w:rPr>
            </w:pPr>
            <w:r>
              <w:rPr>
                <w:rFonts w:ascii="Arial" w:cs="Arial" w:eastAsia="Arial" w:hAnsi="Arial"/>
                <w:sz w:val="14"/>
                <w:szCs w:val="14"/>
                <w:color w:val="auto"/>
              </w:rPr>
              <w:t>(Loan Account #)</w:t>
            </w:r>
          </w:p>
        </w:tc>
      </w:tr>
      <w:tr>
        <w:trPr>
          <w:trHeight w:val="189"/>
        </w:trPr>
        <w:tc>
          <w:tcPr>
            <w:tcW w:w="3580" w:type="dxa"/>
            <w:vAlign w:val="bottom"/>
            <w:tcBorders>
              <w:left w:val="single" w:sz="8" w:color="auto"/>
            </w:tcBorders>
            <w:gridSpan w:val="3"/>
          </w:tcPr>
          <w:p>
            <w:pPr>
              <w:ind w:left="20"/>
              <w:spacing w:after="0"/>
              <w:rPr>
                <w:sz w:val="20"/>
                <w:szCs w:val="20"/>
                <w:color w:val="auto"/>
              </w:rPr>
            </w:pPr>
            <w:r>
              <w:rPr>
                <w:rFonts w:ascii="Arial" w:cs="Arial" w:eastAsia="Arial" w:hAnsi="Arial"/>
                <w:sz w:val="14"/>
                <w:szCs w:val="14"/>
                <w:color w:val="auto"/>
              </w:rPr>
              <w:t>Principal $____________________________________</w:t>
            </w:r>
          </w:p>
        </w:tc>
        <w:tc>
          <w:tcPr>
            <w:tcW w:w="576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4"/>
                <w:szCs w:val="14"/>
                <w:color w:val="auto"/>
                <w:w w:val="92"/>
              </w:rPr>
              <w:t>and/or Interest $________________________________________________</w:t>
            </w:r>
          </w:p>
        </w:tc>
      </w:tr>
      <w:tr>
        <w:trPr>
          <w:trHeight w:val="189"/>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w w:val="93"/>
              </w:rPr>
              <w:t>Authorized Signature:</w:t>
            </w: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760" w:type="dxa"/>
            <w:vAlign w:val="bottom"/>
            <w:tcBorders>
              <w:right w:val="single" w:sz="8" w:color="auto"/>
            </w:tcBorders>
            <w:gridSpan w:val="2"/>
          </w:tcPr>
          <w:p>
            <w:pPr>
              <w:ind w:left="1360"/>
              <w:spacing w:after="0"/>
              <w:rPr>
                <w:sz w:val="20"/>
                <w:szCs w:val="20"/>
                <w:color w:val="auto"/>
              </w:rPr>
            </w:pPr>
            <w:r>
              <w:rPr>
                <w:rFonts w:ascii="Arial" w:cs="Arial" w:eastAsia="Arial" w:hAnsi="Arial"/>
                <w:sz w:val="14"/>
                <w:szCs w:val="14"/>
                <w:color w:val="auto"/>
              </w:rPr>
              <w:t>Phone Number:</w:t>
            </w:r>
          </w:p>
        </w:tc>
      </w:tr>
      <w:tr>
        <w:trPr>
          <w:trHeight w:val="189"/>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Print Name/Title:</w:t>
            </w: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r>
      <w:tr>
        <w:trPr>
          <w:trHeight w:val="215"/>
        </w:trPr>
        <w:tc>
          <w:tcPr>
            <w:tcW w:w="1300" w:type="dxa"/>
            <w:vAlign w:val="bottom"/>
            <w:tcBorders>
              <w:left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Loan Advance</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5932170" cy="1586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32170" cy="158623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Complete </w:t>
      </w:r>
      <w:r>
        <w:rPr>
          <w:rFonts w:ascii="Arial" w:cs="Arial" w:eastAsia="Arial" w:hAnsi="Arial"/>
          <w:sz w:val="14"/>
          <w:szCs w:val="14"/>
          <w:i w:val="1"/>
          <w:iCs w:val="1"/>
          <w:color w:val="auto"/>
        </w:rPr>
        <w:t>Outgoing Wire Request</w:t>
      </w:r>
      <w:r>
        <w:rPr>
          <w:rFonts w:ascii="Arial" w:cs="Arial" w:eastAsia="Arial" w:hAnsi="Arial"/>
          <w:sz w:val="14"/>
          <w:szCs w:val="14"/>
          <w:color w:val="auto"/>
        </w:rPr>
        <w:t xml:space="preserve"> section below if all or a portion of the funds from this loan advance are for an outgoing wire.</w:t>
      </w:r>
    </w:p>
    <w:p>
      <w:pPr>
        <w:spacing w:after="0" w:line="23" w:lineRule="exact"/>
        <w:rPr>
          <w:sz w:val="20"/>
          <w:szCs w:val="20"/>
          <w:color w:val="auto"/>
        </w:rPr>
      </w:pPr>
    </w:p>
    <w:p>
      <w:pPr>
        <w:ind w:left="20" w:right="1040"/>
        <w:spacing w:after="0" w:line="316" w:lineRule="auto"/>
        <w:rPr>
          <w:sz w:val="20"/>
          <w:szCs w:val="20"/>
          <w:color w:val="auto"/>
        </w:rPr>
      </w:pPr>
      <w:r>
        <w:rPr>
          <w:rFonts w:ascii="Arial" w:cs="Arial" w:eastAsia="Arial" w:hAnsi="Arial"/>
          <w:sz w:val="14"/>
          <w:szCs w:val="14"/>
          <w:color w:val="auto"/>
        </w:rPr>
        <w:t>From Account #________________________________ To Account #__________________________________________________ (Loan Account #) (Deposit Account #) Amount of Advance $___________________________</w:t>
      </w:r>
    </w:p>
    <w:p>
      <w:pPr>
        <w:spacing w:after="0" w:line="143" w:lineRule="exact"/>
        <w:rPr>
          <w:sz w:val="20"/>
          <w:szCs w:val="20"/>
          <w:color w:val="auto"/>
        </w:rPr>
      </w:pPr>
    </w:p>
    <w:p>
      <w:pPr>
        <w:jc w:val="both"/>
        <w:ind w:left="20" w:right="20"/>
        <w:spacing w:after="0" w:line="292" w:lineRule="auto"/>
        <w:rPr>
          <w:sz w:val="20"/>
          <w:szCs w:val="20"/>
          <w:color w:val="auto"/>
        </w:rPr>
      </w:pPr>
      <w:r>
        <w:rPr>
          <w:rFonts w:ascii="Arial" w:cs="Arial" w:eastAsia="Arial" w:hAnsi="Arial"/>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ectPr>
          <w:pgSz w:w="11900" w:h="16838" w:orient="portrait"/>
          <w:cols w:equalWidth="0" w:num="1">
            <w:col w:w="9340"/>
          </w:cols>
          <w:pgMar w:left="1220" w:top="121" w:right="133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Authorized Signature: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Print Name/Title: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3600"/>
        <w:spacing w:after="0"/>
        <w:rPr>
          <w:sz w:val="20"/>
          <w:szCs w:val="20"/>
          <w:color w:val="auto"/>
        </w:rPr>
      </w:pPr>
      <w:r>
        <w:rPr>
          <w:rFonts w:ascii="Arial" w:cs="Arial" w:eastAsia="Arial" w:hAnsi="Arial"/>
          <w:sz w:val="12"/>
          <w:szCs w:val="12"/>
          <w:color w:val="auto"/>
        </w:rPr>
        <w:t>Phone Number:</w:t>
      </w:r>
    </w:p>
    <w:p>
      <w:pPr>
        <w:spacing w:after="0" w:line="412" w:lineRule="exact"/>
        <w:rPr>
          <w:sz w:val="20"/>
          <w:szCs w:val="20"/>
          <w:color w:val="auto"/>
        </w:rPr>
      </w:pPr>
    </w:p>
    <w:p>
      <w:pPr>
        <w:sectPr>
          <w:pgSz w:w="11900" w:h="16838" w:orient="portrait"/>
          <w:cols w:equalWidth="0" w:num="2">
            <w:col w:w="4120" w:space="720"/>
            <w:col w:w="4500"/>
          </w:cols>
          <w:pgMar w:left="1220" w:top="121" w:right="1339" w:bottom="1440" w:gutter="0" w:footer="0" w:header="0"/>
          <w:type w:val="continuous"/>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Outgoing Wire Request</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32170" cy="2322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32170" cy="232283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Complete only if all or a portion of funds from the loan advance above is to be wired.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Deadline for same day processing is noon, Pacific Time</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800" w:type="dxa"/>
            <w:vAlign w:val="bottom"/>
          </w:tcPr>
          <w:p>
            <w:pPr>
              <w:spacing w:after="0"/>
              <w:rPr>
                <w:sz w:val="20"/>
                <w:szCs w:val="20"/>
                <w:color w:val="auto"/>
              </w:rPr>
            </w:pPr>
            <w:r>
              <w:rPr>
                <w:rFonts w:ascii="Arial" w:cs="Arial" w:eastAsia="Arial" w:hAnsi="Arial"/>
                <w:sz w:val="14"/>
                <w:szCs w:val="14"/>
                <w:color w:val="auto"/>
              </w:rPr>
              <w:t>Beneficiary Name: _____________________________</w:t>
            </w:r>
          </w:p>
        </w:tc>
        <w:tc>
          <w:tcPr>
            <w:tcW w:w="4280" w:type="dxa"/>
            <w:vAlign w:val="bottom"/>
          </w:tcPr>
          <w:p>
            <w:pPr>
              <w:ind w:left="3180"/>
              <w:spacing w:after="0"/>
              <w:rPr>
                <w:sz w:val="20"/>
                <w:szCs w:val="20"/>
                <w:color w:val="auto"/>
              </w:rPr>
            </w:pPr>
            <w:r>
              <w:rPr>
                <w:rFonts w:ascii="Arial" w:cs="Arial" w:eastAsia="Arial" w:hAnsi="Arial"/>
                <w:sz w:val="14"/>
                <w:szCs w:val="14"/>
                <w:color w:val="auto"/>
                <w:w w:val="96"/>
              </w:rPr>
              <w:t>Amount of Wire: $</w:t>
            </w: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Beneficiary Bank: ______________________________</w:t>
            </w:r>
          </w:p>
        </w:tc>
        <w:tc>
          <w:tcPr>
            <w:tcW w:w="4280" w:type="dxa"/>
            <w:vAlign w:val="bottom"/>
          </w:tcPr>
          <w:p>
            <w:pPr>
              <w:ind w:left="3200"/>
              <w:spacing w:after="0"/>
              <w:rPr>
                <w:sz w:val="20"/>
                <w:szCs w:val="20"/>
                <w:color w:val="auto"/>
              </w:rPr>
            </w:pPr>
            <w:r>
              <w:rPr>
                <w:rFonts w:ascii="Arial" w:cs="Arial" w:eastAsia="Arial" w:hAnsi="Arial"/>
                <w:sz w:val="14"/>
                <w:szCs w:val="14"/>
                <w:color w:val="auto"/>
                <w:w w:val="97"/>
              </w:rPr>
              <w:t>Account Number:</w:t>
            </w: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City and State:</w:t>
            </w:r>
          </w:p>
        </w:tc>
        <w:tc>
          <w:tcPr>
            <w:tcW w:w="4280" w:type="dxa"/>
            <w:vAlign w:val="bottom"/>
          </w:tcPr>
          <w:p>
            <w:pPr>
              <w:spacing w:after="0"/>
              <w:rPr>
                <w:sz w:val="16"/>
                <w:szCs w:val="16"/>
                <w:color w:val="auto"/>
              </w:rPr>
            </w:pP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Beneficiary Bank Transit (ABA) #:</w:t>
            </w:r>
          </w:p>
        </w:tc>
        <w:tc>
          <w:tcPr>
            <w:tcW w:w="4280" w:type="dxa"/>
            <w:vAlign w:val="bottom"/>
          </w:tcPr>
          <w:p>
            <w:pPr>
              <w:ind w:left="560"/>
              <w:spacing w:after="0"/>
              <w:rPr>
                <w:sz w:val="20"/>
                <w:szCs w:val="20"/>
                <w:color w:val="auto"/>
              </w:rPr>
            </w:pPr>
            <w:r>
              <w:rPr>
                <w:rFonts w:ascii="Arial" w:cs="Arial" w:eastAsia="Arial" w:hAnsi="Arial"/>
                <w:sz w:val="14"/>
                <w:szCs w:val="14"/>
                <w:color w:val="auto"/>
              </w:rPr>
              <w:t>Beneficiary Bank Code (Swift, Sort, Chip, etc.):</w:t>
            </w:r>
          </w:p>
        </w:tc>
      </w:tr>
      <w:tr>
        <w:trPr>
          <w:trHeight w:val="189"/>
        </w:trPr>
        <w:tc>
          <w:tcPr>
            <w:tcW w:w="3800" w:type="dxa"/>
            <w:vAlign w:val="bottom"/>
          </w:tcPr>
          <w:p>
            <w:pPr>
              <w:spacing w:after="0"/>
              <w:rPr>
                <w:sz w:val="16"/>
                <w:szCs w:val="16"/>
                <w:color w:val="auto"/>
              </w:rPr>
            </w:pPr>
          </w:p>
        </w:tc>
        <w:tc>
          <w:tcPr>
            <w:tcW w:w="4280" w:type="dxa"/>
            <w:vAlign w:val="bottom"/>
          </w:tcPr>
          <w:p>
            <w:pPr>
              <w:ind w:left="740"/>
              <w:spacing w:after="0"/>
              <w:rPr>
                <w:sz w:val="20"/>
                <w:szCs w:val="20"/>
                <w:color w:val="auto"/>
              </w:rPr>
            </w:pPr>
            <w:r>
              <w:rPr>
                <w:rFonts w:ascii="Arial" w:cs="Arial" w:eastAsia="Arial" w:hAnsi="Arial"/>
                <w:sz w:val="14"/>
                <w:szCs w:val="14"/>
                <w:b w:val="1"/>
                <w:bCs w:val="1"/>
                <w:color w:val="auto"/>
              </w:rPr>
              <w:t>(For International Wire Only)</w:t>
            </w: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Intermediary Bank:</w:t>
            </w:r>
          </w:p>
        </w:tc>
        <w:tc>
          <w:tcPr>
            <w:tcW w:w="4280" w:type="dxa"/>
            <w:vAlign w:val="bottom"/>
          </w:tcPr>
          <w:p>
            <w:pPr>
              <w:ind w:left="1200"/>
              <w:spacing w:after="0"/>
              <w:rPr>
                <w:sz w:val="20"/>
                <w:szCs w:val="20"/>
                <w:color w:val="auto"/>
              </w:rPr>
            </w:pPr>
            <w:r>
              <w:rPr>
                <w:rFonts w:ascii="Arial" w:cs="Arial" w:eastAsia="Arial" w:hAnsi="Arial"/>
                <w:sz w:val="14"/>
                <w:szCs w:val="14"/>
                <w:color w:val="auto"/>
              </w:rPr>
              <w:t>Transit (ABA) #:</w:t>
            </w: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For Further Credit to:</w:t>
            </w:r>
          </w:p>
        </w:tc>
        <w:tc>
          <w:tcPr>
            <w:tcW w:w="4280" w:type="dxa"/>
            <w:vAlign w:val="bottom"/>
          </w:tcPr>
          <w:p>
            <w:pPr>
              <w:spacing w:after="0"/>
              <w:rPr>
                <w:sz w:val="16"/>
                <w:szCs w:val="16"/>
                <w:color w:val="auto"/>
              </w:rPr>
            </w:pPr>
          </w:p>
        </w:tc>
      </w:tr>
      <w:tr>
        <w:trPr>
          <w:trHeight w:val="189"/>
        </w:trPr>
        <w:tc>
          <w:tcPr>
            <w:tcW w:w="3800" w:type="dxa"/>
            <w:vAlign w:val="bottom"/>
          </w:tcPr>
          <w:p>
            <w:pPr>
              <w:spacing w:after="0"/>
              <w:rPr>
                <w:sz w:val="20"/>
                <w:szCs w:val="20"/>
                <w:color w:val="auto"/>
              </w:rPr>
            </w:pPr>
            <w:r>
              <w:rPr>
                <w:rFonts w:ascii="Arial" w:cs="Arial" w:eastAsia="Arial" w:hAnsi="Arial"/>
                <w:sz w:val="14"/>
                <w:szCs w:val="14"/>
                <w:color w:val="auto"/>
              </w:rPr>
              <w:t>Special Instruction:</w:t>
            </w:r>
          </w:p>
        </w:tc>
        <w:tc>
          <w:tcPr>
            <w:tcW w:w="4280" w:type="dxa"/>
            <w:vAlign w:val="bottom"/>
          </w:tcPr>
          <w:p>
            <w:pPr>
              <w:spacing w:after="0"/>
              <w:rPr>
                <w:sz w:val="16"/>
                <w:szCs w:val="16"/>
                <w:color w:val="auto"/>
              </w:rPr>
            </w:pPr>
          </w:p>
        </w:tc>
      </w:tr>
    </w:tbl>
    <w:p>
      <w:pPr>
        <w:spacing w:after="0" w:line="196" w:lineRule="exact"/>
        <w:rPr>
          <w:sz w:val="20"/>
          <w:szCs w:val="20"/>
          <w:color w:val="auto"/>
        </w:rPr>
      </w:pPr>
    </w:p>
    <w:p>
      <w:pPr>
        <w:ind w:left="20" w:right="20"/>
        <w:spacing w:after="0" w:line="355" w:lineRule="auto"/>
        <w:rPr>
          <w:sz w:val="20"/>
          <w:szCs w:val="20"/>
          <w:color w:val="auto"/>
        </w:rPr>
      </w:pPr>
      <w:r>
        <w:rPr>
          <w:rFonts w:ascii="Arial" w:cs="Arial" w:eastAsia="Arial" w:hAnsi="Arial"/>
          <w:sz w:val="13"/>
          <w:szCs w:val="13"/>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80" w:type="dxa"/>
            <w:vAlign w:val="bottom"/>
            <w:gridSpan w:val="2"/>
          </w:tcPr>
          <w:p>
            <w:pPr>
              <w:spacing w:after="0"/>
              <w:rPr>
                <w:sz w:val="20"/>
                <w:szCs w:val="20"/>
                <w:color w:val="auto"/>
              </w:rPr>
            </w:pPr>
            <w:r>
              <w:rPr>
                <w:rFonts w:ascii="Arial" w:cs="Arial" w:eastAsia="Arial" w:hAnsi="Arial"/>
                <w:sz w:val="14"/>
                <w:szCs w:val="14"/>
                <w:color w:val="auto"/>
                <w:w w:val="93"/>
              </w:rPr>
              <w:t>Authorized Signature: ___________________________</w:t>
            </w:r>
          </w:p>
        </w:tc>
        <w:tc>
          <w:tcPr>
            <w:tcW w:w="5720" w:type="dxa"/>
            <w:vAlign w:val="bottom"/>
          </w:tcPr>
          <w:p>
            <w:pPr>
              <w:ind w:left="620"/>
              <w:spacing w:after="0"/>
              <w:rPr>
                <w:sz w:val="20"/>
                <w:szCs w:val="20"/>
                <w:color w:val="auto"/>
              </w:rPr>
            </w:pPr>
            <w:r>
              <w:rPr>
                <w:rFonts w:ascii="Arial" w:cs="Arial" w:eastAsia="Arial" w:hAnsi="Arial"/>
                <w:sz w:val="14"/>
                <w:szCs w:val="14"/>
                <w:color w:val="auto"/>
              </w:rPr>
              <w:t>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Signature (if required): _______________________________________</w:t>
            </w:r>
          </w:p>
        </w:tc>
      </w:tr>
      <w:tr>
        <w:trPr>
          <w:trHeight w:val="196"/>
        </w:trPr>
        <w:tc>
          <w:tcPr>
            <w:tcW w:w="3280" w:type="dxa"/>
            <w:vAlign w:val="bottom"/>
            <w:gridSpan w:val="2"/>
          </w:tcPr>
          <w:p>
            <w:pPr>
              <w:spacing w:after="0"/>
              <w:rPr>
                <w:sz w:val="20"/>
                <w:szCs w:val="20"/>
                <w:color w:val="auto"/>
              </w:rPr>
            </w:pPr>
            <w:r>
              <w:rPr>
                <w:rFonts w:ascii="Arial" w:cs="Arial" w:eastAsia="Arial" w:hAnsi="Arial"/>
                <w:sz w:val="14"/>
                <w:szCs w:val="14"/>
                <w:color w:val="auto"/>
                <w:w w:val="95"/>
              </w:rPr>
              <w:t>Print Name/Title: ______________________________</w:t>
            </w:r>
          </w:p>
        </w:tc>
        <w:tc>
          <w:tcPr>
            <w:tcW w:w="5720" w:type="dxa"/>
            <w:vAlign w:val="bottom"/>
          </w:tcPr>
          <w:p>
            <w:pPr>
              <w:ind w:left="560"/>
              <w:spacing w:after="0"/>
              <w:rPr>
                <w:sz w:val="20"/>
                <w:szCs w:val="20"/>
                <w:color w:val="auto"/>
              </w:rPr>
            </w:pPr>
            <w:r>
              <w:rPr>
                <w:rFonts w:ascii="Arial" w:cs="Arial" w:eastAsia="Arial" w:hAnsi="Arial"/>
                <w:sz w:val="14"/>
                <w:szCs w:val="14"/>
                <w:color w:val="auto"/>
              </w:rPr>
              <w:t>Print Name/Title: ______________________________________________</w:t>
            </w:r>
          </w:p>
        </w:tc>
      </w:tr>
      <w:tr>
        <w:trPr>
          <w:trHeight w:val="189"/>
        </w:trPr>
        <w:tc>
          <w:tcPr>
            <w:tcW w:w="3280" w:type="dxa"/>
            <w:vAlign w:val="bottom"/>
            <w:gridSpan w:val="2"/>
          </w:tcPr>
          <w:p>
            <w:pPr>
              <w:spacing w:after="0"/>
              <w:rPr>
                <w:sz w:val="20"/>
                <w:szCs w:val="20"/>
                <w:color w:val="auto"/>
              </w:rPr>
            </w:pPr>
            <w:r>
              <w:rPr>
                <w:rFonts w:ascii="Arial" w:cs="Arial" w:eastAsia="Arial" w:hAnsi="Arial"/>
                <w:sz w:val="14"/>
                <w:szCs w:val="14"/>
                <w:color w:val="auto"/>
              </w:rPr>
              <w:t>Telephone #:</w:t>
            </w:r>
          </w:p>
        </w:tc>
        <w:tc>
          <w:tcPr>
            <w:tcW w:w="5720" w:type="dxa"/>
            <w:vAlign w:val="bottom"/>
          </w:tcPr>
          <w:p>
            <w:pPr>
              <w:ind w:left="40"/>
              <w:spacing w:after="0"/>
              <w:rPr>
                <w:sz w:val="20"/>
                <w:szCs w:val="20"/>
                <w:color w:val="auto"/>
              </w:rPr>
            </w:pPr>
            <w:r>
              <w:rPr>
                <w:rFonts w:ascii="Arial" w:cs="Arial" w:eastAsia="Arial" w:hAnsi="Arial"/>
                <w:sz w:val="14"/>
                <w:szCs w:val="14"/>
                <w:color w:val="auto"/>
              </w:rPr>
              <w:t>Telephone #:</w:t>
            </w:r>
          </w:p>
        </w:tc>
      </w:tr>
      <w:tr>
        <w:trPr>
          <w:trHeight w:val="978"/>
        </w:trPr>
        <w:tc>
          <w:tcPr>
            <w:tcW w:w="4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9340"/>
          </w:cols>
          <w:pgMar w:left="1220" w:top="121" w:right="1339" w:bottom="1440" w:gutter="0" w:footer="0" w:header="0"/>
          <w:type w:val="continuous"/>
        </w:sectPr>
      </w:pPr>
    </w:p>
    <w:bookmarkStart w:id="37" w:name="page38"/>
    <w:bookmarkEnd w:id="37"/>
    <w:p>
      <w:pPr>
        <w:ind w:left="8320"/>
        <w:spacing w:after="0"/>
        <w:rPr>
          <w:sz w:val="20"/>
          <w:szCs w:val="20"/>
          <w:color w:val="auto"/>
        </w:rPr>
      </w:pPr>
      <w:r>
        <w:rPr>
          <w:rFonts w:ascii="Arial" w:cs="Arial" w:eastAsia="Arial" w:hAnsi="Arial"/>
          <w:sz w:val="16"/>
          <w:szCs w:val="16"/>
          <w:b w:val="1"/>
          <w:bCs w:val="1"/>
          <w:color w:val="auto"/>
        </w:rPr>
        <w:t>Exhibit 10.2</w:t>
      </w:r>
    </w:p>
    <w:p>
      <w:pPr>
        <w:spacing w:after="0" w:line="27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THIS WARRANT AND THE SHARES ISSUABLE HEREUNDER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205"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WARRANT TO PURCHASE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Aclaris Therapeutics, Inc., a Delaware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As set forth in Paragraph A below</w:t>
      </w:r>
    </w:p>
    <w:p>
      <w:pPr>
        <w:spacing w:after="0" w:line="230" w:lineRule="auto"/>
        <w:rPr>
          <w:sz w:val="20"/>
          <w:szCs w:val="20"/>
          <w:color w:val="auto"/>
        </w:rPr>
      </w:pPr>
      <w:r>
        <w:rPr>
          <w:rFonts w:ascii="Arial" w:cs="Arial" w:eastAsia="Arial" w:hAnsi="Arial"/>
          <w:sz w:val="22"/>
          <w:szCs w:val="22"/>
          <w:b w:val="1"/>
          <w:bCs w:val="1"/>
          <w:color w:val="auto"/>
        </w:rPr>
        <w:t xml:space="preserve">Type/Series of Stock: </w:t>
      </w:r>
      <w:r>
        <w:rPr>
          <w:rFonts w:ascii="Arial" w:cs="Arial" w:eastAsia="Arial" w:hAnsi="Arial"/>
          <w:sz w:val="22"/>
          <w:szCs w:val="22"/>
          <w:color w:val="auto"/>
        </w:rPr>
        <w:t>Common Stock, $0.00001 par value per share</w:t>
      </w:r>
    </w:p>
    <w:p>
      <w:pPr>
        <w:spacing w:after="0" w:line="231" w:lineRule="auto"/>
        <w:rPr>
          <w:sz w:val="20"/>
          <w:szCs w:val="20"/>
          <w:color w:val="auto"/>
        </w:rPr>
      </w:pPr>
      <w:r>
        <w:rPr>
          <w:rFonts w:ascii="Arial" w:cs="Arial" w:eastAsia="Arial" w:hAnsi="Arial"/>
          <w:sz w:val="22"/>
          <w:szCs w:val="22"/>
          <w:b w:val="1"/>
          <w:bCs w:val="1"/>
          <w:color w:val="auto"/>
        </w:rPr>
        <w:t xml:space="preserve">Warrant Price: </w:t>
      </w:r>
      <w:r>
        <w:rPr>
          <w:rFonts w:ascii="Arial" w:cs="Arial" w:eastAsia="Arial" w:hAnsi="Arial"/>
          <w:sz w:val="22"/>
          <w:szCs w:val="22"/>
          <w:color w:val="auto"/>
        </w:rPr>
        <w:t>$0.956 per Share, subject to adjustment</w:t>
      </w:r>
    </w:p>
    <w:p>
      <w:pPr>
        <w:spacing w:after="0" w:line="230" w:lineRule="auto"/>
        <w:rPr>
          <w:sz w:val="20"/>
          <w:szCs w:val="20"/>
          <w:color w:val="auto"/>
        </w:rPr>
      </w:pPr>
      <w:r>
        <w:rPr>
          <w:rFonts w:ascii="Arial" w:cs="Arial" w:eastAsia="Arial" w:hAnsi="Arial"/>
          <w:sz w:val="22"/>
          <w:szCs w:val="22"/>
          <w:b w:val="1"/>
          <w:bCs w:val="1"/>
          <w:color w:val="auto"/>
        </w:rPr>
        <w:t xml:space="preserve">Issue Date: </w:t>
      </w:r>
      <w:r>
        <w:rPr>
          <w:rFonts w:ascii="Arial" w:cs="Arial" w:eastAsia="Arial" w:hAnsi="Arial"/>
          <w:sz w:val="22"/>
          <w:szCs w:val="22"/>
          <w:color w:val="auto"/>
        </w:rPr>
        <w:t>March 30, 2020</w:t>
      </w:r>
    </w:p>
    <w:p>
      <w:pPr>
        <w:spacing w:after="0"/>
        <w:tabs>
          <w:tab w:leader="none" w:pos="3680" w:val="left"/>
        </w:tabs>
        <w:rPr>
          <w:sz w:val="20"/>
          <w:szCs w:val="20"/>
          <w:color w:val="auto"/>
        </w:rPr>
      </w:pPr>
      <w:r>
        <w:rPr>
          <w:rFonts w:ascii="Arial" w:cs="Arial" w:eastAsia="Arial" w:hAnsi="Arial"/>
          <w:sz w:val="22"/>
          <w:szCs w:val="22"/>
          <w:b w:val="1"/>
          <w:bCs w:val="1"/>
          <w:color w:val="auto"/>
        </w:rPr>
        <w:t xml:space="preserve">Expiration Date: </w:t>
      </w:r>
      <w:r>
        <w:rPr>
          <w:rFonts w:ascii="Arial" w:cs="Arial" w:eastAsia="Arial" w:hAnsi="Arial"/>
          <w:sz w:val="22"/>
          <w:szCs w:val="22"/>
          <w:color w:val="auto"/>
        </w:rPr>
        <w:t>March 29, 2030</w:t>
      </w:r>
      <w:r>
        <w:rPr>
          <w:sz w:val="20"/>
          <w:szCs w:val="20"/>
          <w:color w:val="auto"/>
        </w:rPr>
        <w:tab/>
      </w:r>
      <w:r>
        <w:rPr>
          <w:rFonts w:ascii="Arial" w:cs="Arial" w:eastAsia="Arial" w:hAnsi="Arial"/>
          <w:sz w:val="18"/>
          <w:szCs w:val="18"/>
          <w:b w:val="1"/>
          <w:bCs w:val="1"/>
          <w:color w:val="auto"/>
        </w:rPr>
        <w:t>See also Section 5.1(b).</w:t>
      </w:r>
    </w:p>
    <w:p>
      <w:pPr>
        <w:ind w:left="1300" w:right="180" w:hanging="1295"/>
        <w:spacing w:after="0" w:line="233" w:lineRule="auto"/>
        <w:rPr>
          <w:sz w:val="20"/>
          <w:szCs w:val="20"/>
          <w:color w:val="auto"/>
        </w:rPr>
      </w:pPr>
      <w:r>
        <w:rPr>
          <w:rFonts w:ascii="Arial" w:cs="Arial" w:eastAsia="Arial" w:hAnsi="Arial"/>
          <w:sz w:val="22"/>
          <w:szCs w:val="22"/>
          <w:b w:val="1"/>
          <w:bCs w:val="1"/>
          <w:color w:val="auto"/>
        </w:rPr>
        <w:t>Credit Facility:</w:t>
      </w:r>
      <w:r>
        <w:rPr>
          <w:sz w:val="20"/>
          <w:szCs w:val="20"/>
          <w:color w:val="auto"/>
        </w:rPr>
        <w:t xml:space="preserve"> </w:t>
      </w:r>
      <w:r>
        <w:rPr>
          <w:rFonts w:ascii="Arial" w:cs="Arial" w:eastAsia="Arial" w:hAnsi="Arial"/>
          <w:sz w:val="22"/>
          <w:szCs w:val="22"/>
          <w:color w:val="auto"/>
        </w:rPr>
        <w:t>This Warrant to Purchase Stock (“</w:t>
      </w:r>
      <w:r>
        <w:rPr>
          <w:rFonts w:ascii="Arial" w:cs="Arial" w:eastAsia="Arial" w:hAnsi="Arial"/>
          <w:sz w:val="22"/>
          <w:szCs w:val="22"/>
          <w:b w:val="1"/>
          <w:bCs w:val="1"/>
          <w:u w:val="single" w:color="auto"/>
          <w:color w:val="auto"/>
        </w:rPr>
        <w:t>Warrant</w:t>
      </w:r>
      <w:r>
        <w:rPr>
          <w:rFonts w:ascii="Arial" w:cs="Arial" w:eastAsia="Arial" w:hAnsi="Arial"/>
          <w:sz w:val="22"/>
          <w:szCs w:val="22"/>
          <w:color w:val="auto"/>
        </w:rPr>
        <w:t>”) is issued in connection with that certain Loan and Security Agreement of even date herewith between Silicon Valley Bank and the Company (as amended and/or modified and in effect from time to time, the “</w:t>
      </w:r>
      <w:r>
        <w:rPr>
          <w:rFonts w:ascii="Arial" w:cs="Arial" w:eastAsia="Arial" w:hAnsi="Arial"/>
          <w:sz w:val="22"/>
          <w:szCs w:val="22"/>
          <w:b w:val="1"/>
          <w:bCs w:val="1"/>
          <w:u w:val="single" w:color="auto"/>
          <w:color w:val="auto"/>
        </w:rPr>
        <w:t>Loan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w:t>
      </w:r>
    </w:p>
    <w:p>
      <w:pPr>
        <w:spacing w:after="0" w:line="215" w:lineRule="exact"/>
        <w:rPr>
          <w:sz w:val="20"/>
          <w:szCs w:val="20"/>
          <w:color w:val="auto"/>
        </w:rPr>
      </w:pPr>
    </w:p>
    <w:p>
      <w:pPr>
        <w:jc w:val="both"/>
        <w:ind w:firstLine="67"/>
        <w:spacing w:after="0" w:line="275" w:lineRule="auto"/>
        <w:rPr>
          <w:sz w:val="20"/>
          <w:szCs w:val="20"/>
          <w:color w:val="auto"/>
        </w:rPr>
      </w:pPr>
      <w:r>
        <w:rPr>
          <w:rFonts w:ascii="Arial" w:cs="Arial" w:eastAsia="Arial" w:hAnsi="Arial"/>
          <w:sz w:val="19"/>
          <w:szCs w:val="19"/>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9"/>
          <w:szCs w:val="19"/>
          <w:b w:val="1"/>
          <w:bCs w:val="1"/>
          <w:u w:val="single" w:color="auto"/>
          <w:color w:val="auto"/>
        </w:rPr>
        <w:t>Holder</w:t>
      </w:r>
      <w:r>
        <w:rPr>
          <w:rFonts w:ascii="Arial" w:cs="Arial" w:eastAsia="Arial" w:hAnsi="Arial"/>
          <w:sz w:val="19"/>
          <w:szCs w:val="19"/>
          <w:color w:val="auto"/>
        </w:rPr>
        <w:t>”) is entitled to purchase up to the number of fully paid and non-assessable shares of the above-stated Type/Series of Stock (the “</w:t>
      </w:r>
      <w:r>
        <w:rPr>
          <w:rFonts w:ascii="Arial" w:cs="Arial" w:eastAsia="Arial" w:hAnsi="Arial"/>
          <w:sz w:val="19"/>
          <w:szCs w:val="19"/>
          <w:b w:val="1"/>
          <w:bCs w:val="1"/>
          <w:u w:val="single" w:color="auto"/>
          <w:color w:val="auto"/>
        </w:rPr>
        <w:t>Class</w:t>
      </w:r>
      <w:r>
        <w:rPr>
          <w:rFonts w:ascii="Arial" w:cs="Arial" w:eastAsia="Arial" w:hAnsi="Arial"/>
          <w:sz w:val="19"/>
          <w:szCs w:val="19"/>
          <w:color w:val="auto"/>
        </w:rPr>
        <w:t>”) of the above-named company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determined pursuant to Paragraph A below,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84" w:lineRule="exact"/>
        <w:rPr>
          <w:sz w:val="20"/>
          <w:szCs w:val="20"/>
          <w:color w:val="auto"/>
        </w:rPr>
      </w:pPr>
    </w:p>
    <w:p>
      <w:pPr>
        <w:jc w:val="both"/>
        <w:ind w:firstLine="606"/>
        <w:spacing w:after="0" w:line="279" w:lineRule="auto"/>
        <w:tabs>
          <w:tab w:leader="none" w:pos="133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Number of Shares</w:t>
      </w:r>
      <w:r>
        <w:rPr>
          <w:rFonts w:ascii="Arial" w:cs="Arial" w:eastAsia="Arial" w:hAnsi="Arial"/>
          <w:sz w:val="19"/>
          <w:szCs w:val="19"/>
          <w:color w:val="auto"/>
        </w:rPr>
        <w:t>. Upon the making, if any, of the first Term Loan Advance (as defined in the Loan Agreement) to the Company in any amount, this Warrant automatically shall become exercisable for 460,251 shares of the Class, as such number may be adjusted from time to time in accordance with the provisions of this Warrant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including, without limitation, adjustments in respect of events occurring prior to the date, if any, on which this Warrant becomes exercisable for such shares as if they constituted “Shares” hereunder for such purpose at all times from the Issue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Holder may at any time and from time to time exercise this Warrant, in whole or in part, by delivering to the Company the original of this Warrant together with a duly executed Notice of Exercise in substantially the form attached hereto as </w:t>
      </w:r>
      <w:r>
        <w:rPr>
          <w:rFonts w:ascii="Arial" w:cs="Arial" w:eastAsia="Arial" w:hAnsi="Arial"/>
          <w:sz w:val="19"/>
          <w:szCs w:val="19"/>
          <w:u w:val="single" w:color="auto"/>
          <w:color w:val="auto"/>
        </w:rPr>
        <w:t>Appendix 1</w:t>
      </w:r>
      <w:r>
        <w:rPr>
          <w:rFonts w:ascii="Arial" w:cs="Arial" w:eastAsia="Arial" w:hAnsi="Arial"/>
          <w:sz w:val="19"/>
          <w:szCs w:val="19"/>
          <w:color w:val="auto"/>
        </w:rPr>
        <w:t xml:space="preserve">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77"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588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38" w:name="page39"/>
    <w:bookmarkEnd w:id="38"/>
    <w:p>
      <w:pPr>
        <w:jc w:val="both"/>
        <w:spacing w:after="0" w:line="297" w:lineRule="auto"/>
        <w:rPr>
          <w:sz w:val="20"/>
          <w:szCs w:val="20"/>
          <w:color w:val="auto"/>
        </w:rPr>
      </w:pPr>
      <w:r>
        <w:rPr>
          <w:rFonts w:ascii="Arial" w:cs="Arial" w:eastAsia="Arial" w:hAnsi="Arial"/>
          <w:sz w:val="19"/>
          <w:szCs w:val="19"/>
          <w:color w:val="auto"/>
        </w:rPr>
        <w:t>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0" w:lineRule="exact"/>
        <w:rPr>
          <w:sz w:val="20"/>
          <w:szCs w:val="20"/>
          <w:color w:val="auto"/>
        </w:rPr>
      </w:pPr>
    </w:p>
    <w:p>
      <w:pPr>
        <w:spacing w:after="0" w:line="204"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22"/>
          <w:szCs w:val="22"/>
          <w:color w:val="auto"/>
        </w:rPr>
        <w:t>X =</w:t>
        <w:tab/>
        <w:t>Y(A-B)/A</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where:</w:t>
      </w:r>
    </w:p>
    <w:p>
      <w:pPr>
        <w:spacing w:after="0" w:line="8"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15" w:lineRule="exact"/>
        <w:rPr>
          <w:sz w:val="20"/>
          <w:szCs w:val="20"/>
          <w:color w:val="auto"/>
        </w:rPr>
      </w:pPr>
    </w:p>
    <w:p>
      <w:pPr>
        <w:jc w:val="both"/>
        <w:ind w:left="2600" w:hanging="647"/>
        <w:spacing w:after="0"/>
        <w:tabs>
          <w:tab w:leader="none" w:pos="2580" w:val="left"/>
        </w:tabs>
        <w:rPr>
          <w:sz w:val="20"/>
          <w:szCs w:val="20"/>
          <w:color w:val="auto"/>
        </w:rPr>
      </w:pPr>
      <w:r>
        <w:rPr>
          <w:rFonts w:ascii="Arial" w:cs="Arial" w:eastAsia="Arial" w:hAnsi="Arial"/>
          <w:sz w:val="22"/>
          <w:szCs w:val="22"/>
          <w:color w:val="auto"/>
        </w:rPr>
        <w:t>Y =</w:t>
        <w:tab/>
        <w:t>the number of Shares with respect to which this Warrant is being exercised (inclusive of the Shares surrendered to the Company in payment of the aggregate Warrant Price);</w:t>
      </w:r>
    </w:p>
    <w:p>
      <w:pPr>
        <w:spacing w:after="0" w:line="213" w:lineRule="exact"/>
        <w:rPr>
          <w:sz w:val="20"/>
          <w:szCs w:val="20"/>
          <w:color w:val="auto"/>
        </w:rPr>
      </w:pPr>
    </w:p>
    <w:p>
      <w:pPr>
        <w:jc w:val="both"/>
        <w:ind w:left="2600" w:hanging="647"/>
        <w:spacing w:after="0" w:line="250" w:lineRule="auto"/>
        <w:tabs>
          <w:tab w:leader="none" w:pos="2580" w:val="left"/>
        </w:tabs>
        <w:rPr>
          <w:sz w:val="20"/>
          <w:szCs w:val="20"/>
          <w:color w:val="auto"/>
        </w:rPr>
      </w:pPr>
      <w:r>
        <w:rPr>
          <w:rFonts w:ascii="Arial" w:cs="Arial" w:eastAsia="Arial" w:hAnsi="Arial"/>
          <w:sz w:val="22"/>
          <w:szCs w:val="22"/>
          <w:color w:val="auto"/>
        </w:rPr>
        <w:t>A =</w:t>
        <w:tab/>
        <w:t>the Fair Market Value (as determined pursuant to Section 1.3 below) of one Share; and</w:t>
      </w:r>
    </w:p>
    <w:p>
      <w:pPr>
        <w:spacing w:after="0" w:line="202"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w:t>
      </w:r>
    </w:p>
    <w:p>
      <w:pPr>
        <w:spacing w:after="0" w:line="200" w:lineRule="exact"/>
        <w:rPr>
          <w:sz w:val="20"/>
          <w:szCs w:val="20"/>
          <w:color w:val="auto"/>
        </w:rPr>
      </w:pPr>
    </w:p>
    <w:p>
      <w:pPr>
        <w:spacing w:after="0" w:line="2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Fair Market Value</w:t>
      </w:r>
      <w:r>
        <w:rPr>
          <w:rFonts w:ascii="Arial" w:cs="Arial" w:eastAsia="Arial" w:hAnsi="Arial"/>
          <w:sz w:val="21"/>
          <w:szCs w:val="21"/>
          <w:color w:val="auto"/>
        </w:rPr>
        <w:t>. If shares of the Class are then traded or quoted on a nationally recognized securities exchange, inter-dealer quotation system or over-the-counter market (a “</w:t>
      </w:r>
      <w:r>
        <w:rPr>
          <w:rFonts w:ascii="Arial" w:cs="Arial" w:eastAsia="Arial" w:hAnsi="Arial"/>
          <w:sz w:val="21"/>
          <w:szCs w:val="21"/>
          <w:b w:val="1"/>
          <w:bCs w:val="1"/>
          <w:u w:val="single" w:color="auto"/>
          <w:color w:val="auto"/>
        </w:rPr>
        <w:t>Trading Market</w:t>
      </w:r>
      <w:r>
        <w:rPr>
          <w:rFonts w:ascii="Arial" w:cs="Arial" w:eastAsia="Arial" w:hAnsi="Arial"/>
          <w:sz w:val="21"/>
          <w:szCs w:val="21"/>
          <w:color w:val="auto"/>
        </w:rPr>
        <w:t>”), the fair market value of a Share shall be the closing price or last sale price of a share of the Class reported for the Business Day immediately before the date on which Holder delivers this Warrant together with its Notice of Exercise to the Company. If shares of the Class are not then traded in a Trading Market, the Board of Directors of the Company shall determine the fair market value of a Share in its reasonable good faith judgment.</w:t>
      </w:r>
    </w:p>
    <w:p>
      <w:pPr>
        <w:spacing w:after="0" w:line="18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or cause to be delivered to Holder a certificate or evidence of book entry representing the Shares issued to Holder upon such exercise and, if this Warrant has not been fully exercised and has not expired, a new warrant of like tenor representing the Shares not so acquired or surrendered in payment of the aggregate Warrant Price.</w:t>
      </w:r>
    </w:p>
    <w:p>
      <w:pPr>
        <w:spacing w:after="0" w:line="21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15"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27" w:lineRule="exact"/>
        <w:rPr>
          <w:sz w:val="20"/>
          <w:szCs w:val="20"/>
          <w:color w:val="auto"/>
        </w:rPr>
      </w:pPr>
    </w:p>
    <w:p>
      <w:pPr>
        <w:jc w:val="both"/>
        <w:ind w:firstLine="1295"/>
        <w:spacing w:after="0" w:line="280" w:lineRule="auto"/>
        <w:tabs>
          <w:tab w:leader="none" w:pos="1981"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39" w:name="page40"/>
    <w:bookmarkEnd w:id="39"/>
    <w:p>
      <w:pPr>
        <w:jc w:val="both"/>
        <w:ind w:left="1"/>
        <w:spacing w:after="0" w:line="279" w:lineRule="auto"/>
        <w:rPr>
          <w:sz w:val="20"/>
          <w:szCs w:val="20"/>
          <w:color w:val="auto"/>
        </w:rPr>
      </w:pPr>
      <w:r>
        <w:rPr>
          <w:rFonts w:ascii="Arial" w:cs="Arial" w:eastAsia="Arial" w:hAnsi="Arial"/>
          <w:sz w:val="19"/>
          <w:szCs w:val="19"/>
          <w:color w:val="auto"/>
        </w:rPr>
        <w:t>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78" w:lineRule="exact"/>
        <w:rPr>
          <w:sz w:val="20"/>
          <w:szCs w:val="20"/>
          <w:color w:val="auto"/>
        </w:rPr>
      </w:pPr>
    </w:p>
    <w:p>
      <w:pPr>
        <w:jc w:val="both"/>
        <w:ind w:left="1" w:firstLine="1295"/>
        <w:spacing w:after="0" w:line="271" w:lineRule="auto"/>
        <w:tabs>
          <w:tab w:leader="none" w:pos="2642" w:val="left"/>
        </w:tabs>
        <w:numPr>
          <w:ilvl w:val="2"/>
          <w:numId w:val="53"/>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 Acquisition</w:t>
      </w:r>
      <w:r>
        <w:rPr>
          <w:rFonts w:ascii="Arial" w:cs="Arial" w:eastAsia="Arial" w:hAnsi="Arial"/>
          <w:sz w:val="19"/>
          <w:szCs w:val="19"/>
          <w:color w:val="auto"/>
        </w:rPr>
        <w:t>”), and the fair market value of one Share as determined in accordance with Section 1.3 above would be greater than the Warrant Price in effect as of immediately prior to the closing of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such closing.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91" w:lineRule="exact"/>
        <w:rPr>
          <w:rFonts w:ascii="Arial" w:cs="Arial" w:eastAsia="Arial" w:hAnsi="Arial"/>
          <w:sz w:val="19"/>
          <w:szCs w:val="19"/>
          <w:color w:val="auto"/>
        </w:rPr>
      </w:pPr>
    </w:p>
    <w:p>
      <w:pPr>
        <w:jc w:val="both"/>
        <w:ind w:left="1" w:firstLine="1295"/>
        <w:spacing w:after="0" w:line="248" w:lineRule="auto"/>
        <w:tabs>
          <w:tab w:leader="none" w:pos="2630" w:val="left"/>
        </w:tabs>
        <w:numPr>
          <w:ilvl w:val="2"/>
          <w:numId w:val="53"/>
        </w:numPr>
        <w:rPr>
          <w:rFonts w:ascii="Arial" w:cs="Arial" w:eastAsia="Arial" w:hAnsi="Arial"/>
          <w:sz w:val="21"/>
          <w:szCs w:val="21"/>
          <w:color w:val="auto"/>
        </w:rPr>
      </w:pPr>
      <w:r>
        <w:rPr>
          <w:rFonts w:ascii="Arial" w:cs="Arial" w:eastAsia="Arial" w:hAnsi="Arial"/>
          <w:sz w:val="21"/>
          <w:szCs w:val="21"/>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97" w:lineRule="exact"/>
        <w:rPr>
          <w:rFonts w:ascii="Arial" w:cs="Arial" w:eastAsia="Arial" w:hAnsi="Arial"/>
          <w:sz w:val="21"/>
          <w:szCs w:val="21"/>
          <w:color w:val="auto"/>
        </w:rPr>
      </w:pPr>
    </w:p>
    <w:p>
      <w:pPr>
        <w:jc w:val="both"/>
        <w:ind w:left="1" w:firstLine="1254"/>
        <w:spacing w:after="0" w:line="273" w:lineRule="auto"/>
        <w:tabs>
          <w:tab w:leader="none" w:pos="2210" w:val="left"/>
        </w:tabs>
        <w:numPr>
          <w:ilvl w:val="1"/>
          <w:numId w:val="54"/>
        </w:numPr>
        <w:rPr>
          <w:rFonts w:ascii="Arial" w:cs="Arial" w:eastAsia="Arial" w:hAnsi="Arial"/>
          <w:sz w:val="19"/>
          <w:szCs w:val="19"/>
          <w:color w:val="auto"/>
        </w:rPr>
      </w:pPr>
      <w:r>
        <w:rPr>
          <w:rFonts w:ascii="Arial" w:cs="Arial" w:eastAsia="Arial" w:hAnsi="Arial"/>
          <w:sz w:val="19"/>
          <w:szCs w:val="19"/>
          <w:color w:val="auto"/>
        </w:rPr>
        <w:t xml:space="preserve">As used in this Warrant, “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w:t>
      </w:r>
    </w:p>
    <w:p>
      <w:pPr>
        <w:spacing w:after="0" w:line="1" w:lineRule="exact"/>
        <w:rPr>
          <w:rFonts w:ascii="Arial" w:cs="Arial" w:eastAsia="Arial" w:hAnsi="Arial"/>
          <w:sz w:val="19"/>
          <w:szCs w:val="19"/>
          <w:color w:val="auto"/>
        </w:rPr>
      </w:pPr>
    </w:p>
    <w:p>
      <w:pPr>
        <w:jc w:val="both"/>
        <w:ind w:left="1" w:hanging="1"/>
        <w:spacing w:after="0" w:line="243" w:lineRule="auto"/>
        <w:tabs>
          <w:tab w:leader="none" w:pos="35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86" w:lineRule="exact"/>
        <w:rPr>
          <w:sz w:val="20"/>
          <w:szCs w:val="20"/>
          <w:color w:val="auto"/>
        </w:rPr>
      </w:pPr>
    </w:p>
    <w:p>
      <w:pPr>
        <w:ind w:left="1241"/>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-17780</wp:posOffset>
            </wp:positionV>
            <wp:extent cx="342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13" w:lineRule="exact"/>
        <w:rPr>
          <w:sz w:val="20"/>
          <w:szCs w:val="20"/>
          <w:color w:val="auto"/>
        </w:rPr>
      </w:pPr>
    </w:p>
    <w:p>
      <w:pPr>
        <w:jc w:val="both"/>
        <w:ind w:left="1" w:firstLine="1296"/>
        <w:spacing w:after="0" w:line="235"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Stock Dividends, Splits, Etc</w:t>
      </w:r>
      <w:r>
        <w:rPr>
          <w:rFonts w:ascii="Arial" w:cs="Arial" w:eastAsia="Arial" w:hAnsi="Arial"/>
          <w:sz w:val="22"/>
          <w:szCs w:val="22"/>
          <w:color w:val="auto"/>
        </w:rPr>
        <w:t>. If the Company declares or pays a dividend or 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5880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1"/>
          </w:cols>
          <w:pgMar w:left="1319" w:top="118" w:right="1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21"/>
          <w:szCs w:val="21"/>
          <w:color w:val="auto"/>
        </w:rPr>
        <w:t>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0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Reclassification, Exchange, Combinations or Substitution</w:t>
      </w:r>
      <w:r>
        <w:rPr>
          <w:rFonts w:ascii="Arial" w:cs="Arial" w:eastAsia="Arial" w:hAnsi="Arial"/>
          <w:sz w:val="19"/>
          <w:szCs w:val="19"/>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No Fractional Share</w:t>
      </w:r>
      <w:r>
        <w:rPr>
          <w:rFonts w:ascii="Arial" w:cs="Arial" w:eastAsia="Arial" w:hAnsi="Arial"/>
          <w:sz w:val="22"/>
          <w:szCs w:val="2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1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Notice/Certificate as to Adjustments</w:t>
      </w:r>
      <w:r>
        <w:rPr>
          <w:rFonts w:ascii="Arial" w:cs="Arial" w:eastAsia="Arial" w:hAnsi="Arial"/>
          <w:sz w:val="22"/>
          <w:szCs w:val="22"/>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authorized officer, including computations of such adjustment and the Warrant Price, Class and number of Shares in effect upon the date of such adjustment.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Status of Shares</w:t>
      </w:r>
      <w:r>
        <w:rPr>
          <w:rFonts w:ascii="Arial" w:cs="Arial" w:eastAsia="Arial" w:hAnsi="Arial"/>
          <w:sz w:val="21"/>
          <w:szCs w:val="21"/>
          <w:color w:val="auto"/>
        </w:rPr>
        <w:t>. The Company represents and warrants to Holder that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and other securities as will be sufficient to permit the exercise in full of this Warrant.</w:t>
      </w:r>
    </w:p>
    <w:p>
      <w:pPr>
        <w:spacing w:after="0" w:line="21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Notice of Certain Events</w:t>
      </w:r>
      <w:r>
        <w:rPr>
          <w:rFonts w:ascii="Arial" w:cs="Arial" w:eastAsia="Arial" w:hAnsi="Arial"/>
          <w:sz w:val="22"/>
          <w:szCs w:val="22"/>
          <w:color w:val="auto"/>
        </w:rPr>
        <w:t>. During any period when the Company is not subject to the reporting requirements of Section 13 or Section 15(d) of the Exchange Act, if the Company proposes at any time to:</w:t>
      </w:r>
    </w:p>
    <w:p>
      <w:pPr>
        <w:spacing w:after="0" w:line="186" w:lineRule="exact"/>
        <w:rPr>
          <w:sz w:val="20"/>
          <w:szCs w:val="20"/>
          <w:color w:val="auto"/>
        </w:rPr>
      </w:pPr>
    </w:p>
    <w:p>
      <w:pPr>
        <w:ind w:left="60" w:firstLine="1964"/>
        <w:spacing w:after="0" w:line="328" w:lineRule="auto"/>
        <w:tabs>
          <w:tab w:leader="none" w:pos="2346"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declare any dividend or distribution upon the outstanding shares of the Class, whether in cash, property, stock, or other securities and whether or not a regular cash dividend;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1" w:name="page42"/>
    <w:bookmarkEnd w:id="41"/>
    <w:p>
      <w:pPr>
        <w:jc w:val="both"/>
        <w:ind w:firstLine="2024"/>
        <w:spacing w:after="0" w:line="241" w:lineRule="auto"/>
        <w:tabs>
          <w:tab w:leader="none" w:pos="2335" w:val="left"/>
        </w:tabs>
        <w:numPr>
          <w:ilvl w:val="0"/>
          <w:numId w:val="57"/>
        </w:numPr>
        <w:rPr>
          <w:rFonts w:ascii="Arial" w:cs="Arial" w:eastAsia="Arial" w:hAnsi="Arial"/>
          <w:sz w:val="22"/>
          <w:szCs w:val="22"/>
          <w:color w:val="auto"/>
        </w:rPr>
      </w:pPr>
      <w:r>
        <w:rPr>
          <w:rFonts w:ascii="Arial" w:cs="Arial" w:eastAsia="Arial" w:hAnsi="Arial"/>
          <w:sz w:val="22"/>
          <w:szCs w:val="22"/>
          <w:color w:val="auto"/>
        </w:rPr>
        <w:t>offer for subscription or sale pro rata to the holders of the outstanding shares of the Class any additional shares of any class or series of the Company’s stock (other than pursuant to contractual pre-emptive rights);</w:t>
      </w:r>
    </w:p>
    <w:p>
      <w:pPr>
        <w:spacing w:after="0" w:line="183" w:lineRule="exact"/>
        <w:rPr>
          <w:rFonts w:ascii="Arial" w:cs="Arial" w:eastAsia="Arial" w:hAnsi="Arial"/>
          <w:sz w:val="22"/>
          <w:szCs w:val="22"/>
          <w:color w:val="auto"/>
        </w:rPr>
      </w:pPr>
    </w:p>
    <w:p>
      <w:pPr>
        <w:ind w:firstLine="2024"/>
        <w:spacing w:after="0" w:line="250" w:lineRule="auto"/>
        <w:tabs>
          <w:tab w:leader="none" w:pos="2338" w:val="left"/>
        </w:tabs>
        <w:numPr>
          <w:ilvl w:val="0"/>
          <w:numId w:val="57"/>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 or</w:t>
      </w:r>
    </w:p>
    <w:p>
      <w:pPr>
        <w:spacing w:after="0" w:line="174" w:lineRule="exact"/>
        <w:rPr>
          <w:rFonts w:ascii="Arial" w:cs="Arial" w:eastAsia="Arial" w:hAnsi="Arial"/>
          <w:sz w:val="22"/>
          <w:szCs w:val="22"/>
          <w:color w:val="auto"/>
        </w:rPr>
      </w:pPr>
    </w:p>
    <w:p>
      <w:pPr>
        <w:ind w:left="2320" w:hanging="296"/>
        <w:spacing w:after="0"/>
        <w:tabs>
          <w:tab w:leader="none" w:pos="23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jc w:val="both"/>
        <w:ind w:left="1300" w:firstLine="643"/>
        <w:spacing w:after="0" w:line="282" w:lineRule="auto"/>
        <w:tabs>
          <w:tab w:leader="none" w:pos="2278"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 and</w:t>
      </w:r>
    </w:p>
    <w:p>
      <w:pPr>
        <w:spacing w:after="0" w:line="147" w:lineRule="exact"/>
        <w:rPr>
          <w:rFonts w:ascii="Arial" w:cs="Arial" w:eastAsia="Arial" w:hAnsi="Arial"/>
          <w:sz w:val="19"/>
          <w:szCs w:val="19"/>
          <w:color w:val="auto"/>
        </w:rPr>
      </w:pPr>
    </w:p>
    <w:p>
      <w:pPr>
        <w:jc w:val="both"/>
        <w:ind w:left="1300" w:firstLine="643"/>
        <w:spacing w:after="0" w:line="279" w:lineRule="auto"/>
        <w:tabs>
          <w:tab w:leader="none" w:pos="2285"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will also provide information requested by Holder from time to time, within a reasonable time following each such request, that is reasonably necessary to enable Holder to comply with Holder’s accounting or reporting requirements. Holder agrees to treat and hold all information provided by the Company pursuant to this Section 3.2, if any, in confidence in accordance with the provisions of Section 12.9 of the Loan Agreement (regardless of whether the Loan Agreement shall then be in effect).</w:t>
      </w:r>
    </w:p>
    <w:p>
      <w:pPr>
        <w:spacing w:after="0" w:line="147"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AND COVENANTS OF HOLDER.</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Holder represents and warrants to, and agrees with, the Company as follows:</w:t>
      </w:r>
    </w:p>
    <w:p>
      <w:pPr>
        <w:spacing w:after="0" w:line="233" w:lineRule="exact"/>
        <w:rPr>
          <w:sz w:val="20"/>
          <w:szCs w:val="20"/>
          <w:color w:val="auto"/>
        </w:rPr>
      </w:pPr>
    </w:p>
    <w:p>
      <w:pPr>
        <w:jc w:val="both"/>
        <w:ind w:firstLine="607"/>
        <w:spacing w:after="0" w:line="23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Purchase for Own Account</w:t>
      </w:r>
      <w:r>
        <w:rPr>
          <w:rFonts w:ascii="Arial" w:cs="Arial" w:eastAsia="Arial" w:hAnsi="Arial"/>
          <w:sz w:val="22"/>
          <w:szCs w:val="22"/>
          <w:color w:val="auto"/>
        </w:rPr>
        <w:t>. Subject to the one-time transfer of this Warrant from Silicon Valley Bank to its parent corporation SVB Financial Group described in Section 5.4 below,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15" w:lineRule="exact"/>
        <w:rPr>
          <w:sz w:val="20"/>
          <w:szCs w:val="20"/>
          <w:color w:val="auto"/>
        </w:rPr>
      </w:pPr>
    </w:p>
    <w:p>
      <w:pPr>
        <w:jc w:val="both"/>
        <w:ind w:firstLine="607"/>
        <w:spacing w:after="0" w:line="24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2" w:name="page43"/>
    <w:bookmarkEnd w:id="42"/>
    <w:p>
      <w:pPr>
        <w:jc w:val="both"/>
        <w:ind w:firstLine="607"/>
        <w:spacing w:after="0" w:line="23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Investment Experience</w:t>
      </w:r>
      <w:r>
        <w:rPr>
          <w:rFonts w:ascii="Arial" w:cs="Arial" w:eastAsia="Arial" w:hAnsi="Arial"/>
          <w:sz w:val="22"/>
          <w:szCs w:val="22"/>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20" w:lineRule="exact"/>
        <w:rPr>
          <w:sz w:val="20"/>
          <w:szCs w:val="20"/>
          <w:color w:val="auto"/>
        </w:rPr>
      </w:pPr>
    </w:p>
    <w:p>
      <w:pPr>
        <w:jc w:val="both"/>
        <w:ind w:firstLine="607"/>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202"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The Act</w:t>
      </w:r>
      <w:r>
        <w:rPr>
          <w:rFonts w:ascii="Arial" w:cs="Arial" w:eastAsia="Arial" w:hAnsi="Arial"/>
          <w:sz w:val="19"/>
          <w:szCs w:val="19"/>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jc w:val="both"/>
        <w:ind w:firstLine="1190"/>
        <w:spacing w:after="0" w:line="28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Stockholder Rights</w:t>
      </w:r>
      <w:r>
        <w:rPr>
          <w:rFonts w:ascii="Arial" w:cs="Arial" w:eastAsia="Arial" w:hAnsi="Arial"/>
          <w:sz w:val="19"/>
          <w:szCs w:val="19"/>
          <w:color w:val="auto"/>
        </w:rPr>
        <w:t>. Without limiting any provision of this Warrant, Holder agrees that as a Holder of this Warrant it will not have any rights (including, but not limited to, voting rights) as a stockholder of the Company with respect to the Shares issuable hereunder unless and until the exercise of this Warrant and then only with respect to the Shares issued on such exercise.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Automatic Cashless Exercise Upon Expiration</w:t>
      </w:r>
      <w:r>
        <w:rPr>
          <w:rFonts w:ascii="Arial" w:cs="Arial" w:eastAsia="Arial" w:hAnsi="Arial"/>
          <w:sz w:val="19"/>
          <w:szCs w:val="19"/>
          <w:color w:val="auto"/>
        </w:rPr>
        <w:t>.</w:t>
      </w:r>
    </w:p>
    <w:p>
      <w:pPr>
        <w:spacing w:after="0" w:line="233" w:lineRule="exact"/>
        <w:rPr>
          <w:sz w:val="20"/>
          <w:szCs w:val="20"/>
          <w:color w:val="auto"/>
        </w:rPr>
      </w:pPr>
    </w:p>
    <w:p>
      <w:pPr>
        <w:jc w:val="both"/>
        <w:ind w:left="80" w:firstLine="1215"/>
        <w:spacing w:after="0"/>
        <w:tabs>
          <w:tab w:leader="none" w:pos="2588"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213" w:lineRule="exact"/>
        <w:rPr>
          <w:rFonts w:ascii="Arial" w:cs="Arial" w:eastAsia="Arial" w:hAnsi="Arial"/>
          <w:sz w:val="22"/>
          <w:szCs w:val="22"/>
          <w:color w:val="auto"/>
        </w:rPr>
      </w:pPr>
    </w:p>
    <w:p>
      <w:pPr>
        <w:jc w:val="both"/>
        <w:ind w:left="80" w:firstLine="1282"/>
        <w:spacing w:after="0" w:line="279" w:lineRule="auto"/>
        <w:tabs>
          <w:tab w:leader="none" w:pos="1722"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Automatic Cashless Exercise upon Expiration</w:t>
      </w:r>
      <w:r>
        <w:rPr>
          <w:rFonts w:ascii="Arial" w:cs="Arial" w:eastAsia="Arial" w:hAnsi="Arial"/>
          <w:sz w:val="19"/>
          <w:szCs w:val="19"/>
          <w:color w:val="auto"/>
        </w:rPr>
        <w:t>. In the event that, upon the Expiration Date, the fair market value of one Share as determined in accordance with Section 1.3 above is greater than the Warrant Price in effect on such date, then this Warrant shall automatically be deemed on and as of such date to be exercised pursuant to Section 1.2 above as to all Shares for which it shall not previously have been exercised, and the Company shall, within a reasonable time, deliver a certificate or evidence of book-entry representing the Shares issued upon such exercise to Holder.</w:t>
      </w:r>
    </w:p>
    <w:p>
      <w:pPr>
        <w:spacing w:after="0" w:line="177"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Legends</w:t>
      </w:r>
      <w:r>
        <w:rPr>
          <w:rFonts w:ascii="Arial" w:cs="Arial" w:eastAsia="Arial" w:hAnsi="Arial"/>
          <w:sz w:val="22"/>
          <w:szCs w:val="22"/>
          <w:color w:val="auto"/>
        </w:rPr>
        <w:t>. Each certificate or book-entry evidencing Shares shall be imprinted with a legend in substantially the following form:</w:t>
      </w:r>
    </w:p>
    <w:p>
      <w:pPr>
        <w:spacing w:after="0" w:line="202" w:lineRule="exact"/>
        <w:rPr>
          <w:sz w:val="20"/>
          <w:szCs w:val="20"/>
          <w:color w:val="auto"/>
        </w:rPr>
      </w:pPr>
    </w:p>
    <w:p>
      <w:pPr>
        <w:jc w:val="both"/>
        <w:ind w:left="1300" w:right="640"/>
        <w:spacing w:after="0" w:line="248" w:lineRule="auto"/>
        <w:rPr>
          <w:sz w:val="20"/>
          <w:szCs w:val="20"/>
          <w:color w:val="auto"/>
        </w:rPr>
      </w:pPr>
      <w:r>
        <w:rPr>
          <w:rFonts w:ascii="Arial" w:cs="Arial" w:eastAsia="Arial" w:hAnsi="Arial"/>
          <w:sz w:val="21"/>
          <w:szCs w:val="21"/>
          <w:color w:val="auto"/>
        </w:rPr>
        <w:t>THE SHARES EVIDENCED BY THIS CERTIFICATE HAVE NOT BEEN REGISTERED UNDER THE SECURITIES ACT OF 1933, AS AMENDED (THE “</w:t>
      </w:r>
      <w:r>
        <w:rPr>
          <w:rFonts w:ascii="Arial" w:cs="Arial" w:eastAsia="Arial" w:hAnsi="Arial"/>
          <w:sz w:val="21"/>
          <w:szCs w:val="21"/>
          <w:b w:val="1"/>
          <w:bCs w:val="1"/>
          <w:u w:val="single" w:color="auto"/>
          <w:color w:val="auto"/>
        </w:rPr>
        <w:t>ACT</w:t>
      </w:r>
      <w:r>
        <w:rPr>
          <w:rFonts w:ascii="Arial" w:cs="Arial" w:eastAsia="Arial" w:hAnsi="Arial"/>
          <w:sz w:val="21"/>
          <w:szCs w:val="21"/>
          <w:color w:val="auto"/>
        </w:rPr>
        <w:t>”), OR THE SECURITIES LAWS OF ANY STATE AND, EXCEPT AS SET FORTH IN THAT CERTAIN WARRANT TO PURCHASE STOCK ISSUED BY THE ISSUER TO SILICON VALLEY BANK DATED MARCH 30, 2020, MAY NOT BE OFFERED, SOLD, PLEDGED OR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3" w:name="page44"/>
    <w:bookmarkEnd w:id="43"/>
    <w:p>
      <w:pPr>
        <w:jc w:val="both"/>
        <w:ind w:left="1300" w:right="640"/>
        <w:spacing w:after="0" w:line="287" w:lineRule="auto"/>
        <w:rPr>
          <w:sz w:val="20"/>
          <w:szCs w:val="20"/>
          <w:color w:val="auto"/>
        </w:rPr>
      </w:pPr>
      <w:r>
        <w:rPr>
          <w:rFonts w:ascii="Arial" w:cs="Arial" w:eastAsia="Arial" w:hAnsi="Arial"/>
          <w:sz w:val="19"/>
          <w:szCs w:val="19"/>
          <w:color w:val="auto"/>
        </w:rPr>
        <w:t>TRANSFERRED UNLESS AND UNTIL REGISTERED UNDER SAID ACT AND LAWS OR, IN THE OPINION OF LEGAL COUNSEL IN FORM AND SUBSTANCE SATISFACTORY TO THE ISSUER, SUCH OFFER, SALE, PLEDGE OR OTHER TRANSFER IS EXEMPT FROM SUCH REGISTRATION.</w:t>
      </w:r>
    </w:p>
    <w:p>
      <w:pPr>
        <w:spacing w:after="0" w:line="17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Compliance with Securities Laws on Transfer</w:t>
      </w:r>
      <w:r>
        <w:rPr>
          <w:rFonts w:ascii="Arial" w:cs="Arial" w:eastAsia="Arial" w:hAnsi="Arial"/>
          <w:sz w:val="21"/>
          <w:szCs w:val="21"/>
          <w:color w:val="auto"/>
        </w:rPr>
        <w:t>. This Warrant and the Shares issued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w:t>
      </w:r>
    </w:p>
    <w:p>
      <w:pPr>
        <w:spacing w:after="0" w:line="20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issued upon exercise of this Warrant to any transferee, provided, however, in connection with any such transfer, SVB Financial Group or any subsequent Holder will give the Company notice of the portion of the Warrant and/or Shares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hereunder from the Company to the Holder, or vice versa, shall be deemed delivered and effective (i) when given personally, (ii) on the third (3</w:t>
      </w:r>
      <w:r>
        <w:rPr>
          <w:rFonts w:ascii="Arial" w:cs="Arial" w:eastAsia="Arial" w:hAnsi="Arial"/>
          <w:sz w:val="10"/>
          <w:szCs w:val="10"/>
          <w:color w:val="auto"/>
        </w:rPr>
        <w:t>rd</w:t>
      </w:r>
      <w:r>
        <w:rPr>
          <w:rFonts w:ascii="Arial" w:cs="Arial" w:eastAsia="Arial" w:hAnsi="Arial"/>
          <w:sz w:val="20"/>
          <w:szCs w:val="20"/>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SVB Financial Group</w:t>
      </w:r>
    </w:p>
    <w:p>
      <w:pPr>
        <w:ind w:left="1940"/>
        <w:spacing w:after="0" w:line="238" w:lineRule="auto"/>
        <w:rPr>
          <w:sz w:val="20"/>
          <w:szCs w:val="20"/>
          <w:color w:val="auto"/>
        </w:rPr>
      </w:pPr>
      <w:r>
        <w:rPr>
          <w:rFonts w:ascii="Arial" w:cs="Arial" w:eastAsia="Arial" w:hAnsi="Arial"/>
          <w:sz w:val="22"/>
          <w:szCs w:val="22"/>
          <w:color w:val="auto"/>
        </w:rPr>
        <w:t>Attn: Treasury Department</w:t>
      </w:r>
    </w:p>
    <w:p>
      <w:pPr>
        <w:ind w:left="1940"/>
        <w:spacing w:after="0" w:line="230" w:lineRule="auto"/>
        <w:rPr>
          <w:sz w:val="20"/>
          <w:szCs w:val="20"/>
          <w:color w:val="auto"/>
        </w:rPr>
      </w:pPr>
      <w:r>
        <w:rPr>
          <w:rFonts w:ascii="Arial" w:cs="Arial" w:eastAsia="Arial" w:hAnsi="Arial"/>
          <w:sz w:val="22"/>
          <w:szCs w:val="22"/>
          <w:color w:val="auto"/>
        </w:rPr>
        <w:t>3003 Tasman Drive, HC 215</w:t>
      </w:r>
    </w:p>
    <w:p>
      <w:pPr>
        <w:ind w:left="1940"/>
        <w:spacing w:after="0" w:line="231" w:lineRule="auto"/>
        <w:rPr>
          <w:sz w:val="20"/>
          <w:szCs w:val="20"/>
          <w:color w:val="auto"/>
        </w:rPr>
      </w:pPr>
      <w:r>
        <w:rPr>
          <w:rFonts w:ascii="Arial" w:cs="Arial" w:eastAsia="Arial" w:hAnsi="Arial"/>
          <w:sz w:val="22"/>
          <w:szCs w:val="22"/>
          <w:color w:val="auto"/>
        </w:rPr>
        <w:t>Santa Clara, CA 95054</w:t>
      </w:r>
    </w:p>
    <w:p>
      <w:pPr>
        <w:ind w:left="1940"/>
        <w:spacing w:after="0" w:line="230" w:lineRule="auto"/>
        <w:rPr>
          <w:sz w:val="20"/>
          <w:szCs w:val="20"/>
          <w:color w:val="auto"/>
        </w:rPr>
      </w:pPr>
      <w:r>
        <w:rPr>
          <w:rFonts w:ascii="Arial" w:cs="Arial" w:eastAsia="Arial" w:hAnsi="Arial"/>
          <w:sz w:val="22"/>
          <w:szCs w:val="22"/>
          <w:color w:val="auto"/>
        </w:rPr>
        <w:t>Telephone: (408) 654-7400</w:t>
      </w:r>
    </w:p>
    <w:p>
      <w:pPr>
        <w:ind w:left="1940"/>
        <w:spacing w:after="0" w:line="231" w:lineRule="auto"/>
        <w:rPr>
          <w:sz w:val="20"/>
          <w:szCs w:val="20"/>
          <w:color w:val="auto"/>
        </w:rPr>
      </w:pPr>
      <w:r>
        <w:rPr>
          <w:rFonts w:ascii="Arial" w:cs="Arial" w:eastAsia="Arial" w:hAnsi="Arial"/>
          <w:sz w:val="22"/>
          <w:szCs w:val="22"/>
          <w:color w:val="auto"/>
        </w:rPr>
        <w:t>Facsimile: (408) 988-8317</w:t>
      </w:r>
    </w:p>
    <w:p>
      <w:pPr>
        <w:ind w:left="1940"/>
        <w:spacing w:after="0"/>
        <w:rPr>
          <w:sz w:val="20"/>
          <w:szCs w:val="20"/>
          <w:color w:val="auto"/>
        </w:rPr>
      </w:pPr>
      <w:r>
        <w:rPr>
          <w:rFonts w:ascii="Arial" w:cs="Arial" w:eastAsia="Arial" w:hAnsi="Arial"/>
          <w:sz w:val="22"/>
          <w:szCs w:val="22"/>
          <w:color w:val="auto"/>
        </w:rPr>
        <w:t>Email address: svbfgwarrants@svb.com</w:t>
      </w:r>
    </w:p>
    <w:p>
      <w:pPr>
        <w:spacing w:after="0" w:line="21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4" w:name="page45"/>
    <w:bookmarkEnd w:id="44"/>
    <w:p>
      <w:pPr>
        <w:ind w:left="1940"/>
        <w:spacing w:after="0"/>
        <w:rPr>
          <w:sz w:val="20"/>
          <w:szCs w:val="20"/>
          <w:color w:val="auto"/>
        </w:rPr>
      </w:pPr>
      <w:r>
        <w:rPr>
          <w:rFonts w:ascii="Arial" w:cs="Arial" w:eastAsia="Arial" w:hAnsi="Arial"/>
          <w:sz w:val="22"/>
          <w:szCs w:val="22"/>
          <w:color w:val="auto"/>
        </w:rPr>
        <w:t>Aclaris Therapeutics, Inc.</w:t>
      </w:r>
    </w:p>
    <w:p>
      <w:pPr>
        <w:ind w:left="1940"/>
        <w:spacing w:after="0" w:line="238" w:lineRule="auto"/>
        <w:rPr>
          <w:sz w:val="20"/>
          <w:szCs w:val="20"/>
          <w:color w:val="auto"/>
        </w:rPr>
      </w:pPr>
      <w:r>
        <w:rPr>
          <w:rFonts w:ascii="Arial" w:cs="Arial" w:eastAsia="Arial" w:hAnsi="Arial"/>
          <w:sz w:val="22"/>
          <w:szCs w:val="22"/>
          <w:color w:val="auto"/>
        </w:rPr>
        <w:t>Attn: Kamil Ali-Jackson, Chief Legal Officer</w:t>
      </w:r>
    </w:p>
    <w:p>
      <w:pPr>
        <w:ind w:left="1940"/>
        <w:spacing w:after="0" w:line="231" w:lineRule="auto"/>
        <w:rPr>
          <w:sz w:val="20"/>
          <w:szCs w:val="20"/>
          <w:color w:val="auto"/>
        </w:rPr>
      </w:pPr>
      <w:r>
        <w:rPr>
          <w:rFonts w:ascii="Arial" w:cs="Arial" w:eastAsia="Arial" w:hAnsi="Arial"/>
          <w:sz w:val="22"/>
          <w:szCs w:val="22"/>
          <w:color w:val="auto"/>
        </w:rPr>
        <w:t>640 Lee Road, Suite 200</w:t>
      </w:r>
    </w:p>
    <w:p>
      <w:pPr>
        <w:ind w:left="1940"/>
        <w:spacing w:after="0" w:line="230" w:lineRule="auto"/>
        <w:rPr>
          <w:sz w:val="20"/>
          <w:szCs w:val="20"/>
          <w:color w:val="auto"/>
        </w:rPr>
      </w:pPr>
      <w:r>
        <w:rPr>
          <w:rFonts w:ascii="Arial" w:cs="Arial" w:eastAsia="Arial" w:hAnsi="Arial"/>
          <w:sz w:val="22"/>
          <w:szCs w:val="22"/>
          <w:color w:val="auto"/>
        </w:rPr>
        <w:t>Wayne, PA 19087</w:t>
      </w:r>
    </w:p>
    <w:p>
      <w:pPr>
        <w:ind w:left="1940"/>
        <w:spacing w:after="0" w:line="231" w:lineRule="auto"/>
        <w:rPr>
          <w:sz w:val="20"/>
          <w:szCs w:val="20"/>
          <w:color w:val="auto"/>
        </w:rPr>
      </w:pPr>
      <w:r>
        <w:rPr>
          <w:rFonts w:ascii="Arial" w:cs="Arial" w:eastAsia="Arial" w:hAnsi="Arial"/>
          <w:sz w:val="22"/>
          <w:szCs w:val="22"/>
          <w:color w:val="auto"/>
        </w:rPr>
        <w:t>Telephone: (484) 324-7933</w:t>
      </w:r>
    </w:p>
    <w:p>
      <w:pPr>
        <w:ind w:left="1940"/>
        <w:spacing w:after="0"/>
        <w:rPr>
          <w:sz w:val="20"/>
          <w:szCs w:val="20"/>
          <w:color w:val="auto"/>
        </w:rPr>
      </w:pPr>
      <w:r>
        <w:rPr>
          <w:rFonts w:ascii="Arial" w:cs="Arial" w:eastAsia="Arial" w:hAnsi="Arial"/>
          <w:sz w:val="22"/>
          <w:szCs w:val="22"/>
          <w:color w:val="auto"/>
        </w:rPr>
        <w:t>Email: kalijackson@aclaristx.com</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DLA Piper LLP (US)</w:t>
      </w:r>
    </w:p>
    <w:p>
      <w:pPr>
        <w:ind w:left="1940"/>
        <w:spacing w:after="0" w:line="238" w:lineRule="auto"/>
        <w:rPr>
          <w:sz w:val="20"/>
          <w:szCs w:val="20"/>
          <w:color w:val="auto"/>
        </w:rPr>
      </w:pPr>
      <w:r>
        <w:rPr>
          <w:rFonts w:ascii="Arial" w:cs="Arial" w:eastAsia="Arial" w:hAnsi="Arial"/>
          <w:sz w:val="22"/>
          <w:szCs w:val="22"/>
          <w:color w:val="auto"/>
        </w:rPr>
        <w:t>Attn: Fahd Riaz, Esq.</w:t>
      </w:r>
    </w:p>
    <w:p>
      <w:pPr>
        <w:ind w:left="1940"/>
        <w:spacing w:after="0" w:line="230" w:lineRule="auto"/>
        <w:rPr>
          <w:sz w:val="20"/>
          <w:szCs w:val="20"/>
          <w:color w:val="auto"/>
        </w:rPr>
      </w:pPr>
      <w:r>
        <w:rPr>
          <w:rFonts w:ascii="Arial" w:cs="Arial" w:eastAsia="Arial" w:hAnsi="Arial"/>
          <w:sz w:val="22"/>
          <w:szCs w:val="22"/>
          <w:color w:val="auto"/>
        </w:rPr>
        <w:t>One Liberty Place</w:t>
      </w:r>
    </w:p>
    <w:p>
      <w:pPr>
        <w:ind w:left="1940"/>
        <w:spacing w:after="0" w:line="231" w:lineRule="auto"/>
        <w:rPr>
          <w:sz w:val="20"/>
          <w:szCs w:val="20"/>
          <w:color w:val="auto"/>
        </w:rPr>
      </w:pPr>
      <w:r>
        <w:rPr>
          <w:rFonts w:ascii="Arial" w:cs="Arial" w:eastAsia="Arial" w:hAnsi="Arial"/>
          <w:sz w:val="22"/>
          <w:szCs w:val="22"/>
          <w:color w:val="auto"/>
        </w:rPr>
        <w:t>1650 Market Street, Suite 5000</w:t>
      </w:r>
    </w:p>
    <w:p>
      <w:pPr>
        <w:ind w:left="1940"/>
        <w:spacing w:after="0" w:line="230" w:lineRule="auto"/>
        <w:rPr>
          <w:sz w:val="20"/>
          <w:szCs w:val="20"/>
          <w:color w:val="auto"/>
        </w:rPr>
      </w:pPr>
      <w:r>
        <w:rPr>
          <w:rFonts w:ascii="Arial" w:cs="Arial" w:eastAsia="Arial" w:hAnsi="Arial"/>
          <w:sz w:val="22"/>
          <w:szCs w:val="22"/>
          <w:color w:val="auto"/>
        </w:rPr>
        <w:t>Telephone: (215) 656-3316</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Email: fahd.riaz@us.dlapiper.com</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1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Attorneys’ Fees</w:t>
      </w:r>
      <w:r>
        <w:rPr>
          <w:rFonts w:ascii="Arial" w:cs="Arial" w:eastAsia="Arial" w:hAnsi="Arial"/>
          <w:sz w:val="21"/>
          <w:szCs w:val="21"/>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96" w:lineRule="exact"/>
        <w:rPr>
          <w:sz w:val="20"/>
          <w:szCs w:val="20"/>
          <w:color w:val="auto"/>
        </w:rPr>
      </w:pPr>
    </w:p>
    <w:p>
      <w:pPr>
        <w:ind w:left="1300"/>
        <w:spacing w:after="0"/>
        <w:tabs>
          <w:tab w:leader="none" w:pos="2640" w:val="left"/>
          <w:tab w:leader="none" w:pos="714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u w:val="single" w:color="auto"/>
          <w:color w:val="auto"/>
        </w:rPr>
        <w:t>Counterparts;  Facsimile/Electronic  Signatures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This  Warrant  may  be</w:t>
      </w:r>
    </w:p>
    <w:p>
      <w:pPr>
        <w:spacing w:after="0" w:line="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ind w:left="1300"/>
              <w:spacing w:after="0"/>
              <w:rPr>
                <w:sz w:val="20"/>
                <w:szCs w:val="20"/>
                <w:color w:val="auto"/>
              </w:rPr>
            </w:pPr>
            <w:r>
              <w:rPr>
                <w:rFonts w:ascii="Arial" w:cs="Arial" w:eastAsia="Arial" w:hAnsi="Arial"/>
                <w:sz w:val="22"/>
                <w:szCs w:val="22"/>
                <w:color w:val="auto"/>
              </w:rPr>
              <w:t>5.9</w:t>
            </w:r>
          </w:p>
        </w:tc>
        <w:tc>
          <w:tcPr>
            <w:tcW w:w="740" w:type="dxa"/>
            <w:vAlign w:val="bottom"/>
          </w:tcPr>
          <w:p>
            <w:pPr>
              <w:spacing w:after="0"/>
              <w:rPr>
                <w:sz w:val="21"/>
                <w:szCs w:val="21"/>
                <w:color w:val="auto"/>
              </w:rPr>
            </w:pPr>
          </w:p>
        </w:tc>
        <w:tc>
          <w:tcPr>
            <w:tcW w:w="6540" w:type="dxa"/>
            <w:vAlign w:val="bottom"/>
            <w:gridSpan w:val="8"/>
          </w:tcPr>
          <w:p>
            <w:pPr>
              <w:jc w:val="right"/>
              <w:spacing w:after="0"/>
              <w:rPr>
                <w:sz w:val="20"/>
                <w:szCs w:val="20"/>
                <w:color w:val="auto"/>
              </w:rPr>
            </w:pPr>
            <w:r>
              <w:rPr>
                <w:rFonts w:ascii="Arial" w:cs="Arial" w:eastAsia="Arial" w:hAnsi="Arial"/>
                <w:sz w:val="22"/>
                <w:szCs w:val="22"/>
                <w:color w:val="auto"/>
                <w:w w:val="90"/>
              </w:rPr>
              <w:t>Headings. The headings in this Warrant are for purposes of reference only</w:t>
            </w:r>
          </w:p>
        </w:tc>
      </w:tr>
      <w:tr>
        <w:trPr>
          <w:trHeight w:val="20"/>
        </w:trPr>
        <w:tc>
          <w:tcPr>
            <w:tcW w:w="2700" w:type="dxa"/>
            <w:vAlign w:val="bottom"/>
            <w:tcBorders>
              <w:right w:val="single" w:sz="8" w:color="auto"/>
            </w:tcBorders>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4"/>
        </w:trPr>
        <w:tc>
          <w:tcPr>
            <w:tcW w:w="9240" w:type="dxa"/>
            <w:vAlign w:val="bottom"/>
            <w:gridSpan w:val="10"/>
          </w:tcPr>
          <w:p>
            <w:pPr>
              <w:spacing w:after="0"/>
              <w:rPr>
                <w:sz w:val="20"/>
                <w:szCs w:val="20"/>
                <w:color w:val="auto"/>
              </w:rPr>
            </w:pPr>
            <w:r>
              <w:rPr>
                <w:rFonts w:ascii="Arial" w:cs="Arial" w:eastAsia="Arial" w:hAnsi="Arial"/>
                <w:sz w:val="22"/>
                <w:szCs w:val="22"/>
                <w:color w:val="auto"/>
              </w:rPr>
              <w:t>and shall not limit or otherwise affect the meaning of any provision of this Warrant.</w:t>
            </w:r>
          </w:p>
        </w:tc>
      </w:tr>
      <w:tr>
        <w:trPr>
          <w:trHeight w:val="408"/>
        </w:trPr>
        <w:tc>
          <w:tcPr>
            <w:tcW w:w="1960" w:type="dxa"/>
            <w:vAlign w:val="bottom"/>
          </w:tcPr>
          <w:p>
            <w:pPr>
              <w:ind w:left="1300"/>
              <w:spacing w:after="0"/>
              <w:rPr>
                <w:sz w:val="20"/>
                <w:szCs w:val="20"/>
                <w:color w:val="auto"/>
              </w:rPr>
            </w:pPr>
            <w:r>
              <w:rPr>
                <w:rFonts w:ascii="Arial" w:cs="Arial" w:eastAsia="Arial" w:hAnsi="Arial"/>
                <w:sz w:val="22"/>
                <w:szCs w:val="22"/>
                <w:color w:val="auto"/>
              </w:rPr>
              <w:t>5.10</w:t>
            </w:r>
          </w:p>
        </w:tc>
        <w:tc>
          <w:tcPr>
            <w:tcW w:w="740" w:type="dxa"/>
            <w:vAlign w:val="bottom"/>
          </w:tcPr>
          <w:p>
            <w:pPr>
              <w:spacing w:after="0"/>
              <w:rPr>
                <w:sz w:val="24"/>
                <w:szCs w:val="24"/>
                <w:color w:val="auto"/>
              </w:rPr>
            </w:pPr>
          </w:p>
        </w:tc>
        <w:tc>
          <w:tcPr>
            <w:tcW w:w="6540" w:type="dxa"/>
            <w:vAlign w:val="bottom"/>
            <w:gridSpan w:val="8"/>
          </w:tcPr>
          <w:p>
            <w:pPr>
              <w:jc w:val="right"/>
              <w:spacing w:after="0"/>
              <w:rPr>
                <w:sz w:val="20"/>
                <w:szCs w:val="20"/>
                <w:color w:val="auto"/>
              </w:rPr>
            </w:pPr>
            <w:r>
              <w:rPr>
                <w:rFonts w:ascii="Arial" w:cs="Arial" w:eastAsia="Arial" w:hAnsi="Arial"/>
                <w:sz w:val="22"/>
                <w:szCs w:val="22"/>
                <w:color w:val="auto"/>
                <w:w w:val="90"/>
              </w:rPr>
              <w:t>Business Days. “</w:t>
            </w:r>
            <w:r>
              <w:rPr>
                <w:rFonts w:ascii="Arial" w:cs="Arial" w:eastAsia="Arial" w:hAnsi="Arial"/>
                <w:sz w:val="22"/>
                <w:szCs w:val="22"/>
                <w:b w:val="1"/>
                <w:bCs w:val="1"/>
                <w:color w:val="auto"/>
                <w:w w:val="90"/>
              </w:rPr>
              <w:t>Business Day</w:t>
            </w:r>
            <w:r>
              <w:rPr>
                <w:rFonts w:ascii="Arial" w:cs="Arial" w:eastAsia="Arial" w:hAnsi="Arial"/>
                <w:sz w:val="22"/>
                <w:szCs w:val="22"/>
                <w:color w:val="auto"/>
                <w:w w:val="90"/>
              </w:rPr>
              <w:t>” is any day that is not a Saturday, Sunday</w:t>
            </w:r>
          </w:p>
        </w:tc>
      </w:tr>
      <w:tr>
        <w:trPr>
          <w:trHeight w:val="20"/>
        </w:trPr>
        <w:tc>
          <w:tcPr>
            <w:tcW w:w="27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4"/>
        </w:trPr>
        <w:tc>
          <w:tcPr>
            <w:tcW w:w="9240" w:type="dxa"/>
            <w:vAlign w:val="bottom"/>
            <w:gridSpan w:val="10"/>
          </w:tcPr>
          <w:p>
            <w:pPr>
              <w:spacing w:after="0"/>
              <w:rPr>
                <w:sz w:val="20"/>
                <w:szCs w:val="20"/>
                <w:color w:val="auto"/>
              </w:rPr>
            </w:pPr>
            <w:r>
              <w:rPr>
                <w:rFonts w:ascii="Arial" w:cs="Arial" w:eastAsia="Arial" w:hAnsi="Arial"/>
                <w:sz w:val="22"/>
                <w:szCs w:val="22"/>
                <w:color w:val="auto"/>
              </w:rPr>
              <w:t>or a day on which Silicon Valley Bank is closed.</w:t>
            </w:r>
          </w:p>
        </w:tc>
      </w:tr>
      <w:tr>
        <w:trPr>
          <w:trHeight w:val="408"/>
        </w:trPr>
        <w:tc>
          <w:tcPr>
            <w:tcW w:w="1960" w:type="dxa"/>
            <w:vAlign w:val="bottom"/>
          </w:tcPr>
          <w:p>
            <w:pPr>
              <w:spacing w:after="0"/>
              <w:rPr>
                <w:sz w:val="24"/>
                <w:szCs w:val="24"/>
                <w:color w:val="auto"/>
              </w:rPr>
            </w:pPr>
          </w:p>
        </w:tc>
        <w:tc>
          <w:tcPr>
            <w:tcW w:w="7280" w:type="dxa"/>
            <w:vAlign w:val="bottom"/>
            <w:gridSpan w:val="9"/>
          </w:tcPr>
          <w:p>
            <w:pPr>
              <w:jc w:val="right"/>
              <w:ind w:right="920"/>
              <w:spacing w:after="0"/>
              <w:rPr>
                <w:sz w:val="20"/>
                <w:szCs w:val="20"/>
                <w:color w:val="auto"/>
              </w:rPr>
            </w:pPr>
            <w:r>
              <w:rPr>
                <w:rFonts w:ascii="Arial" w:cs="Arial" w:eastAsia="Arial" w:hAnsi="Arial"/>
                <w:sz w:val="22"/>
                <w:szCs w:val="22"/>
                <w:color w:val="auto"/>
                <w:w w:val="98"/>
              </w:rPr>
              <w:t>SECTION 6. GOVERNING LAW, VENUE, JURY TRIAL WAIVER.</w:t>
            </w:r>
          </w:p>
        </w:tc>
      </w:tr>
      <w:tr>
        <w:trPr>
          <w:trHeight w:val="20"/>
        </w:trPr>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24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1960" w:type="dxa"/>
            <w:vAlign w:val="bottom"/>
          </w:tcPr>
          <w:p>
            <w:pPr>
              <w:ind w:left="1300"/>
              <w:spacing w:after="0"/>
              <w:rPr>
                <w:sz w:val="20"/>
                <w:szCs w:val="20"/>
                <w:color w:val="auto"/>
              </w:rPr>
            </w:pPr>
            <w:r>
              <w:rPr>
                <w:rFonts w:ascii="Arial" w:cs="Arial" w:eastAsia="Arial" w:hAnsi="Arial"/>
                <w:sz w:val="22"/>
                <w:szCs w:val="22"/>
                <w:color w:val="auto"/>
              </w:rPr>
              <w:t>6.1</w:t>
            </w:r>
          </w:p>
        </w:tc>
        <w:tc>
          <w:tcPr>
            <w:tcW w:w="740" w:type="dxa"/>
            <w:vAlign w:val="bottom"/>
          </w:tcPr>
          <w:p>
            <w:pPr>
              <w:spacing w:after="0"/>
              <w:rPr>
                <w:sz w:val="24"/>
                <w:szCs w:val="24"/>
                <w:color w:val="auto"/>
              </w:rPr>
            </w:pPr>
          </w:p>
        </w:tc>
        <w:tc>
          <w:tcPr>
            <w:tcW w:w="6540" w:type="dxa"/>
            <w:vAlign w:val="bottom"/>
            <w:gridSpan w:val="8"/>
          </w:tcPr>
          <w:p>
            <w:pPr>
              <w:jc w:val="right"/>
              <w:spacing w:after="0"/>
              <w:rPr>
                <w:sz w:val="20"/>
                <w:szCs w:val="20"/>
                <w:color w:val="auto"/>
              </w:rPr>
            </w:pPr>
            <w:r>
              <w:rPr>
                <w:rFonts w:ascii="Arial" w:cs="Arial" w:eastAsia="Arial" w:hAnsi="Arial"/>
                <w:sz w:val="22"/>
                <w:szCs w:val="22"/>
                <w:color w:val="auto"/>
                <w:w w:val="97"/>
              </w:rPr>
              <w:t>Governing Law.  This Warrant shall be governed by and construed in</w:t>
            </w:r>
          </w:p>
        </w:tc>
      </w:tr>
      <w:tr>
        <w:trPr>
          <w:trHeight w:val="20"/>
        </w:trPr>
        <w:tc>
          <w:tcPr>
            <w:tcW w:w="196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accordance with the laws of the State of Delaware, without giving effect to its principles regarding conflicts of law.</w:t>
      </w:r>
    </w:p>
    <w:p>
      <w:pPr>
        <w:spacing w:after="0" w:line="17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Jurisdiction and Venue</w:t>
      </w:r>
      <w:r>
        <w:rPr>
          <w:rFonts w:ascii="Arial" w:cs="Arial" w:eastAsia="Arial" w:hAnsi="Arial"/>
          <w:sz w:val="19"/>
          <w:szCs w:val="19"/>
          <w:color w:val="auto"/>
        </w:rPr>
        <w:t>. The Company and Holder each submit to the exclusive jurisdiction of the State and Federal courts in New York City; provided, however, that nothing in this Warrant shall be deemed to operate to preclude Holder from bringing suit or taking other legal action in any other jurisdiction to enforce a judgment or other court order in favor of Holder. The Company expressly submits and consents in advance to such jurisdiction in any action or suit commenced in any such court, and the Company hereby waives any objection that it may have based upon lack of personal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5" w:name="page46"/>
    <w:bookmarkEnd w:id="45"/>
    <w:p>
      <w:pPr>
        <w:jc w:val="both"/>
        <w:spacing w:after="0" w:line="287" w:lineRule="auto"/>
        <w:rPr>
          <w:sz w:val="20"/>
          <w:szCs w:val="20"/>
          <w:color w:val="auto"/>
        </w:rPr>
      </w:pPr>
      <w:r>
        <w:rPr>
          <w:rFonts w:ascii="Arial" w:cs="Arial" w:eastAsia="Arial" w:hAnsi="Arial"/>
          <w:sz w:val="19"/>
          <w:szCs w:val="19"/>
          <w:color w:val="auto"/>
        </w:rPr>
        <w:t>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Section 5.5 of this Warrant.</w:t>
      </w:r>
    </w:p>
    <w:p>
      <w:pPr>
        <w:spacing w:after="0" w:line="137" w:lineRule="exact"/>
        <w:rPr>
          <w:sz w:val="20"/>
          <w:szCs w:val="20"/>
          <w:color w:val="auto"/>
        </w:rPr>
      </w:pPr>
    </w:p>
    <w:p>
      <w:pPr>
        <w:ind w:left="1300"/>
        <w:spacing w:after="0"/>
        <w:tabs>
          <w:tab w:leader="none" w:pos="2640" w:val="left"/>
          <w:tab w:leader="none" w:pos="44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u w:val="single" w:color="auto"/>
          <w:color w:val="auto"/>
        </w:rPr>
        <w:t>Jury Trial Waiver</w:t>
      </w:r>
      <w:r>
        <w:rPr>
          <w:rFonts w:ascii="Arial" w:cs="Arial" w:eastAsia="Arial" w:hAnsi="Arial"/>
          <w:sz w:val="22"/>
          <w:szCs w:val="22"/>
          <w:color w:val="auto"/>
        </w:rPr>
        <w:t>.</w:t>
      </w:r>
      <w:r>
        <w:rPr>
          <w:sz w:val="20"/>
          <w:szCs w:val="20"/>
          <w:color w:val="auto"/>
        </w:rPr>
        <w:tab/>
      </w:r>
      <w:r>
        <w:rPr>
          <w:rFonts w:ascii="Arial" w:cs="Arial" w:eastAsia="Arial" w:hAnsi="Arial"/>
          <w:sz w:val="22"/>
          <w:szCs w:val="22"/>
          <w:b w:val="1"/>
          <w:bCs w:val="1"/>
          <w:color w:val="auto"/>
        </w:rPr>
        <w:t>TO THE FULLEST EXTENT PERMITTED BY</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b w:val="1"/>
          <w:bCs w:val="1"/>
          <w:color w:val="auto"/>
        </w:rPr>
        <w:t>APPLICABLE LAW, THE COMPANY AND HOLDER EACH WAIVE THEIR RIGHT TO A JURY TRIAL OF ANY CLAIM OR CAUSE OF ACTION ARISING OUT OF OR BASED UPON THIS WARRANT, THE LOAN AGREEMENT OR ANY CONTEMPLATED TRANSACTION, INCLUDING CONTRACT, TORT, BREACH OF DUTY AND ALL OTHER CLAIMS. THIS WAIVER IS A MATERIAL INDUCEMENT FOR THE PARTIES’ AGREEMENT TO THIS WARRANT. EACH PARTY HAS REVIEWED THIS WAIVER WITH ITS COUNSEL</w:t>
      </w:r>
      <w:r>
        <w:rPr>
          <w:rFonts w:ascii="Arial" w:cs="Arial" w:eastAsia="Arial" w:hAnsi="Arial"/>
          <w:sz w:val="22"/>
          <w:szCs w:val="22"/>
          <w:color w:val="auto"/>
        </w:rPr>
        <w:t>.</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 This Section 6 shall survive the termination of this Warrant.</w:t>
      </w:r>
    </w:p>
    <w:p>
      <w:pPr>
        <w:spacing w:after="0" w:line="233" w:lineRule="exact"/>
        <w:rPr>
          <w:sz w:val="20"/>
          <w:szCs w:val="20"/>
          <w:color w:val="auto"/>
        </w:rPr>
      </w:pPr>
    </w:p>
    <w:p>
      <w:pPr>
        <w:jc w:val="both"/>
        <w:ind w:left="640" w:firstLine="648"/>
        <w:spacing w:after="0"/>
        <w:rPr>
          <w:sz w:val="20"/>
          <w:szCs w:val="20"/>
          <w:color w:val="auto"/>
        </w:rPr>
      </w:pPr>
      <w:r>
        <w:rPr>
          <w:rFonts w:ascii="Arial" w:cs="Arial" w:eastAsia="Arial" w:hAnsi="Arial"/>
          <w:sz w:val="22"/>
          <w:szCs w:val="22"/>
          <w:color w:val="auto"/>
        </w:rPr>
        <w:t>6.5 Each party hereto may execute this Warrant by electronic means and recognizes and accepts the use of electronic signatures and records by any other party hereto in connection with the execution and storage 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18" w:right="1339" w:bottom="1440" w:gutter="0" w:footer="0" w:header="0"/>
        </w:sectPr>
      </w:pPr>
    </w:p>
    <w:bookmarkStart w:id="46" w:name="page47"/>
    <w:bookmarkEnd w:id="46"/>
    <w:p>
      <w:pPr>
        <w:ind w:firstLine="67"/>
        <w:spacing w:after="0" w:line="251" w:lineRule="auto"/>
        <w:rPr>
          <w:sz w:val="20"/>
          <w:szCs w:val="20"/>
          <w:color w:val="auto"/>
        </w:rPr>
      </w:pPr>
      <w:r>
        <w:rPr>
          <w:rFonts w:ascii="Arial" w:cs="Arial" w:eastAsia="Arial" w:hAnsi="Arial"/>
          <w:sz w:val="22"/>
          <w:szCs w:val="22"/>
          <w:color w:val="auto"/>
        </w:rPr>
        <w:t>IN WITNESS WHEREOF, the parties have caused this Warrant to Purchase Stock to be executed by their duly authorized representatives effective as of the Issue Date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354965</wp:posOffset>
            </wp:positionV>
            <wp:extent cx="3711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ACLARIS THERAPEUTICS, INC.</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Neal Walker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Neal Walker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SILICON VALLEY BANK</w:t>
      </w: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Tom Gordon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Tom Gordon</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00"/>
          </w:cols>
          <w:pgMar w:left="1320" w:top="118" w:right="137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color w:val="auto"/>
        </w:rPr>
        <w:t>APPENDIX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 OF EXERCISE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21"/>
          <w:szCs w:val="21"/>
          <w:color w:val="auto"/>
        </w:rPr>
        <w:t>1.The undersigned Holder hereby exercises its right to purchase ___________ shares of the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Common/Series ______ Preferred [circle one] Stock of __________________ (the “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in</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accordance with the attached Warrant To Purchase Stock, and tenders payment of the aggregate Warrant Price for such shares as follows:</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80" w:type="dxa"/>
            <w:vAlign w:val="bottom"/>
          </w:tcPr>
          <w:p>
            <w:pPr>
              <w:ind w:left="460"/>
              <w:spacing w:after="0"/>
              <w:rPr>
                <w:sz w:val="20"/>
                <w:szCs w:val="20"/>
                <w:color w:val="auto"/>
              </w:rPr>
            </w:pPr>
            <w:r>
              <w:rPr>
                <w:rFonts w:ascii="Arial" w:cs="Arial" w:eastAsia="Arial" w:hAnsi="Arial"/>
                <w:sz w:val="22"/>
                <w:szCs w:val="22"/>
                <w:color w:val="auto"/>
                <w:w w:val="88"/>
              </w:rPr>
              <w:t>check in the amount of $________ payable to order of the Company enclosed</w:t>
            </w:r>
          </w:p>
        </w:tc>
      </w:tr>
      <w:tr>
        <w:trPr>
          <w:trHeight w:val="274"/>
        </w:trPr>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180" w:type="dxa"/>
            <w:vAlign w:val="bottom"/>
          </w:tcPr>
          <w:p>
            <w:pPr>
              <w:ind w:left="480"/>
              <w:spacing w:after="0"/>
              <w:rPr>
                <w:sz w:val="20"/>
                <w:szCs w:val="20"/>
                <w:color w:val="auto"/>
              </w:rPr>
            </w:pPr>
            <w:r>
              <w:rPr>
                <w:rFonts w:ascii="Arial" w:cs="Arial" w:eastAsia="Arial" w:hAnsi="Arial"/>
                <w:sz w:val="22"/>
                <w:szCs w:val="22"/>
                <w:color w:val="auto"/>
              </w:rPr>
              <w:t>herewith</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80" w:type="dxa"/>
            <w:vAlign w:val="bottom"/>
          </w:tcPr>
          <w:p>
            <w:pPr>
              <w:ind w:left="460"/>
              <w:spacing w:after="0"/>
              <w:rPr>
                <w:sz w:val="20"/>
                <w:szCs w:val="20"/>
                <w:color w:val="auto"/>
              </w:rPr>
            </w:pPr>
            <w:r>
              <w:rPr>
                <w:rFonts w:ascii="Arial" w:cs="Arial" w:eastAsia="Arial" w:hAnsi="Arial"/>
                <w:sz w:val="22"/>
                <w:szCs w:val="22"/>
                <w:color w:val="auto"/>
                <w:w w:val="97"/>
              </w:rPr>
              <w:t>Wire transfer of immediately available funds to the Company’s account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80" w:type="dxa"/>
            <w:vAlign w:val="bottom"/>
          </w:tcPr>
          <w:p>
            <w:pPr>
              <w:ind w:left="460"/>
              <w:spacing w:after="0"/>
              <w:rPr>
                <w:sz w:val="20"/>
                <w:szCs w:val="20"/>
                <w:color w:val="auto"/>
              </w:rPr>
            </w:pPr>
            <w:r>
              <w:rPr>
                <w:rFonts w:ascii="Arial" w:cs="Arial" w:eastAsia="Arial" w:hAnsi="Arial"/>
                <w:sz w:val="22"/>
                <w:szCs w:val="22"/>
                <w:color w:val="auto"/>
              </w:rPr>
              <w:t>Cashless Exercise pursuant to Section 1.2 of the Warrant</w:t>
            </w:r>
          </w:p>
        </w:tc>
      </w:tr>
      <w:tr>
        <w:trPr>
          <w:trHeight w:val="459"/>
        </w:trPr>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64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7180" w:type="dxa"/>
            <w:vAlign w:val="bottom"/>
          </w:tcPr>
          <w:p>
            <w:pPr>
              <w:ind w:left="460"/>
              <w:spacing w:after="0"/>
              <w:rPr>
                <w:sz w:val="20"/>
                <w:szCs w:val="20"/>
                <w:color w:val="auto"/>
              </w:rPr>
            </w:pPr>
            <w:r>
              <w:rPr>
                <w:rFonts w:ascii="Arial" w:cs="Arial" w:eastAsia="Arial" w:hAnsi="Arial"/>
                <w:sz w:val="22"/>
                <w:szCs w:val="22"/>
                <w:color w:val="auto"/>
                <w:w w:val="98"/>
              </w:rPr>
              <w:t>Other [Describe] __________________________________________</w:t>
            </w:r>
          </w:p>
        </w:tc>
      </w:tr>
    </w:tbl>
    <w:p>
      <w:pPr>
        <w:spacing w:after="0" w:line="185" w:lineRule="exact"/>
        <w:rPr>
          <w:sz w:val="20"/>
          <w:szCs w:val="20"/>
          <w:color w:val="auto"/>
        </w:rPr>
      </w:pPr>
    </w:p>
    <w:p>
      <w:pPr>
        <w:ind w:left="1460" w:hanging="813"/>
        <w:spacing w:after="0"/>
        <w:tabs>
          <w:tab w:leader="none" w:pos="14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ind w:left="1940"/>
        <w:spacing w:after="0" w:line="230" w:lineRule="auto"/>
        <w:rPr>
          <w:sz w:val="20"/>
          <w:szCs w:val="20"/>
          <w:color w:val="auto"/>
        </w:rPr>
      </w:pPr>
      <w:r>
        <w:rPr>
          <w:rFonts w:ascii="Arial" w:cs="Arial" w:eastAsia="Arial" w:hAnsi="Arial"/>
          <w:sz w:val="22"/>
          <w:szCs w:val="22"/>
          <w:color w:val="auto"/>
        </w:rPr>
        <w:t>___________________________________________</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Holder’s Name</w:t>
      </w:r>
    </w:p>
    <w:p>
      <w:pPr>
        <w:spacing w:after="0" w:line="200" w:lineRule="exact"/>
        <w:rPr>
          <w:sz w:val="20"/>
          <w:szCs w:val="20"/>
          <w:color w:val="auto"/>
        </w:rPr>
      </w:pPr>
    </w:p>
    <w:p>
      <w:pPr>
        <w:spacing w:after="0" w:line="25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233"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___________________________________________</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(Address)</w:t>
      </w:r>
    </w:p>
    <w:p>
      <w:pPr>
        <w:spacing w:after="0" w:line="215" w:lineRule="exact"/>
        <w:rPr>
          <w:sz w:val="20"/>
          <w:szCs w:val="20"/>
          <w:color w:val="auto"/>
        </w:rPr>
      </w:pPr>
    </w:p>
    <w:p>
      <w:pPr>
        <w:ind w:firstLine="647"/>
        <w:spacing w:after="0" w:line="328" w:lineRule="auto"/>
        <w:tabs>
          <w:tab w:leader="none" w:pos="998" w:val="left"/>
        </w:tabs>
        <w:numPr>
          <w:ilvl w:val="0"/>
          <w:numId w:val="61"/>
        </w:numPr>
        <w:rPr>
          <w:rFonts w:ascii="Arial" w:cs="Arial" w:eastAsia="Arial" w:hAnsi="Arial"/>
          <w:sz w:val="19"/>
          <w:szCs w:val="19"/>
          <w:color w:val="auto"/>
        </w:rPr>
      </w:pPr>
      <w:r>
        <w:rPr>
          <w:rFonts w:ascii="Arial" w:cs="Arial" w:eastAsia="Arial" w:hAnsi="Arial"/>
          <w:sz w:val="19"/>
          <w:szCs w:val="19"/>
          <w:color w:val="auto"/>
        </w:rPr>
        <w:t>By its execution below and for the benefit of the Company, Holder hereby restates each of the representations and warranties in Section 4 of the Warrant to Purchase Stock as of the date hereof.</w:t>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Title:_________________________</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(Date):_______________________</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ny-1872441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361" w:right="1339" w:bottom="1440" w:gutter="0" w:footer="0" w:header="0"/>
        </w:sectPr>
      </w:pPr>
    </w:p>
    <w:bookmarkStart w:id="48" w:name="page49"/>
    <w:bookmarkEnd w:id="48"/>
    <w:p>
      <w:pPr>
        <w:jc w:val="right"/>
        <w:ind w:right="219"/>
        <w:spacing w:after="0"/>
        <w:rPr>
          <w:sz w:val="20"/>
          <w:szCs w:val="20"/>
          <w:color w:val="auto"/>
        </w:rPr>
      </w:pPr>
      <w:r>
        <w:rPr>
          <w:rFonts w:ascii="Arial" w:cs="Arial" w:eastAsia="Arial" w:hAnsi="Arial"/>
          <w:sz w:val="20"/>
          <w:szCs w:val="20"/>
          <w:b w:val="1"/>
          <w:bCs w:val="1"/>
          <w:color w:val="auto"/>
        </w:rPr>
        <w:t>Exhibit 99.1</w:t>
      </w:r>
    </w:p>
    <w:p>
      <w:pPr>
        <w:jc w:val="center"/>
        <w:ind w:right="19"/>
        <w:spacing w:after="0"/>
        <w:rPr>
          <w:sz w:val="20"/>
          <w:szCs w:val="20"/>
          <w:color w:val="auto"/>
        </w:rPr>
      </w:pPr>
      <w:r>
        <w:rPr>
          <w:rFonts w:ascii="Arial" w:cs="Arial" w:eastAsia="Arial" w:hAnsi="Arial"/>
          <w:sz w:val="22"/>
          <w:szCs w:val="22"/>
          <w:b w:val="1"/>
          <w:bCs w:val="1"/>
          <w:color w:val="auto"/>
        </w:rPr>
        <w:t>Aclaris Therapeutics Secures $11 Million Term Loan Facility</w:t>
      </w:r>
    </w:p>
    <w:p>
      <w:pPr>
        <w:spacing w:after="0" w:line="155" w:lineRule="exact"/>
        <w:rPr>
          <w:sz w:val="20"/>
          <w:szCs w:val="20"/>
          <w:color w:val="auto"/>
        </w:rPr>
      </w:pPr>
    </w:p>
    <w:p>
      <w:pPr>
        <w:ind w:left="200" w:right="359"/>
        <w:spacing w:after="0" w:line="220" w:lineRule="auto"/>
        <w:rPr>
          <w:sz w:val="20"/>
          <w:szCs w:val="20"/>
          <w:color w:val="auto"/>
        </w:rPr>
      </w:pPr>
      <w:r>
        <w:rPr>
          <w:rFonts w:ascii="Arial" w:cs="Arial" w:eastAsia="Arial" w:hAnsi="Arial"/>
          <w:sz w:val="22"/>
          <w:szCs w:val="22"/>
          <w:b w:val="1"/>
          <w:bCs w:val="1"/>
          <w:color w:val="auto"/>
        </w:rPr>
        <w:t xml:space="preserve">Wayne, PA – March 31, 2020 (GLOBE NEWSWIRE) – </w:t>
      </w:r>
      <w:r>
        <w:rPr>
          <w:rFonts w:ascii="Arial" w:cs="Arial" w:eastAsia="Arial" w:hAnsi="Arial"/>
          <w:sz w:val="22"/>
          <w:szCs w:val="22"/>
          <w:color w:val="auto"/>
        </w:rPr>
        <w:t>Aclaris Therapeutics, Inc.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ACRS), a physician-led biopharmaceutical company, today announced that it has entered into a loan and security agreement with Silicon Valley Bank (“SVB”) pursuant to which Aclaris has borrowed $11.0 million.</w:t>
      </w:r>
    </w:p>
    <w:p>
      <w:pPr>
        <w:spacing w:after="0" w:line="158" w:lineRule="exact"/>
        <w:rPr>
          <w:sz w:val="20"/>
          <w:szCs w:val="20"/>
          <w:color w:val="auto"/>
        </w:rPr>
      </w:pPr>
    </w:p>
    <w:p>
      <w:pPr>
        <w:ind w:left="200" w:right="279"/>
        <w:spacing w:after="0" w:line="216" w:lineRule="auto"/>
        <w:rPr>
          <w:sz w:val="20"/>
          <w:szCs w:val="20"/>
          <w:color w:val="auto"/>
        </w:rPr>
      </w:pPr>
      <w:r>
        <w:rPr>
          <w:rFonts w:ascii="Arial" w:cs="Arial" w:eastAsia="Arial" w:hAnsi="Arial"/>
          <w:sz w:val="22"/>
          <w:szCs w:val="22"/>
          <w:color w:val="auto"/>
        </w:rPr>
        <w:t>“This financing allows us to strengthen our financial position by extending our cash runway and to continue to execute on our refocused business strategy as planned,” said Dr. Neal Walker, President and CEO of Aclaris. Aclaris believes the proceeds from the loan, in combination with its existing cash, cash equivalents, and marketable securities, will be sufficient to fund its operations into the first quarter of 2022.</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Terms of Financing</w:t>
      </w:r>
    </w:p>
    <w:p>
      <w:pPr>
        <w:spacing w:after="0" w:line="226" w:lineRule="exact"/>
        <w:rPr>
          <w:sz w:val="20"/>
          <w:szCs w:val="20"/>
          <w:color w:val="auto"/>
        </w:rPr>
      </w:pPr>
    </w:p>
    <w:p>
      <w:pPr>
        <w:ind w:left="200" w:right="339"/>
        <w:spacing w:after="0" w:line="275" w:lineRule="auto"/>
        <w:rPr>
          <w:sz w:val="20"/>
          <w:szCs w:val="20"/>
          <w:color w:val="auto"/>
        </w:rPr>
      </w:pPr>
      <w:r>
        <w:rPr>
          <w:rFonts w:ascii="Arial" w:cs="Arial" w:eastAsia="Arial" w:hAnsi="Arial"/>
          <w:sz w:val="19"/>
          <w:szCs w:val="19"/>
          <w:color w:val="auto"/>
        </w:rPr>
        <w:t>The term loan requires interest only payments beginning April 1, 2020 and continuing through March 1, 2022, followed by monthly installments of principal, plus monthly payments of accrued interest, starting on April 1, 2022 and continuing through March 1, 2024. The loan is secured by substantially all of Aclaris’ assets, other than intellectual property. In connection with the term loan, Aclaris issued SVB a warrant to purchase up to 460,251 shares of Aclaris’ common stock at an initial exercise price of $0.956 per share. The warrant became immediately exercisable in full upon the funding of the loan. Other material terms related to the term loan and the warrant can be found in Aclaris’ Current Report on Form 8-K, which will be filed with the U.S. Securities and Exchange Commission.</w:t>
      </w:r>
    </w:p>
    <w:p>
      <w:pPr>
        <w:spacing w:after="0" w:line="38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Aclaris Therapeutics, Inc.</w:t>
      </w:r>
    </w:p>
    <w:p>
      <w:pPr>
        <w:spacing w:after="0" w:line="185" w:lineRule="exact"/>
        <w:rPr>
          <w:sz w:val="20"/>
          <w:szCs w:val="20"/>
          <w:color w:val="auto"/>
        </w:rPr>
      </w:pPr>
    </w:p>
    <w:p>
      <w:pPr>
        <w:ind w:left="200" w:right="219"/>
        <w:spacing w:after="0" w:line="226" w:lineRule="auto"/>
        <w:rPr>
          <w:sz w:val="20"/>
          <w:szCs w:val="20"/>
          <w:color w:val="auto"/>
        </w:rPr>
      </w:pPr>
      <w:r>
        <w:rPr>
          <w:rFonts w:ascii="Arial" w:cs="Arial" w:eastAsia="Arial" w:hAnsi="Arial"/>
          <w:sz w:val="21"/>
          <w:szCs w:val="21"/>
          <w:color w:val="auto"/>
        </w:rPr>
        <w:t xml:space="preserve">Aclaris Therapeutics, Inc. is a physician-led biopharmaceutical company committed to addressing the needs of patients with immuno-inflammatory diseases who lack satisfactory treatment options. The company has a multi-stage portfolio of drug candidates powered by a robust R&amp;D engine exploring protein kinase regulation. For additional information, please visit </w:t>
      </w:r>
      <w:r>
        <w:rPr>
          <w:rFonts w:ascii="Arial" w:cs="Arial" w:eastAsia="Arial" w:hAnsi="Arial"/>
          <w:sz w:val="21"/>
          <w:szCs w:val="21"/>
          <w:u w:val="single" w:color="auto"/>
          <w:color w:val="0000EE"/>
        </w:rPr>
        <w:t>www.aclaristx.com</w:t>
      </w:r>
      <w:r>
        <w:rPr>
          <w:rFonts w:ascii="Arial" w:cs="Arial" w:eastAsia="Arial" w:hAnsi="Arial"/>
          <w:sz w:val="21"/>
          <w:szCs w:val="21"/>
          <w:color w:val="auto"/>
        </w:rPr>
        <w:t xml:space="preserve"> and follow Aclaris on LinkedIn or Twitter @aclaristx.</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85" w:lineRule="exact"/>
        <w:rPr>
          <w:sz w:val="20"/>
          <w:szCs w:val="20"/>
          <w:color w:val="auto"/>
        </w:rPr>
      </w:pPr>
    </w:p>
    <w:p>
      <w:pPr>
        <w:ind w:left="200" w:right="219"/>
        <w:spacing w:after="0" w:line="244" w:lineRule="auto"/>
        <w:rPr>
          <w:sz w:val="20"/>
          <w:szCs w:val="20"/>
          <w:color w:val="auto"/>
        </w:rPr>
      </w:pPr>
      <w:r>
        <w:rPr>
          <w:rFonts w:ascii="Arial" w:cs="Arial" w:eastAsia="Arial" w:hAnsi="Arial"/>
          <w:sz w:val="19"/>
          <w:szCs w:val="19"/>
          <w:color w:val="auto"/>
        </w:rPr>
        <w:t>Any statements contained in this press release that do not describe historical facts may constitute forward-looking statements as that term is defined in the Private Securities Litigation Reform Act of 1995. These statements may be identified by words such as “believe,” “expect,” “intend,” “may,” “plan,” “potential,” “will,” and similar expressions, and are based on Aclaris' current beliefs and expectations. These forward-looking statements include Aclaris’ continued execution on its refocused business strategy and its belief that its existing cash, cash equivalents and marketable securities, together with the proceeds from the loan, will be sufficient to fund its operations into the first quarter of 2022. These statements involve risks and uncertainties that could cause actual results to differ materially from those reflected in such statements. Risks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2" w:right="1440" w:bottom="1440" w:gutter="0" w:footer="0" w:header="0"/>
        </w:sectPr>
      </w:pPr>
    </w:p>
    <w:bookmarkStart w:id="49" w:name="page50"/>
    <w:bookmarkEnd w:id="49"/>
    <w:p>
      <w:pPr>
        <w:ind w:left="200" w:right="359"/>
        <w:spacing w:after="0" w:line="243" w:lineRule="auto"/>
        <w:rPr>
          <w:sz w:val="20"/>
          <w:szCs w:val="20"/>
          <w:color w:val="auto"/>
        </w:rPr>
      </w:pPr>
      <w:r>
        <w:rPr>
          <w:rFonts w:ascii="Arial" w:cs="Arial" w:eastAsia="Arial" w:hAnsi="Arial"/>
          <w:sz w:val="19"/>
          <w:szCs w:val="19"/>
          <w:color w:val="auto"/>
        </w:rPr>
        <w:t>uncertainties that may cause actual results to differ materially include uncertainties inherent in the conduct of clinical trials, Aclaris' reliance on third parties over which it may not always have full control, Aclaris’ ability to enter into strategic partnerships on commercially reasonable terms and other risks and uncertainties that are described in the Risk Factors section of Aclaris' Annual Report on Form 10-K for the year ended December 31, 2019 and other filings Aclaris makes with the U.S. Securities and Exchange Commission from time to time. These documents are available under the “SEC filings” section of the Investors page of Aclaris’ website at http://www.aclaristx.com. Any forward-looking statements speak only as of the date of this press release and are based on information available to Aclaris as of the date of this release, and Aclaris assumes no obligation to, and does not intend to, update any forward-looking statements, whether as a result of new information, future events or otherwise.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Contact:</w:t>
      </w:r>
    </w:p>
    <w:p>
      <w:pPr>
        <w:ind w:left="200"/>
        <w:spacing w:after="0" w:line="204" w:lineRule="auto"/>
        <w:rPr>
          <w:sz w:val="20"/>
          <w:szCs w:val="20"/>
          <w:color w:val="auto"/>
        </w:rPr>
      </w:pPr>
      <w:r>
        <w:rPr>
          <w:rFonts w:ascii="Arial" w:cs="Arial" w:eastAsia="Arial" w:hAnsi="Arial"/>
          <w:sz w:val="22"/>
          <w:szCs w:val="22"/>
          <w:color w:val="auto"/>
        </w:rPr>
        <w:t>Aclaris Contact</w:t>
      </w:r>
    </w:p>
    <w:p>
      <w:pPr>
        <w:ind w:left="200"/>
        <w:spacing w:after="0" w:line="205" w:lineRule="auto"/>
        <w:rPr>
          <w:sz w:val="20"/>
          <w:szCs w:val="20"/>
          <w:color w:val="auto"/>
        </w:rPr>
      </w:pPr>
      <w:r>
        <w:rPr>
          <w:rFonts w:ascii="Arial" w:cs="Arial" w:eastAsia="Arial" w:hAnsi="Arial"/>
          <w:sz w:val="22"/>
          <w:szCs w:val="22"/>
          <w:color w:val="auto"/>
        </w:rPr>
        <w:t>Michael Tung, M.D.</w:t>
      </w:r>
    </w:p>
    <w:p>
      <w:pPr>
        <w:ind w:left="200"/>
        <w:spacing w:after="0" w:line="205" w:lineRule="auto"/>
        <w:rPr>
          <w:sz w:val="20"/>
          <w:szCs w:val="20"/>
          <w:color w:val="auto"/>
        </w:rPr>
      </w:pPr>
      <w:r>
        <w:rPr>
          <w:rFonts w:ascii="Arial" w:cs="Arial" w:eastAsia="Arial" w:hAnsi="Arial"/>
          <w:sz w:val="22"/>
          <w:szCs w:val="22"/>
          <w:color w:val="auto"/>
        </w:rPr>
        <w:t>Investor Relations</w:t>
      </w:r>
    </w:p>
    <w:p>
      <w:pPr>
        <w:ind w:left="200"/>
        <w:spacing w:after="0" w:line="205" w:lineRule="auto"/>
        <w:rPr>
          <w:sz w:val="20"/>
          <w:szCs w:val="20"/>
          <w:color w:val="auto"/>
        </w:rPr>
      </w:pPr>
      <w:r>
        <w:rPr>
          <w:rFonts w:ascii="Arial" w:cs="Arial" w:eastAsia="Arial" w:hAnsi="Arial"/>
          <w:sz w:val="22"/>
          <w:szCs w:val="22"/>
          <w:color w:val="auto"/>
        </w:rPr>
        <w:t>484-329-2140</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mtung@aclaristx.com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1178560</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124460</wp:posOffset>
            </wp:positionV>
            <wp:extent cx="1722755" cy="711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22755" cy="7118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2"/>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4"/>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decimal"/>
      <w:start w:val="3"/>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lowerLetter"/>
      <w:start w:val="4"/>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decimal"/>
      <w:start w:val="2"/>
    </w:lvl>
    <w:lvl w:ilvl="1">
      <w:lvlJc w:val="left"/>
      <w:lvlText w:val="%2."/>
      <w:numFmt w:val="decimal"/>
      <w:start w:val="4"/>
    </w:lvl>
  </w:abstractNum>
  <w:abstractNum w:abstractNumId="13">
    <w:nsid w:val="7724C67E"/>
    <w:multiLevelType w:val="hybridMultilevel"/>
    <w:lvl w:ilvl="0">
      <w:lvlJc w:val="left"/>
      <w:lvlText w:val="%1."/>
      <w:numFmt w:val="decimal"/>
      <w:start w:val="5"/>
    </w:lvl>
  </w:abstractNum>
  <w:abstractNum w:abstractNumId="14">
    <w:nsid w:val="5C482A97"/>
    <w:multiLevelType w:val="hybridMultilevel"/>
    <w:lvl w:ilvl="0">
      <w:lvlJc w:val="left"/>
      <w:lvlText w:val="%1."/>
      <w:numFmt w:val="decimal"/>
      <w:start w:val="6"/>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4"/>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3"/>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decimal"/>
      <w:start w:val="3"/>
    </w:lvl>
  </w:abstractNum>
  <w:abstractNum w:abstractNumId="23">
    <w:nsid w:val="6A2342EC"/>
    <w:multiLevelType w:val="hybridMultilevel"/>
    <w:lvl w:ilvl="0">
      <w:lvlJc w:val="left"/>
      <w:lvlText w:val="%1."/>
      <w:numFmt w:val="decimal"/>
      <w:start w:val="7"/>
    </w:lvl>
  </w:abstractNum>
  <w:abstractNum w:abstractNumId="24">
    <w:nsid w:val="2A487CB0"/>
    <w:multiLevelType w:val="hybridMultilevel"/>
    <w:lvl w:ilvl="0">
      <w:lvlJc w:val="left"/>
      <w:lvlText w:val="(%1)"/>
      <w:numFmt w:val="lowerLetter"/>
      <w:start w:val="3"/>
    </w:lvl>
  </w:abstractNum>
  <w:abstractNum w:abstractNumId="25">
    <w:nsid w:val="1D4ED43B"/>
    <w:multiLevelType w:val="hybridMultilevel"/>
    <w:lvl w:ilvl="0">
      <w:lvlJc w:val="left"/>
      <w:lvlText w:val="%1."/>
      <w:numFmt w:val="decimal"/>
      <w:start w:val="8"/>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decimal"/>
      <w:start w:val="9"/>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7"/>
    </w:lvl>
  </w:abstractNum>
  <w:abstractNum w:abstractNumId="31">
    <w:nsid w:val="542289EC"/>
    <w:multiLevelType w:val="hybridMultilevel"/>
    <w:lvl w:ilvl="0">
      <w:lvlJc w:val="left"/>
      <w:lvlText w:val="%1."/>
      <w:numFmt w:val="decimal"/>
      <w:start w:val="10"/>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decimal"/>
      <w:start w:val="11"/>
    </w:lvl>
  </w:abstractNum>
  <w:abstractNum w:abstractNumId="34">
    <w:nsid w:val="7644A45C"/>
    <w:multiLevelType w:val="hybridMultilevel"/>
    <w:lvl w:ilvl="0">
      <w:lvlJc w:val="left"/>
      <w:lvlText w:val="%1."/>
      <w:numFmt w:val="decimal"/>
      <w:start w:val="12"/>
    </w:lvl>
  </w:abstractNum>
  <w:abstractNum w:abstractNumId="35">
    <w:nsid w:val="32FFF902"/>
    <w:multiLevelType w:val="hybridMultilevel"/>
    <w:lvl w:ilvl="0">
      <w:lvlJc w:val="left"/>
      <w:lvlText w:val="%1."/>
      <w:numFmt w:val="decimal"/>
      <w:start w:val="13"/>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lowerRoman"/>
      <w:start w:val="2"/>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5"/>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upp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53">
    <w:nsid w:val="180115B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54">
    <w:nsid w:val="235BA86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lowerLetter"/>
      <w:start w:val="1"/>
    </w:lvl>
    <w:lvl w:ilvl="1">
      <w:lvlJc w:val="left"/>
      <w:lvlText w:val="(%2)"/>
      <w:numFmt w:val="lowerLetter"/>
      <w:start w:val="2"/>
    </w:lvl>
  </w:abstractNum>
  <w:abstractNum w:abstractNumId="59">
    <w:nsid w:val="D34B6A8"/>
    <w:multiLevelType w:val="hybridMultilevel"/>
    <w:lvl w:ilvl="0">
      <w:lvlJc w:val="left"/>
      <w:lvlText w:val="%1."/>
      <w:numFmt w:val="decimal"/>
      <w:start w:val="2"/>
    </w:lvl>
  </w:abstractNum>
  <w:abstractNum w:abstractNumId="60">
    <w:nsid w:val="10233C9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2020-03-31T15:17:21Z</dcterms:created>
  <dcterms:modified xsi:type="dcterms:W3CDTF">2020-03-31T15:17:21Z</dcterms:modified>
</cp:coreProperties>
</file>