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2183-1_s3asr.htm"/>
        <w:bookmarkStart w:id="1" w:name="kstm2622183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6,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00" w:before="24"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52"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42"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8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UNITED STATES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SECURITIES AND EXCHANGE COMMISSION</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0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4"/>
          <w:sz w:val="18"/>
        </w:rPr>
        <w:t xml:space="preserve"> </w:t>
      </w:r>
    </w:p>
    <w:p>
      <w:pPr>
        <w:pStyle w:val="TextBody"/>
        <w:bidi w:val="0"/>
        <w:spacing w:before="13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12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00" w:before="2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REGISTRATION STATEMENT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UNDER</w:t>
      </w:r>
      <w:r>
        <w:rPr>
          <w:rFonts w:ascii="Times New Roman;Times;serif" w:hAnsi="Times New Roman;Times;serif"/>
          <w:b/>
          <w:i w:val="false"/>
          <w:caps w:val="false"/>
          <w:smallCaps w:val="false"/>
          <w:color w:val="000000"/>
          <w:spacing w:val="-4"/>
          <w:sz w:val="18"/>
        </w:rPr>
        <w:t xml:space="preserve"> </w:t>
      </w:r>
      <w:r>
        <w:rPr>
          <w:rFonts w:ascii="Times New Roman;Times;serif" w:hAnsi="Times New Roman;Times;serif"/>
          <w:b/>
          <w:i w:val="false"/>
          <w:caps w:val="false"/>
          <w:smallCaps w:val="false"/>
          <w:color w:val="000000"/>
          <w:sz w:val="18"/>
        </w:rPr>
        <w:br/>
      </w:r>
      <w:r>
        <w:rPr>
          <w:rFonts w:ascii="Times New Roman;Times;serif" w:hAnsi="Times New Roman;Times;serif"/>
          <w:b/>
          <w:i/>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3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00" w:before="12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ACLARIS THERAPEUTICS,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bidi w:val="0"/>
        <w:spacing w:before="132" w:after="283"/>
        <w:jc w:val="center"/>
        <w:rPr>
          <w:caps w:val="false"/>
          <w:smallCaps w:val="false"/>
          <w:color w:val="000000"/>
          <w:bdr w:val="single" w:sz="8" w:space="1" w:color="000000"/>
        </w:rPr>
      </w:pPr>
      <w:r>
        <w:rPr>
          <w:caps w:val="false"/>
          <w:smallCaps w:val="false"/>
          <w:color w:val="000000"/>
          <w:bdr w:val="single" w:sz="8" w:space="1" w:color="000000"/>
        </w:rPr>
        <w:t>​</w:t>
      </w:r>
    </w:p>
    <w:tbl>
      <w:tblPr>
        <w:tblW w:w="5934" w:type="dxa"/>
        <w:jc w:val="left"/>
        <w:tblInd w:w="540" w:type="dxa"/>
        <w:tblLayout w:type="fixed"/>
        <w:tblCellMar>
          <w:top w:w="0" w:type="dxa"/>
          <w:left w:w="0" w:type="dxa"/>
          <w:bottom w:w="0" w:type="dxa"/>
          <w:right w:w="0" w:type="dxa"/>
        </w:tblCellMar>
      </w:tblPr>
      <w:tblGrid>
        <w:gridCol w:w="124"/>
        <w:gridCol w:w="3058"/>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lineRule="atLeast" w:line="180" w:before="36"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b/>
                <w:sz w:val="18"/>
              </w:rPr>
            </w:pPr>
            <w:r>
              <w:rPr>
                <w:b/>
                <w:spacing w:val="-4"/>
                <w:sz w:val="18"/>
              </w:rPr>
              <w:t>46-0571712</w:t>
            </w:r>
            <w:r>
              <w:rPr>
                <w:b/>
                <w:sz w:val="18"/>
              </w:rPr>
              <w:t xml:space="preserve"> </w:t>
            </w:r>
          </w:p>
          <w:p>
            <w:pPr>
              <w:pStyle w:val="TableContents"/>
              <w:bidi w:val="0"/>
              <w:spacing w:lineRule="atLeast" w:line="180" w:before="36"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18"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701 Lee Road, Suite 103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Wayne, PA 19087</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(484) 324-7933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before="13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2"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Neal Walker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Chief Executive Officer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Aclaris Therapeutics,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701 Lee Road, Suite 103</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Wayne, PA 19087</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(484) 324-7933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80" w:before="2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before="13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2" w:after="283"/>
        <w:jc w:val="center"/>
        <w:rPr>
          <w:rFonts w:ascii="Times New Roman;Times;serif" w:hAnsi="Times New Roman;Times;serif"/>
          <w:b/>
          <w:i/>
          <w:caps w:val="false"/>
          <w:smallCaps w:val="false"/>
          <w:color w:val="000000"/>
          <w:sz w:val="18"/>
        </w:rPr>
      </w:pPr>
      <w:r>
        <w:rPr>
          <w:rFonts w:ascii="Times New Roman;Times;serif" w:hAnsi="Times New Roman;Times;serif"/>
          <w:b/>
          <w:i/>
          <w:caps w:val="false"/>
          <w:smallCaps w:val="false"/>
          <w:color w:val="000000"/>
          <w:spacing w:val="-4"/>
          <w:sz w:val="18"/>
        </w:rPr>
        <w:t>Copies to:</w:t>
      </w:r>
      <w:r>
        <w:rPr>
          <w:rFonts w:ascii="Times New Roman;Times;serif" w:hAnsi="Times New Roman;Times;serif"/>
          <w:b/>
          <w:i/>
          <w:caps w:val="false"/>
          <w:smallCaps w:val="false"/>
          <w:color w:val="000000"/>
          <w:spacing w:val="4"/>
          <w:sz w:val="18"/>
        </w:rPr>
        <w:t xml:space="preserve"> </w:t>
      </w:r>
    </w:p>
    <w:tbl>
      <w:tblPr>
        <w:tblW w:w="5869" w:type="dxa"/>
        <w:jc w:val="left"/>
        <w:tblInd w:w="540" w:type="dxa"/>
        <w:tblLayout w:type="fixed"/>
        <w:tblCellMar>
          <w:top w:w="0" w:type="dxa"/>
          <w:left w:w="0" w:type="dxa"/>
          <w:bottom w:w="0" w:type="dxa"/>
          <w:right w:w="0" w:type="dxa"/>
        </w:tblCellMar>
      </w:tblPr>
      <w:tblGrid>
        <w:gridCol w:w="124"/>
        <w:gridCol w:w="2861"/>
        <w:gridCol w:w="109"/>
        <w:gridCol w:w="109"/>
        <w:gridCol w:w="2512"/>
        <w:gridCol w:w="154"/>
      </w:tblGrid>
      <w:tr>
        <w:trPr/>
        <w:tc>
          <w:tcPr>
            <w:tcW w:w="124" w:type="dxa"/>
            <w:tcBorders/>
            <w:vAlign w:val="center"/>
          </w:tcPr>
          <w:p>
            <w:pPr>
              <w:pStyle w:val="TableContents"/>
              <w:bidi w:val="0"/>
              <w:spacing w:before="0" w:after="283"/>
              <w:jc w:val="left"/>
              <w:rPr/>
            </w:pPr>
            <w:r>
              <w:rPr/>
              <w:t>​</w:t>
            </w:r>
          </w:p>
        </w:tc>
        <w:tc>
          <w:tcPr>
            <w:tcW w:w="2861" w:type="dxa"/>
            <w:tcBorders/>
            <w:vAlign w:val="center"/>
          </w:tcPr>
          <w:p>
            <w:pPr>
              <w:pStyle w:val="TableContents"/>
              <w:bidi w:val="0"/>
              <w:spacing w:lineRule="atLeast" w:line="216" w:before="0" w:after="0"/>
              <w:jc w:val="center"/>
              <w:rPr/>
            </w:pPr>
            <w:r>
              <w:rPr>
                <w:spacing w:val="-4"/>
              </w:rPr>
              <w:t>Mark Ballantyne</w:t>
            </w:r>
            <w:r>
              <w:rPr/>
              <w:t xml:space="preserve"> </w:t>
              <w:br/>
            </w:r>
            <w:r>
              <w:rPr>
                <w:spacing w:val="-4"/>
              </w:rPr>
              <w:t>David Brinton</w:t>
            </w:r>
            <w:r>
              <w:rPr/>
              <w:t xml:space="preserve"> </w:t>
              <w:br/>
            </w:r>
            <w:r>
              <w:rPr>
                <w:spacing w:val="-4"/>
              </w:rPr>
              <w:t>Cooley LLP</w:t>
            </w:r>
            <w:r>
              <w:rPr/>
              <w:t xml:space="preserve"> </w:t>
              <w:br/>
            </w:r>
            <w:r>
              <w:rPr>
                <w:spacing w:val="-4"/>
              </w:rPr>
              <w:t>11951 Freedom Drive</w:t>
            </w:r>
            <w:r>
              <w:rPr/>
              <w:t xml:space="preserve"> </w:t>
              <w:br/>
            </w:r>
            <w:r>
              <w:rPr>
                <w:spacing w:val="-4"/>
              </w:rPr>
              <w:t>Reston, Virginia 20190-5640</w:t>
            </w:r>
            <w:r>
              <w:rPr/>
              <w:t xml:space="preserve"> </w:t>
              <w:br/>
            </w:r>
            <w:r>
              <w:rPr>
                <w:spacing w:val="-4"/>
              </w:rPr>
              <w:t>(703) 456-8000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512" w:type="dxa"/>
            <w:tcBorders/>
            <w:vAlign w:val="center"/>
          </w:tcPr>
          <w:p>
            <w:pPr>
              <w:pStyle w:val="TableContents"/>
              <w:bidi w:val="0"/>
              <w:spacing w:lineRule="atLeast" w:line="216" w:before="0" w:after="0"/>
              <w:jc w:val="center"/>
              <w:rPr/>
            </w:pPr>
            <w:r>
              <w:rPr>
                <w:spacing w:val="-4"/>
              </w:rPr>
              <w:t>Kevin Balthaser</w:t>
            </w:r>
            <w:r>
              <w:rPr/>
              <w:t xml:space="preserve"> </w:t>
              <w:br/>
            </w:r>
            <w:r>
              <w:rPr>
                <w:spacing w:val="-4"/>
              </w:rPr>
              <w:t>Chief Financial Officer</w:t>
            </w:r>
            <w:r>
              <w:rPr/>
              <w:t xml:space="preserve"> </w:t>
              <w:br/>
            </w:r>
            <w:r>
              <w:rPr>
                <w:spacing w:val="-4"/>
              </w:rPr>
              <w:t>Aclaris Therapeutics, Inc.</w:t>
            </w:r>
            <w:r>
              <w:rPr/>
              <w:t xml:space="preserve"> </w:t>
              <w:br/>
            </w:r>
            <w:r>
              <w:rPr>
                <w:spacing w:val="-4"/>
              </w:rPr>
              <w:t>701 Lee Road, Suite 103</w:t>
            </w:r>
            <w:r>
              <w:rPr/>
              <w:t xml:space="preserve"> </w:t>
              <w:br/>
            </w:r>
            <w:r>
              <w:rPr>
                <w:spacing w:val="-4"/>
              </w:rPr>
              <w:t>Wayne, PA 19087</w:t>
            </w:r>
            <w:r>
              <w:rPr/>
              <w:t xml:space="preserve"> </w:t>
              <w:br/>
            </w:r>
            <w:r>
              <w:rPr>
                <w:spacing w:val="-4"/>
              </w:rPr>
              <w:t>(484) 324-7933</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122" w:after="283"/>
        <w:jc w:val="center"/>
        <w:rPr>
          <w:rFonts w:ascii="Times New Roman;Times;serif" w:hAnsi="Times New Roman;Times;serif"/>
          <w:b/>
          <w:i w:val="false"/>
          <w:caps w:val="false"/>
          <w:smallCaps w:val="false"/>
          <w:color w:val="000000"/>
          <w:spacing w:val="-4"/>
          <w:sz w:val="18"/>
        </w:rPr>
      </w:pPr>
      <w:r>
        <w:rPr>
          <w:rFonts w:ascii="Times New Roman;Times;serif" w:hAnsi="Times New Roman;Times;serif"/>
          <w:b/>
          <w:i w:val="false"/>
          <w:caps w:val="false"/>
          <w:smallCaps w:val="false"/>
          <w:color w:val="000000"/>
          <w:spacing w:val="-4"/>
          <w:sz w:val="18"/>
        </w:rPr>
        <w:t xml:space="preserve">From time to time after the effective date of this Registration Statement </w:t>
      </w:r>
    </w:p>
    <w:p>
      <w:pPr>
        <w:pStyle w:val="TextBody"/>
        <w:bidi w:val="0"/>
        <w:spacing w:lineRule="atLeast" w:line="180" w:before="22"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(Approximate date of commencement of proposed sale to the public)</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0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288" w:type="dxa"/>
        <w:jc w:val="left"/>
        <w:tblInd w:w="540" w:type="dxa"/>
        <w:tblLayout w:type="fixed"/>
        <w:tblCellMar>
          <w:top w:w="0" w:type="dxa"/>
          <w:left w:w="0" w:type="dxa"/>
          <w:bottom w:w="0" w:type="dxa"/>
          <w:right w:w="0" w:type="dxa"/>
        </w:tblCellMar>
      </w:tblPr>
      <w:tblGrid>
        <w:gridCol w:w="124"/>
        <w:gridCol w:w="2776"/>
        <w:gridCol w:w="109"/>
        <w:gridCol w:w="109"/>
        <w:gridCol w:w="301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52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6" w:type="dxa"/>
            <w:tcBorders/>
            <w:vAlign w:val="center"/>
          </w:tcPr>
          <w:p>
            <w:pPr>
              <w:pStyle w:val="TableContents"/>
              <w:bidi w:val="0"/>
              <w:spacing w:lineRule="atLeast" w:line="180" w:before="0" w:after="0"/>
              <w:ind w:left="2640" w:right="0" w:hanging="0"/>
              <w:jc w:val="left"/>
              <w:rPr>
                <w:spacing w:val="4"/>
              </w:rPr>
            </w:pPr>
            <w:r>
              <w:rPr>
                <w:spacing w:val="4"/>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16764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6764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3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152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6" w:type="dxa"/>
            <w:tcBorders/>
            <w:vAlign w:val="center"/>
          </w:tcPr>
          <w:p>
            <w:pPr>
              <w:pStyle w:val="TableContents"/>
              <w:bidi w:val="0"/>
              <w:spacing w:lineRule="atLeast" w:line="180" w:before="0" w:after="0"/>
              <w:ind w:left="2640" w:right="0" w:hanging="0"/>
              <w:jc w:val="left"/>
              <w:rPr>
                <w:spacing w:val="4"/>
              </w:rPr>
            </w:pPr>
            <w:r>
              <w:rPr>
                <w:spacing w:val="4"/>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6764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6764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3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016" w:type="dxa"/>
            <w:tcBorders/>
            <w:vAlign w:val="center"/>
          </w:tcPr>
          <w:p>
            <w:pPr>
              <w:pStyle w:val="TableContents"/>
              <w:bidi w:val="0"/>
              <w:spacing w:lineRule="atLeast" w:line="180" w:before="0" w:after="0"/>
              <w:ind w:left="2640" w:right="0" w:hanging="0"/>
              <w:jc w:val="left"/>
              <w:rPr/>
            </w:pPr>
            <w:r>
              <w:rPr>
                <w:spacing w:val="4"/>
              </w:rPr>
              <w:t>☐</w:t>
            </w:r>
            <w:r>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16764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6764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32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20"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Times;serif" w:hAnsi="Times New Roman;Times;serif"/>
          <w:b w:val="false"/>
          <w:i w:val="false"/>
          <w:caps w:val="false"/>
          <w:smallCaps w:val="false"/>
          <w:color w:val="000000"/>
          <w:sz w:val="18"/>
        </w:rPr>
        <w:t xml:space="preserve"> </w:t>
      </w:r>
    </w:p>
    <w:p>
      <w:pPr>
        <w:pStyle w:val="TextBody"/>
        <w:bidi w:val="0"/>
        <w:spacing w:before="7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filing this registration statement with the Securities and Exchange Commission, or the SEC, using an automatic “shelf” registration process to replace our prior registration statement on Form S-3 (File No. 333-285370), or the Prior Registration Statement. In accordance with Rule 415(a)(6) under the Securities Act of 1933, as amended, or the Securities Act, the offering of securities under the Prior Registration Statement will be deemed terminated as of the date of effectiveness of this registration statement, which became automatically effective upon filing.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contains: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prospectus, which covers the offering, issuance and sale by the registrant of an indeterminate amount of the registrant’s common stock, preferred stock, debt securities and/or warrants from time to time in one or more offerings; and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which covers the offering, issuance and sale by the registrant of up to a maximum aggregate offering price of $150,000,000 of the registrant’s common stock that may be issued and sold from time to time under a second amended and restated sales agreement with Leerink Partners LLC and Cantor Fitzgerald &amp; Co., as sales agents, dated August 6, 2026, or the Sales Agreement.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base prospectus immediately follows this explanatory note. The specific terms of any securities to be offered pursuant to the base prospectus other than the shares under the Sales Agreement will be specified in one or more prospectus supplement to the base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160" w:after="283"/>
        <w:jc w:val="center"/>
        <w:rPr>
          <w:caps w:val="false"/>
          <w:smallCaps w:val="false"/>
          <w:color w:val="000000"/>
        </w:rPr>
      </w:pPr>
      <w:r>
        <w:rPr>
          <w:caps w:val="false"/>
          <w:smallCaps w:val="false"/>
          <w:color w:val="000000"/>
        </w:rPr>
        <w:drawing>
          <wp:inline distT="0" distB="0" distL="0" distR="0">
            <wp:extent cx="1381125" cy="58102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381125" cy="5810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2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or selling securityholders may offer and sell any combination of shares of our common stock, shares of our preferred stock, debt securities and/or warrants to purchase any of such securities described in this prospectus in one or more offerings as described in this prospectus. We or selling securityholders may also offer securities as may be issuable upon conversion, redemption, repurchase, exchange or exercise of any securities registered hereunder, including any applicable anti-dilution provisions.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lineRule="atLeast" w:line="22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any securities unless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traded on the Nasdaq Global Select Market under the symbol “ACRS.” On August 5, 2026, the last reported sale price of our common stock was $6.36 per share. The applicable prospectus supplement will contain information, where applicable, as to any other listing on the Nasdaq Global Select Market or any securities market or other exchange of the securities, if any, covered by the prospectus supplement. </w:t>
      </w:r>
    </w:p>
    <w:p>
      <w:pPr>
        <w:pStyle w:val="TextBody"/>
        <w:bidi w:val="0"/>
        <w:spacing w:lineRule="atLeast" w:line="22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selling securityholders may sell these securities directly to investors, through agents designated from time to time or to or through underwriters or dealers, on a continuous or delayed basis.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Unless the applicable prospectus supplement provides otherwise, we will not receive any proceeds from the sale of securities by selling securityholders. For additional information on the methods of sale, you should refer to the section titled “Plan of Distribution” in this prospectus. </w:t>
      </w:r>
    </w:p>
    <w:p>
      <w:pPr>
        <w:pStyle w:val="TextBody"/>
        <w:bidi w:val="0"/>
        <w:spacing w:lineRule="atLeast" w:line="22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 are a “smaller reporting company” under the federal securities laws and, as such, are subject to reduced public company reporting requirements. See “Prospectus Summary — Implications of Being a Smaller Reporting Company.”</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184" w:after="283"/>
        <w:ind w:left="1393" w:right="0" w:firstLine="400"/>
        <w:jc w:val="left"/>
        <w:rPr/>
      </w:pPr>
      <w:r>
        <w:rPr>
          <w:rFonts w:ascii="Times New Roman;Times;serif" w:hAnsi="Times New Roman;Times;serif"/>
          <w:b/>
          <w:i/>
          <w:caps w:val="false"/>
          <w:smallCaps w:val="false"/>
          <w:color w:val="000000"/>
          <w:spacing w:val="-4"/>
          <w:sz w:val="20"/>
        </w:rPr>
        <w:t xml:space="preserve">Investing in our securities involves a high degree of risk. You should review carefully the risks and uncertainties described under the heading “Risk Factors” on page </w:t>
      </w:r>
      <w:hyperlink w:anchor="tRIFA">
        <w:r>
          <w:rPr>
            <w:rStyle w:val="InternetLink"/>
          </w:rPr>
          <w:t>5</w:t>
        </w:r>
      </w:hyperlink>
      <w:r>
        <w:rPr>
          <w:rFonts w:ascii="Times New Roman;Times;serif" w:hAnsi="Times New Roman;Times;serif"/>
          <w:b/>
          <w:i/>
          <w:caps w:val="false"/>
          <w:smallCaps w:val="false"/>
          <w:color w:val="000000"/>
          <w:spacing w:val="-4"/>
          <w:sz w:val="20"/>
        </w:rPr>
        <w:t xml:space="preserve"> of this prospectus and in any applicable prospectus supplement and related free writing prospectus, and under similar headings in the other documents that are incorporated by reference into this prospectus.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04"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6,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ii</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PRSU">
              <w:r>
                <w:rPr>
                  <w:rStyle w:val="InternetLink"/>
                  <w:spacing w:val="4"/>
                </w:rPr>
                <w:t>1</w:t>
              </w:r>
            </w:hyperlink>
            <w:hyperlink w:anchor="tPR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NRF">
              <w:r>
                <w:rPr>
                  <w:rStyle w:val="InternetLink"/>
                  <w:spacing w:val="4"/>
                </w:rPr>
                <w:t>6</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8</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DOCS">
              <w:r>
                <w:rPr>
                  <w:rStyle w:val="InternetLink"/>
                  <w:spacing w:val="4"/>
                </w:rPr>
                <w:t>9</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14</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DOW">
              <w:r>
                <w:rPr>
                  <w:rStyle w:val="InternetLink"/>
                  <w:spacing w:val="4"/>
                </w:rPr>
                <w:t>21</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LOOS">
              <w:r>
                <w:rPr>
                  <w:rStyle w:val="InternetLink"/>
                  <w:spacing w:val="4"/>
                </w:rPr>
                <w:t xml:space="preserve">LEGAL OWNERSHIP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LOOS">
              <w:r>
                <w:rPr>
                  <w:rStyle w:val="InternetLink"/>
                  <w:spacing w:val="4"/>
                </w:rPr>
                <w:t>23</w:t>
              </w:r>
            </w:hyperlink>
            <w:hyperlink w:anchor="tLO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SESE">
              <w:r>
                <w:rPr>
                  <w:rStyle w:val="InternetLink"/>
                  <w:spacing w:val="4"/>
                </w:rPr>
                <w:t>26</w:t>
              </w:r>
            </w:hyperlink>
            <w:hyperlink w:anchor="tSE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27</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LEMA">
              <w:r>
                <w:rPr>
                  <w:rStyle w:val="InternetLink"/>
                  <w:spacing w:val="4"/>
                </w:rPr>
                <w:t>29</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29</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WYCF">
              <w:r>
                <w:rPr>
                  <w:rStyle w:val="InternetLink"/>
                  <w:spacing w:val="4"/>
                </w:rPr>
                <w:t>29</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IOCI">
              <w:r>
                <w:rPr>
                  <w:rStyle w:val="InternetLink"/>
                  <w:spacing w:val="4"/>
                </w:rPr>
                <w:t>30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an automatic registration statement on Form S-3 that we filed with the U.S. Securities and Exchange Commission, or the SEC, utilizing a “shelf” registration process as a “well-known seasoned issuer,” as defined in Rule 405 under the Securities Act of 1933, as amended, or the Securities Act. Under this shelf registration process, we or selling securityholders may offer and sell, either individually or in combination, from time to time in one or more offerings, any combination of the securities described in this prospectus. No limit exists on the aggregate number or amount of securities we or selling securityholders may sell pursuant to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you with a general description of the securities we or selling securityholders may offer. Each time we or selling securityholders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selling securityholder,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mentioned or unless the context requires otherwise, all references in this prospectus to “Aclaris,” “company,” “we,” “us” and “our” or similar references refer to Aclaris Therapeutics, Inc. and its consolidated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U"/>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your investment decision</w:t>
      </w:r>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biopharmaceutical company focused on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Associated with 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is subject to numerous risks and uncertainties, including those highlighted in the section titled “Risk Factors” immediately following this prospectus summary and those described under similar headings in the documents incorporated by reference into this prospectus. These risks include: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incurred significant losses since our inception. We expect to incur losses over the next several years and may never achieve or maintain profitability. </w:t>
      </w:r>
      <w:r>
        <mc:AlternateContent>
          <mc:Choice Requires="wps">
            <w:drawing>
              <wp:anchor behindDoc="0" distT="8255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need substantial additional funding to meet our financial obligations and to pursue our business objectives. If we are unable to raise capital when needed, we could be forced to curtail our planned operations. </w:t>
      </w:r>
      <w:r>
        <mc:AlternateContent>
          <mc:Choice Requires="wps">
            <w:drawing>
              <wp:anchor behindDoc="0" distT="8255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limited history as a clinical-stage biopharmaceutical company developing and partnering our product candidates, which may make it difficult to evaluate the success of our business to date and to assess our future viability. </w:t>
      </w:r>
      <w:r>
        <mc:AlternateContent>
          <mc:Choice Requires="wps">
            <w:drawing>
              <wp:anchor behindDoc="0" distT="8255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successfully develop our product candidates and identify and consummate transactions with third-party partners to further develop, obtain marketing approval for and/or commercialize our product candidates, or experience significant delays in doing so, our business will be harmed. </w:t>
      </w:r>
      <w:r>
        <mc:AlternateContent>
          <mc:Choice Requires="wps">
            <w:drawing>
              <wp:anchor behindDoc="0" distT="8255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future success depends on our ability to retain key executives and to attract, retain and motivate qualified personnel. </w:t>
      </w:r>
      <w:r>
        <mc:AlternateContent>
          <mc:Choice Requires="wps">
            <w:drawing>
              <wp:anchor behindDoc="0" distT="8255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rely heavily on third parties for clinical trials, manufacturing, and development support. Their performance impacts our timelines and success. </w:t>
      </w:r>
      <w:r>
        <mc:AlternateContent>
          <mc:Choice Requires="wps">
            <w:drawing>
              <wp:anchor behindDoc="0" distT="8255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obtain and maintain patent protection for our product candidates, or if the scope of the patent protection obtained is not sufficiently broad, our competitors could develop and commercialize technology and drugs similar or identical to ours, and our ability to successfully identify and consummate transactions with potential third-party partners to commercialize our technology and product candidates may be impaired. </w:t>
      </w:r>
      <w:r>
        <mc:AlternateContent>
          <mc:Choice Requires="wps">
            <w:drawing>
              <wp:anchor behindDoc="0" distT="8255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face substantial competition, which may result in others discovering, developing or commercializing drugs before or more successfully than we do. </w:t>
      </w:r>
      <w:r>
        <mc:AlternateContent>
          <mc:Choice Requires="wps">
            <w:drawing>
              <wp:anchor behindDoc="0" distT="8255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60" w:after="283"/>
        <w:jc w:val="center"/>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under the laws of the State of Delaware in July 2012. Our principal executive offices are located at 701 Lee Road, Suite 103, Wayne, Pennsylvania 19087. Our telephone number is (484) 324-7933. Our common stock is listed on the Nasdaq Global Select Market under the symbol “ACRS.”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internet website address is www.aclaristx.com. We do not incorporate the information on or accessible through our website into this prospectus. The information contained on, or that can be accessed through, our website is not a part of this prospectus. We have included our website address in this prospectus solely as an inactive textual reference. </w:t>
      </w:r>
    </w:p>
    <w:p>
      <w:pPr>
        <w:pStyle w:val="TextBody"/>
        <w:bidi w:val="0"/>
        <w:spacing w:lineRule="atLeast" w:line="230" w:before="160" w:after="283"/>
        <w:ind w:left="1393" w:right="0" w:firstLine="40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Aclaris,” the Aclaris logo, KINect and our other trademarks or service marks appearing in this prospectus or incorporated herein by reference are our property. This prospectus and the information incorporated herein by reference contains additional trade names, trademarks and service marks of others, which are the property of their respective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To the extent we take advantage of any reduced disclosure obligations, it may make the comparison of our financial statements with other public companies difficult or impossible.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Securities That May Be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or selling securityholders may offer shares of our common stock and preferred stock, various series of debt securities and/or warrants to purchase any of such securities, from time to time in one or more offerings under this prospectus, together with any applicable prospectus supplement and any related free writing prospectus, at prices and on terms to be determined by market conditions at the time of the relevant offering. We or selling securityholders may also offer common stock, preferred stock and/or debt securities upon the exercise of warrants. This prospectus provides you with a general description of the securities we or selling securityholders may offer pursuant to the registration statement of which this prospectus is a part. Each time we or selling securityholders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designation or classification;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principal amount or aggregate offering price;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original issue discount;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rates and times of payment of interest or dividends;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redemption, conversion, exchange or sinking fund terms;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conversion or exchange prices or rates and any provisions for changes to or adjustments in the conversion or exchange prices or rates and in the securities or other property receivable upon conversion or exchange;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restrictive covenants;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or other rights; and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material U.S. federal income tax considerations.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or selling securityholders may sell the securities directly to investors or through underwriters, dealers or agents. We, any selling securityholders and our and their underwriters or agents reserve the right to accept or reject all or part of any proposed purchase of securities. If we or selling securityholders do offer securities through underwriters or agents, we will include in the applicable prospectus supplement: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names of those underwriters or agents; </w:t>
      </w:r>
      <w:r>
        <mc:AlternateContent>
          <mc:Choice Requires="wps">
            <w:drawing>
              <wp:anchor behindDoc="0" distT="7239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applicable fees, discounts and commissions to be paid to them; </w:t>
      </w:r>
      <w:r>
        <mc:AlternateContent>
          <mc:Choice Requires="wps">
            <w:drawing>
              <wp:anchor behindDoc="0" distT="7239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details regarding over-allotment options, if any; and </w:t>
      </w:r>
      <w:r>
        <mc:AlternateContent>
          <mc:Choice Requires="wps">
            <w:drawing>
              <wp:anchor behindDoc="0" distT="7239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estimated net proceeds to us. </w:t>
      </w:r>
      <w:r>
        <mc:AlternateContent>
          <mc:Choice Requires="wps">
            <w:drawing>
              <wp:anchor behindDoc="0" distT="7239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Stock</w:t>
      </w:r>
      <w:r>
        <w:rPr>
          <w:rFonts w:ascii="Times New Roman;Times;serif" w:hAnsi="Times New Roman;Times;serif"/>
          <w:b w:val="false"/>
          <w:i w:val="false"/>
          <w:caps w:val="false"/>
          <w:smallCaps w:val="false"/>
          <w:color w:val="000000"/>
          <w:spacing w:val="4"/>
          <w:sz w:val="20"/>
          <w:bdr w:val="single" w:sz="8" w:space="1" w:color="000000"/>
        </w:rPr>
        <w:t xml:space="preserve">.   We may issue shares of our common stock from time to time. The holders of our common stock are entitled to one vote for each share held of record on all matters submitted to a vote of stockholders and do not have cumulative voting rights. Subject to preferences that may be applicable to any outstanding shares of preferred stock, the holders of our common stock are entitled to receive ratably such dividends as may be declared by our board of directors out of legally available funds. Upon our liquidation, dissolution or winding up, holders of our common stock are entitled to share ratably in all assets remaining after payment of liabilities and the liquidation preferences of any then outstanding shares of preferred stock. Our common stock does not carry any preemptive rights enabling a holder to subscribe for, or receive shares of, any class of our common stock or any other securities convertible into shares of any class of our common stock, or any redemption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Preferred Stock</w:t>
      </w:r>
      <w:r>
        <w:rPr>
          <w:rFonts w:ascii="Times New Roman;Times;serif" w:hAnsi="Times New Roman;Times;serif"/>
          <w:b w:val="false"/>
          <w:i w:val="false"/>
          <w:caps w:val="false"/>
          <w:smallCaps w:val="false"/>
          <w:color w:val="000000"/>
          <w:spacing w:val="4"/>
          <w:sz w:val="20"/>
          <w:bdr w:val="single" w:sz="8" w:space="1" w:color="000000"/>
        </w:rPr>
        <w:t xml:space="preserve">.   We may issue shares of our preferred stock from time to time, in one or more series. Under our certificate of incorporation, our board of directors has the authority, without further action by the stockholders (unless such stockholder action is required by applicable law or the rules of any stock exchange or market on which our securities are then traded), to designate up to 10,000,000 shares of preferred stock in one or more series and to determine the designations, voting powers, preferences and rights of each series of the preferred stock, as well as the qualifications, limitations or restrictions thereof, including dividend rights, conversion rights, preemptive rights, terms of redemption or repurchase, liquidation preferences, sinking fund terms and the number of shares constituting any series or the designation of any series, any or all of which may be greater than the rights of the common stock. Any convertible preferred stock we may issue will be convertible into our common stock or exchangeable for our other securities. Conversion may be mandatory or at the holder’s option and would be at prescribed conversion rates.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sell any series of preferred stock under this prospectus, we will fix the designations, voting powers, preferences and rights of such series of preferred stock,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that we are offering before the issuance of the related series of preferred stock. We urge you to read the applicable prospectus supplement (and any free writing prospectus that we may authorize to be provided to you) related to the series of preferred stock being offered, as well as the complete certificate of designation that contains the terms of the applicable series of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Debt Securities</w:t>
      </w:r>
      <w:r>
        <w:rPr>
          <w:rFonts w:ascii="Times New Roman;Times;serif" w:hAnsi="Times New Roman;Times;serif"/>
          <w:b w:val="false"/>
          <w:i w:val="false"/>
          <w:caps w:val="false"/>
          <w:smallCaps w:val="false"/>
          <w:color w:val="000000"/>
          <w:spacing w:val="4"/>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stock or other securities. Conversion may be mandatory or at the holder’s option and would be at prescribed conversion rates.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Warrants</w:t>
      </w:r>
      <w:r>
        <w:rPr>
          <w:rFonts w:ascii="Times New Roman;Times;serif" w:hAnsi="Times New Roman;Times;serif"/>
          <w:b w:val="false"/>
          <w:i/>
          <w:caps w:val="false"/>
          <w:smallCaps w:val="false"/>
          <w:color w:val="000000"/>
          <w:spacing w:val="4"/>
          <w:sz w:val="20"/>
          <w:bdr w:val="single" w:sz="8" w:space="1" w:color="000000"/>
        </w:rPr>
        <w:t>.   </w:t>
      </w:r>
      <w:r>
        <w:rPr>
          <w:rFonts w:ascii="Times New Roman;Times;serif" w:hAnsi="Times New Roman;Times;serif"/>
          <w:b w:val="false"/>
          <w:i w:val="false"/>
          <w:caps w:val="false"/>
          <w:smallCaps w:val="false"/>
          <w:color w:val="000000"/>
          <w:spacing w:val="4"/>
          <w:sz w:val="20"/>
          <w:bdr w:val="single" w:sz="8" w:space="1" w:color="000000"/>
        </w:rPr>
        <w:t xml:space="preserve">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Selling Securityholders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Selling securityholders are persons or entities that, directly or indirectly, have acquired or will from time to time acquire from us, our securities. Information about selling securityholders, if any, will be set forth in a prospectus supplement. See the section titled “Selling Securityholders” in this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subsequent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statements in this prospectus, or incorporated herein, about our expectations, beliefs, plans, objectives, assumptions or future events or performance are not historical facts and are forward-looking statements within the meaning of Section 27A of the Securities Act of 1933, as amended, or the Securities Act, and Section 21E of the Securities Exchange Act of 1934, as amended, or the Exchange Act. Forward-looking statements in this prospectus include statements about: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our product candidates;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our planned clinical trials of our product candidates and the reporting of the results from these trials;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clinical utility of our product candidates and our expectations about their properties and therapeutic effects;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and expectations related to manufacturing capabilities and strategy;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coverage and reimbursement of our product candidates, if approved;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our regulatory filings and approvals for our product candidates;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identify and consummate transactions with third-party partners to further develop, obtain marketing approval for and/or commercialize our product candidates, and earn revenue from such arrangements;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competition;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growth potential of the markets for our product candidates;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continued reliance on third parties;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macroeconomic conditions on our business;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use of capital;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future revenue, expenses and needs for additional financing;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use of cash and other resources, including our expected use of proceeds from any offering under this prospectus, if any; and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listed under the caption “Risk Factors” in our most recent Annual Report on Form 10-K and other filings we make with the SEC.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foregoing list may not contain all of the forward-looking statements made in this prospectus and the documents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forward-looking statements reflect our management’s beliefs and views with respect to future events and are based on estimates and assumptions as of the date the statement is made and are subject to risks and uncertainties. In addition, statements that “we believe” and similar statements reflect our beliefs and opinions on the relevant subject. These statements are based upon information available to us as of the date the statement is made, and while we believe such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forms a reasonable basis for such statements, such information may be limited or incomplete, and our statements should not be read to indicate that we have conducted an exhaustive inquiry into, or review of, all potentially available relevant information.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law, we assume no obligation to update these forward-looking statements publicly, or to revise any forward-looking statements to reflect events or developments occurring after the date of this prospectus, even if new information becomes available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if any, primarily to fund the research and development of the product candidates in our pipeline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plan to invest these net proceeds in short-term, interest-bearing investments, investment-grade instruments, certificates of deposit or direct or guaranteed obligations of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the applicable prospectus supplement provides otherwise, we will not receive any proceeds from the sale of securities by selling securityholders.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C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 of our capital stock and provisions of our certificate of incorporation and bylaws and certain provisions of Delaware law are summaries. References to our certificate of incorporation herein refer to our certificate of incorporation as amended to the date of this prospectus. You should also refer to the certificate of incorporation (including the certificate of amendment thereto) and the bylaws, which are filed as exhibits to our most recent Annual Report on Form 10-K and are incorporated by reference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certificate of incorporation, we are authorized to issue up to 400,000,000 shares of common stock, $0.00001 par value per share, and 10,000,000 shares of preferred stock, $0.00001 par value per share, all of which shares of preferred stock are undesignated. Our board of directors may establish the rights and preferences of the preferred stock from time to time. As of June 30, 2026, we had outstanding 139,824,273 shares of common stock and no shares of preferred stock outstanding.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holder of common stock is entitled to one vote for each share on all matters submitted to a vote of the stockholders, including the election of directors. Under our certificate of incorporation and the bylaws, common stockholders do not have cumulative voting rights. Because of this, the holders of a majority of the shares of common stock entitled to vote in any election of directors can elect all of the directors standing for election, if they should so choose.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then-outstanding preferred stock, holders of common stock are entitled to receive ratably those dividends, if any, as may be declared from time to time by the board of directors out of legally available funds.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holders of common stock will be entitled to share ratably in the net assets legally available for distribution to stockholders after the payment of all debts and other liabilities and the satisfaction of any liquidation preference granted to the holders of any then-outstanding shares of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and Preferences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and to increase or decrease the number of shares of any such series, but not below the number of shares of such series then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without stockholder approval, can issue preferred stock with voting, conversion or other rights that could adversely affect the voting power and other rights of the holders of common stock. Preferred stock could be issued quickly with terms designed to delay or prevent a change in control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or make removal of management more difficult. Additionally,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fix the designations, voting powers, preferences and rights of each series, as well as the qualifications, limitations or restrictions thereof, of the preferred stock of each series that we offer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stated value;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we are offering;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per share;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per share;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per share, dividend period and payment dates and method of calculation for dividends;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 from which dividends will accumulate;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of dividends and the maximum length of any such deferral period;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any auction and remarketing, if any;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a sinking fund, if any;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or repurchase, if applicable, and any restrictions on our ability to exercise those redemption and repurchase rights;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stock on any securities exchange or market;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convertible into our common stock or other securities of ours, including depositary shares and warrants, and, if applicable, the conversion period, the conversion price, or how it will be calculated, and under what circumstances it may be adjusted;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stock will be exchangeable into debt securities, and, if applicable, the exchange period, the exchange price, or how it will be calculated, and under what circumstances it may be adjusted; </w:t>
      </w:r>
      <w:r>
        <mc:AlternateContent>
          <mc:Choice Requires="wps">
            <w:drawing>
              <wp:anchor behindDoc="0" distT="7366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if any, of the preferred stock; </w:t>
      </w:r>
      <w:r>
        <mc:AlternateContent>
          <mc:Choice Requires="wps">
            <w:drawing>
              <wp:anchor behindDoc="0" distT="7366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preemption rights, if any;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transfer, sale or other assignments, if any;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interests in the preferred stock will be represented by depositary shares;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or special U.S. federal income tax considerations applicable to the preferred stock;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stock as to dividend rights and rights if we liquidate, dissolve or wind up our affairs;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issuances of any class or series of preferred stock ranking senior to or on a parity with the series of preferred stock being issued as to dividend rights and rights if we liquidate, dissolve or wind up our affairs; and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rights, preferences, privileges, qualifications or restrictions of the preferred stock.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Corporation Law of the State of Delaware,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Section 203 of the DGCL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Section 203 of the General Corporation Law of the State of Delaware, or the DGCL, which prohibits a Delaware corporation from engaging in any business combination with any interested stockholder for a period of three years after the date that such stockholder became an interested stockholder, with the following exceptions: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such date, the board of directors of the corporation approved either the business combination or the transaction that resulted in the stockholder becoming an interested stockholder;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or after such date, the business combination is approved by the board of directors and authorized at an annual or special meeting of the stockholders, and not by written consent, by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a “business combination” to include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transfer, pledge or other disposition of 10% or more of the assets of the corporation involving the interested stockholder;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exceptions, any transaction that results in the issuance or transfer by the corporation of any stock of the corporation to the interested stockholder;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transaction involving the corporation that has the effect of increasing the proportionate share of the stock or any class or series of the corporation beneficially owned by the interested stockholder; or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by the interested stockholder of the benefit of any loans, advances, guarantees, pledges or other financial benefits by or through the corporation.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Certificate of Incorporation and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certificate of incorporation provides for our board of directors to be divided into three classes with staggered three-year terms. Only one class of directors is elected at each annual meeting of stockholders, with the other classes continuing for the remainder of their respective three-year terms. Because our stockholders do not have cumulative voting rights, stockholders holding a majority of the shares of common stock outstanding are able to elect all of our directors. The certificate of incorporation and bylaws also provide that directors may be removed by the stockholders only for cause upon the vote of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or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and bylaws also provide that all stockholder actions must be effected at a duly called meeting of stockholders and stockholders cannot act by written consent without a meeting. The bylaws also provide that only the chairman of the board, chief executive officer or the board of directors pursuant to a resolution adopted by a majority of the total number of authorized directors may call a special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certificate of incorporation and bylaws provide that the stockholders cannot amend many of the provisions described above except by a vote of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or more of outstanding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combination of these provisions make it more difficult for our existing stockholders to replace the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of the company or to our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the company, outweigh the disadvantages of discouraging takeover proposals, because negotiation of takeover proposals could result in an improvement of their terms.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Choice of Forum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certificate of incorporation or bylaws or (iv) any action asserting a claim governed by the internal affairs doctrine. However, this exclusive forum provision would not apply to suits brought to enforce a duty or liability created by the Securities Act or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bylaws provide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and that any person or entity purchasing or otherwise acquiring or holding any interest in shares of our capital stock shall be deemed to have notice of and consented to the federal forum selection provision.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80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Broadridge Corporate Issuer Solutions, Inc. The transfer agent’s address is 1717 Arch Street, Suite 1300, Philadelphia, Pennsylvania 19103.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on the Nasdaq Global Select Market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“ACRS.”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D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the series of debt securities being offered,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debt securities;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that may be issued;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debt securities of the series;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of any guarantees;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debt securities will be secured or unsecured, and the terms of any secured debt;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rank as senior debt, senior subordinated debt, subordinated debt or any combination thereof, and the terms of any subordination;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r>
        <mc:AlternateContent>
          <mc:Choice Requires="wps">
            <w:drawing>
              <wp:anchor behindDoc="0" distT="7493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r>
        <mc:AlternateContent>
          <mc:Choice Requires="wps">
            <w:drawing>
              <wp:anchor behindDoc="0" distT="0" distB="0" distL="254000" distR="0" simplePos="0" locked="0" layoutInCell="1" allowOverlap="1" relativeHeight="93">
                <wp:simplePos x="0" y="0"/>
                <wp:positionH relativeFrom="column">
                  <wp:align>left</wp:align>
                </wp:positionH>
                <wp:positionV relativeFrom="line">
                  <wp:posOffset>635</wp:posOffset>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of interest and the maximum length of any such deferral period; </w:t>
      </w:r>
      <w:r>
        <mc:AlternateContent>
          <mc:Choice Requires="wps">
            <w:drawing>
              <wp:anchor behindDoc="0" distT="8001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r>
        <mc:AlternateContent>
          <mc:Choice Requires="wps">
            <w:drawing>
              <wp:anchor behindDoc="0" distT="8001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r>
        <mc:AlternateContent>
          <mc:Choice Requires="wps">
            <w:drawing>
              <wp:anchor behindDoc="0" distT="8001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we will issue the series of debt securities, if other than denominations of $1,000 and any integral multiple thereof; </w:t>
      </w:r>
      <w:r>
        <mc:AlternateContent>
          <mc:Choice Requires="wps">
            <w:drawing>
              <wp:anchor behindDoc="0" distT="8001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r>
        <mc:AlternateContent>
          <mc:Choice Requires="wps">
            <w:drawing>
              <wp:anchor behindDoc="0" distT="8001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r>
        <mc:AlternateContent>
          <mc:Choice Requires="wps">
            <w:drawing>
              <wp:anchor behindDoc="0" distT="8001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r>
        <mc:AlternateContent>
          <mc:Choice Requires="wps">
            <w:drawing>
              <wp:anchor behindDoc="0" distT="7874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full principal amount thereof, the portion of the principal amount of debt securities of the series which shall be payable upon declaration of acceleration of the maturity thereof;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covenants applicable to the particular debt securities being issued, including, among others, the consolidation, merger or sale covenant;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or deletions of the provisions relating to covenant defeasance and legal defeasance; </w:t>
      </w:r>
      <w:r>
        <mc:AlternateContent>
          <mc:Choice Requires="wps">
            <w:drawing>
              <wp:anchor behindDoc="0" distT="7874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provisions relating to satisfaction and discharge of the indenture; </w:t>
      </w:r>
      <w:r>
        <mc:AlternateContent>
          <mc:Choice Requires="wps">
            <w:drawing>
              <wp:anchor behindDoc="0" distT="7874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provisions relating to the modification of the indenture both with and without the consent of holders of debt securities issued under the indenture; </w:t>
      </w:r>
      <w:r>
        <mc:AlternateContent>
          <mc:Choice Requires="wps">
            <w:drawing>
              <wp:anchor behindDoc="0" distT="7874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payment of debt securities if other than U.S. dollars and the manner of determining the equivalent amount in U.S. dollars; </w:t>
      </w:r>
      <w:r>
        <mc:AlternateContent>
          <mc:Choice Requires="wps">
            <w:drawing>
              <wp:anchor behindDoc="0" distT="7874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 will be payable in cash or additional debt securities at our or the holders’ option and the terms and conditions upon which the election may be made; </w:t>
      </w:r>
      <w:r>
        <mc:AlternateContent>
          <mc:Choice Requires="wps">
            <w:drawing>
              <wp:anchor behindDoc="0" distT="787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r>
        <mc:AlternateContent>
          <mc:Choice Requires="wps">
            <w:drawing>
              <wp:anchor behindDoc="0" distT="8001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on transfer, sale or assignment of the debt securities of the series; and </w:t>
      </w:r>
      <w:r>
        <mc:AlternateContent>
          <mc:Choice Requires="wps">
            <w:drawing>
              <wp:anchor behindDoc="0" distT="8001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r>
        <mc:AlternateContent>
          <mc:Choice Requires="wps">
            <w:drawing>
              <wp:anchor behindDoc="0" distT="0" distB="0" distL="254000" distR="0" simplePos="0" locked="0" layoutInCell="1" allowOverlap="1" relativeHeight="111">
                <wp:simplePos x="0" y="0"/>
                <wp:positionH relativeFrom="column">
                  <wp:align>left</wp:align>
                </wp:positionH>
                <wp:positionV relativeFrom="line">
                  <wp:posOffset>635</wp:posOffset>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or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under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r>
        <mc:AlternateContent>
          <mc:Choice Requires="wps">
            <w:drawing>
              <wp:anchor behindDoc="0" distT="7620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r>
        <mc:AlternateContent>
          <mc:Choice Requires="wps">
            <w:drawing>
              <wp:anchor behindDoc="0" distT="7620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r>
        <mc:AlternateContent>
          <mc:Choice Requires="wps">
            <w:drawing>
              <wp:anchor behindDoc="0" distT="7620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specified events of bankruptcy, insolvency or reorganization occur. </w:t>
      </w:r>
      <w:r>
        <mc:AlternateContent>
          <mc:Choice Requires="wps">
            <w:drawing>
              <wp:anchor behindDoc="0" distT="7620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 affected series may waive any default or event of default with respect to the series and its consequences, except defaults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direction so given by the holder is not in conflict with any law or the applicable indenture; and </w:t>
      </w:r>
      <w:r>
        <mc:AlternateContent>
          <mc:Choice Requires="wps">
            <w:drawing>
              <wp:anchor behindDoc="0" distT="723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its duties under the Trust Indenture Act, the trustee need not take any action that might involve it in personal liability or might be unduly prejudicial to the holders not involved in the proceeding.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the debt securities of any series will have the right to institute a proceeding under the indenture or to appoint a receiver or trustee, or to seek other remedies only if: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has given written notice to the trustee of a continuing event of default with respect to that series;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written request, </w:t>
      </w:r>
      <w:r>
        <mc:AlternateContent>
          <mc:Choice Requires="wps">
            <w:drawing>
              <wp:anchor behindDoc="0" distT="7239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holders have offered to the trustee indemnity satisfactory to it against the costs, expenses and liabilities to be incurred by the trustee in compliance with the request; and </w:t>
      </w:r>
      <w:r>
        <mc:AlternateContent>
          <mc:Choice Requires="wps">
            <w:drawing>
              <wp:anchor behindDoc="0" distT="7239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r>
        <mc:AlternateContent>
          <mc:Choice Requires="wps">
            <w:drawing>
              <wp:anchor behindDoc="0" distT="7239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do not apply to a suit instituted by a holder of debt securities if we default in the payment of the principal, premium, if any, or interest on,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periodically file statements with the trustee regarding our compliance with specified covenants in the indenture.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change an indenture without the consent of any holders with respect to specific matters: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or in the debt securities of any series;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provisions described above under “Description of Debt Securities — Consolidation, Merger or Sale;”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debt securities in addition to or in place of certificated debt securities;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delete from or revise the conditions, limitations, and restrictions on the authorized amount, terms, or purposes of issue, authentication and delivery of debt securities, as set forth in the indenture; </w:t>
      </w:r>
      <w:r>
        <mc:AlternateContent>
          <mc:Choice Requires="wps">
            <w:drawing>
              <wp:anchor behindDoc="0" distT="7366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interests of any holder of debt securities of any series in any material respect;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 </w:t>
      </w:r>
      <w:r>
        <mc:AlternateContent>
          <mc:Choice Requires="wps">
            <w:drawing>
              <wp:anchor behindDoc="0" distT="0" distB="0" distL="254000" distR="0" simplePos="0" locked="0" layoutInCell="1" allowOverlap="1" relativeHeight="128">
                <wp:simplePos x="0" y="0"/>
                <wp:positionH relativeFrom="column">
                  <wp:align>left</wp:align>
                </wp:positionH>
                <wp:positionV relativeFrom="line">
                  <wp:posOffset>635</wp:posOffset>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under any indenture by a successor trustee; or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any requirements of the SEC in connection with the qualification of any indenture under the Trust Indenture Act.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extending the fixed maturity of any debt securities of any series;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principal amount, reducing the rate of or extending the time of payment of interest, or reducing any premium payable upon the redemption of any series of any debt securities; or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percentage of debt securities, the holders of which are required to consent to any amendment, supplement, modification or waiver.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payment; </w:t>
      </w:r>
      <w:r>
        <mc:AlternateContent>
          <mc:Choice Requires="wps">
            <w:drawing>
              <wp:anchor behindDoc="0" distT="7239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or exchange of debt securities of the series;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replace stolen, lost or mutilated debt securities of the series;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principal of and premium and interest on any debt securities of the series; </w:t>
      </w:r>
      <w:r>
        <mc:AlternateContent>
          <mc:Choice Requires="wps">
            <w:drawing>
              <wp:anchor behindDoc="0" distT="7239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paying agencies; </w:t>
      </w:r>
      <w:r>
        <mc:AlternateContent>
          <mc:Choice Requires="wps">
            <w:drawing>
              <wp:anchor behindDoc="0" distT="7239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monies for payment in trust; </w:t>
      </w:r>
      <w:r>
        <mc:AlternateContent>
          <mc:Choice Requires="wps">
            <w:drawing>
              <wp:anchor behindDoc="0" distT="7239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recover excess money held by the trustee; </w:t>
      </w:r>
      <w:r>
        <mc:AlternateContent>
          <mc:Choice Requires="wps">
            <w:drawing>
              <wp:anchor behindDoc="0" distT="7239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compensate and indemnify the trustee; and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 any successor trustee.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option of the holder, subject to the terms of the indenture and the limitations applicable to global securities described in the applicable prospectus supplement, the holder of the debt securities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can exchange the debt securities for other debt securities of the same series, in any authorized denomination and of like tenor and aggregate principal amount.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the debt securities of any series, we will not be required to: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r>
        <mc:AlternateContent>
          <mc:Choice Requires="wps">
            <w:drawing>
              <wp:anchor behindDoc="0" distT="8255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securities so selected for redemption, in whole or in part, except the unredeemed portion of any debt securities we are redeeming in part. </w:t>
      </w:r>
      <w:r>
        <mc:AlternateContent>
          <mc:Choice Requires="wps">
            <w:drawing>
              <wp:anchor behindDoc="0" distT="8255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lineRule="atLeast" w:line="240" w:before="24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W"/>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common stock, preferred stock or debt securities and may be issued in one or more series. Warrants may be offered independently or in combination with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may offer under this prospectus. We urge you to read the applicable prospectus supplement related to the particular series of warrants that we may offer under this prospectus, as well as any related free writing prospectus, and the complete form of warrant and/or the warrant agreement and warrant certificate, as applicable, and any supplemental agreements, that contain the terms of the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the series of warrants being offered,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and aggregate number of warrants offered;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for which the warrants may be purchased;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the warrants are issued and the number of warrants issued with each such security or each principal amount of such security;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principal amount of debt securities purchasable upon exercise of one warrant and the price at, and currency in which, this principal amount of debt securities may be purchased upon such exercise;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stock or preferred stock, the number of shares of common stock or preferred stock, as the case may be, purchasable upon the exercise of one warrant and the price at which these shares may be purchased upon such exercise;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merger, consolidation, sale or other disposition of our business on the warrant agreements and the warrants;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changes to or adjustments in the exercise price or number of securities issuable upon exercise of the warrants; </w:t>
      </w:r>
      <w:r>
        <mc:AlternateContent>
          <mc:Choice Requires="wps">
            <w:drawing>
              <wp:anchor behindDoc="0" distT="7620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right to exercise the warrants will commence and expire;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warrant agreements and warrants may be modified;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or special U.S. federal income tax considerations of holding or exercising the warrants;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52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issuable upon exercise of the warrants; and </w:t>
      </w:r>
      <w:r>
        <mc:AlternateContent>
          <mc:Choice Requires="wps">
            <w:drawing>
              <wp:anchor behindDoc="0" distT="0" distB="0" distL="254000" distR="0" simplePos="0" locked="0" layoutInCell="1" allowOverlap="1" relativeHeight="156">
                <wp:simplePos x="0" y="0"/>
                <wp:positionH relativeFrom="column">
                  <wp:align>left</wp:align>
                </wp:positionH>
                <wp:positionV relativeFrom="line">
                  <wp:posOffset>635</wp:posOffset>
                </wp:positionV>
                <wp:extent cx="127000" cy="350520"/>
                <wp:effectExtent l="0" t="0" r="0" b="0"/>
                <wp:wrapSquare wrapText="right"/>
                <wp:docPr id="148"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warrants.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9"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exercising their warrants, holders of warrants will not have any of the rights of holders of the securities purchasable upon such exercise,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right to receive payments of principal of, or premium, if any, or interest on, the debt securities purchasable upon exercise or to enforce covenants in the applicable indenture; or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stock or preferred stock, the right to receive dividends, if any, or, payments upon our liquidation, dissolution or winding up or to exercise voting rights, if any.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specify in the applicable prospectus supplement, the warrants and any warrant agreements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Rights by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OO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OWNERSHIP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Street Name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once we make a payment or give a notice to the legal holder, we have no further responsibility for the payment or notice even if that legal holder is required, under agreements with its participants or customers or by law, to pass it along to the indirect holders but does not do so. Similarly, we may want to obtain the approval of the holders to amend an indenture, to relieve us of the consequences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Indirect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handles securities payments and notices; </w:t>
      </w:r>
      <w:r>
        <mc:AlternateContent>
          <mc:Choice Requires="wps">
            <w:drawing>
              <wp:anchor behindDoc="0" distT="6985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imposes fees or charges; </w:t>
      </w:r>
      <w:r>
        <mc:AlternateContent>
          <mc:Choice Requires="wps">
            <w:drawing>
              <wp:anchor behindDoc="0" distT="6985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handle a request for the holders’ consent, if ever required; </w:t>
      </w:r>
      <w:r>
        <mc:AlternateContent>
          <mc:Choice Requires="wps">
            <w:drawing>
              <wp:anchor behindDoc="0" distT="6985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send you securities registered in your own name so you can be a holder, if that is permitted in the future; </w:t>
      </w:r>
      <w:r>
        <mc:AlternateContent>
          <mc:Choice Requires="wps">
            <w:drawing>
              <wp:anchor behindDoc="0" distT="6985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exercise rights under the securities if there were a default or other event triggering the need for holders to act to protect their interests; and </w:t>
      </w:r>
      <w:r>
        <mc:AlternateContent>
          <mc:Choice Requires="wps">
            <w:drawing>
              <wp:anchor behindDoc="0" distT="6985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in book-entry form, how the depositary’s rules and procedures will affect these matters. </w:t>
      </w:r>
      <w:r>
        <mc:AlternateContent>
          <mc:Choice Requires="wps">
            <w:drawing>
              <wp:anchor behindDoc="0" distT="6985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is a security that represents one or any other number of individual securities held by a depositary. Generally, all securities represented by the same global security will have the same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securities are issued only as global securities, an investor should be aware of the following: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cannot cause the securities to be registered in his or her name, and cannot obtain non-global certificates for his or her interest in the securities, except in the special situations we describe below; </w:t>
      </w:r>
      <w:r>
        <mc:AlternateContent>
          <mc:Choice Requires="wps">
            <w:drawing>
              <wp:anchor behindDoc="0" distT="6985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will be an indirect holder and must look to his or her own bank or broker for payments on the securities and protection of his or her legal rights relating to the securities, as we describe above; </w:t>
      </w:r>
      <w:r>
        <mc:AlternateContent>
          <mc:Choice Requires="wps">
            <w:drawing>
              <wp:anchor behindDoc="0" distT="0" distB="0" distL="254000" distR="0" simplePos="0" locked="0" layoutInCell="1" allowOverlap="1" relativeHeight="167">
                <wp:simplePos x="0" y="0"/>
                <wp:positionH relativeFrom="column">
                  <wp:align>left</wp:align>
                </wp:positionH>
                <wp:positionV relativeFrom="line">
                  <wp:posOffset>635</wp:posOffset>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sell interests in the securities to some insurance companies and to other institutions that are required by law to own their securities in non-book-entry form;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policies, which may change from time to time, will govern payments, transfers, exchanges and other matters relating to an investor’s interest in the global security;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applicable trustee have no responsibility for any aspect of the depositary’s actions or for its records of ownership interests in the global security, nor will we or any applicable trustee supervise the depositary in any way;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may be more than one financial intermediary in the chain of ownership for an investor. We do not monitor and are not responsible for the actions of any of those intermediaries.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Situations When a Global Security Will Be Terminated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applicable prospectus supplement, a global security will terminate when the following special situations occur: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notifies us that it is unwilling, unable or no longer qualified to continue as depositary for that global security and we do not appoint another institution to act as depositary within 90 days;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notify any applicable trustee that we wish to terminate that global security; or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with regard to securities represented by that global security and has not been cured or waived.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ESE"/>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 in a post-effective amendment or in filings we make with the SEC under the Exchange Act that are incorporated by reference.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O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selling securityholders may sell the securities covered hereby from time to time pursuant to underwritten public offerings, direct sales to the public, negotiated transactions, block trades or a combination of these methods. A distribution of these securities offered by this prospectus may also be effected through the issuance of derivative securities, including without limitation, warrants. We or selling securityholders may sell the securities to or through underwriters or dealers, through agents, or directly to one or more purchasers. We or selling securityholders may distribute securities from time to time in one or more transactions: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747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747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747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747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Select Market or any other securities exchange or quotation or trading service on which such securities may be listed, quoted or traded at the time of sale. Such at the market offerings, if any, may be conducted by underwriters acting as principal or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dealers or agents;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of securities underwritten or purchased by each of them;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selling securityholders;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and the proceeds we will receive from the sale;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over-allotment options under which underwriters may purchase additional securities from us;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agency fees or underwriting discounts and other items constituting agents’ or underwriters’ compensation;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market on which the securities may be listed.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underwriters named in the prospectus supplement are underwriters of the securities offered by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or selling securityholders may use underwriters with whom we have a material relationship. We will describe in the prospectus supplement, naming the underwriter, the nature of any such relationship.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6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or selling securityholders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may engage in overallotment, stabilizing transactions, short covering transactions and penalty bids in accordance with Rule 103 of Regulation M under the Exchange Act. Overallotment involves sales in excess of the offering size, which create a short position. Stabilizing transactions permit bids to purchase the underlying security so long as the stabilizing bids do not exceed a specified maximum price.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or agents who are qualified market makers on the Nasdaq Global Select Market may engage in passive market making transactions in the securities on the Nasdaq Global Select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EMA"/>
      <w:bookmarkEnd w:id="14"/>
      <w:r>
        <w:rPr>
          <w:rFonts w:ascii="calibri;arial;sans-serif" w:hAnsi="calibri;arial;sans-serif"/>
          <w:b w:val="false"/>
          <w:i w:val="false"/>
          <w:caps w:val="false"/>
          <w:smallCaps w:val="false"/>
          <w:color w:val="000000"/>
          <w:sz w:val="16"/>
        </w:rPr>
        <w:t>​</w:t>
      </w:r>
      <w:bookmarkStart w:id="15" w:name="tEXP"/>
      <w:bookmarkEnd w:id="15"/>
      <w:r>
        <w:rPr>
          <w:rFonts w:ascii="calibri;arial;sans-serif" w:hAnsi="calibri;arial;sans-serif"/>
          <w:b w:val="false"/>
          <w:i w:val="false"/>
          <w:caps w:val="false"/>
          <w:smallCaps w:val="false"/>
          <w:color w:val="000000"/>
          <w:sz w:val="16"/>
        </w:rPr>
        <w:t>​</w:t>
      </w:r>
      <w:bookmarkStart w:id="16" w:name="t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certain legal matters in connection with the offering and the validity of the securities offered by this prospectus, and any supplement thereto, will be passed upon by Cooley LLP, Reston, Virginia.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incorporated in this prospectus by reference to the </w:t>
      </w:r>
      <w:hyperlink r:id="rId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selling securityholder, agent, underwriter or dealer has authorized any person to provide you with different information than the information contained in or incorporated by reference in this prospectus.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that contains reports, proxy and information statements, and other information regarding issuers, such as us, that file electronically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Copies of certain information filed by us with the SEC are also available on our website at </w:t>
      </w:r>
      <w:r>
        <w:rPr>
          <w:rFonts w:ascii="Times New Roman;Times;serif" w:hAnsi="Times New Roman;Times;serif"/>
          <w:b w:val="false"/>
          <w:i/>
          <w:caps w:val="false"/>
          <w:smallCaps w:val="false"/>
          <w:color w:val="000000"/>
          <w:spacing w:val="4"/>
          <w:sz w:val="20"/>
        </w:rPr>
        <w:t>www.aclaristx.com</w:t>
      </w:r>
      <w:r>
        <w:rPr>
          <w:rFonts w:ascii="Times New Roman;Times;serif" w:hAnsi="Times New Roman;Times;serif"/>
          <w:b w:val="false"/>
          <w:i w:val="false"/>
          <w:caps w:val="false"/>
          <w:smallCaps w:val="false"/>
          <w:color w:val="000000"/>
          <w:spacing w:val="4"/>
          <w:sz w:val="20"/>
        </w:rPr>
        <w:t xml:space="preserve">. Information contained in or accessible through our website does not constitute a part of this prospectus and is not incorporated by reference in this prospectus. We have included our website address as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IOCI"/>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001-37581. The documents incorporated by reference into this prospectus contain important information that you should read about us.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documents are incorporated by reference into this document: </w:t>
      </w:r>
    </w:p>
    <w:p>
      <w:pPr>
        <w:pStyle w:val="TextBody"/>
        <w:bidi w:val="0"/>
        <w:spacing w:lineRule="atLeast" w:line="240" w:before="120" w:after="0"/>
        <w:ind w:left="1993" w:right="0" w:hanging="0"/>
        <w:jc w:val="left"/>
        <w:rPr/>
      </w:pPr>
      <w:hyperlink r:id="rId4">
        <w:r>
          <w:rPr>
            <w:rStyle w:val="InternetLink"/>
          </w:rPr>
          <w:t>our Annual Report on Form 10-K for the fiscal year ended December 31, 2025,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fiscal quarters ended March 31, 2026 and June 30, 2026 filed with the SEC on </w:t>
      </w:r>
      <w:hyperlink r:id="rId5">
        <w:r>
          <w:rPr>
            <w:rStyle w:val="InternetLink"/>
          </w:rPr>
          <w:t>May 7, 2026</w:t>
        </w:r>
      </w:hyperlink>
      <w:r>
        <w:rPr>
          <w:rFonts w:ascii="Times New Roman;Times;serif" w:hAnsi="Times New Roman;Times;serif"/>
          <w:b w:val="false"/>
          <w:i w:val="false"/>
          <w:caps w:val="false"/>
          <w:smallCaps w:val="false"/>
          <w:color w:val="000000"/>
          <w:spacing w:val="4"/>
          <w:sz w:val="20"/>
        </w:rPr>
        <w:t xml:space="preserve"> and </w:t>
      </w:r>
      <w:hyperlink r:id="rId6">
        <w:r>
          <w:rPr>
            <w:rStyle w:val="InternetLink"/>
          </w:rPr>
          <w:t>August 6,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7">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April 28, 2026</w:t>
        </w:r>
      </w:hyperlink>
      <w:r>
        <w:rPr>
          <w:rFonts w:ascii="Times New Roman;Times;serif" w:hAnsi="Times New Roman;Times;serif"/>
          <w:b w:val="false"/>
          <w:i w:val="false"/>
          <w:caps w:val="false"/>
          <w:smallCaps w:val="false"/>
          <w:color w:val="000000"/>
          <w:spacing w:val="4"/>
          <w:sz w:val="20"/>
        </w:rPr>
        <w:t xml:space="preserve">, and </w:t>
      </w:r>
      <w:hyperlink r:id="rId9">
        <w:r>
          <w:rPr>
            <w:rStyle w:val="InternetLink"/>
          </w:rPr>
          <w:t>June 4, 2026</w:t>
        </w:r>
      </w:hyperlink>
      <w:r>
        <w:rPr>
          <w:rFonts w:ascii="Times New Roman;Times;serif" w:hAnsi="Times New Roman;Times;serif"/>
          <w:b w:val="false"/>
          <w:i w:val="false"/>
          <w:caps w:val="false"/>
          <w:smallCaps w:val="false"/>
          <w:color w:val="000000"/>
          <w:spacing w:val="4"/>
          <w:sz w:val="20"/>
        </w:rPr>
        <w:t xml:space="preserve">, to the extent the information in such reports is filed and not furnished; and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10">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filed with the SEC on February 26, 2026, and any amendment or report filed with the SEC for the purpose of updating such description.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Aclaris Therapeutics Inc., Attn: Matthew Rothman, General Counsel and Corporate Secretary, 701 Lee Road, Suite 103, Wayne, Pennsylvania 19087; telephone: (484) 324-7933.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95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Common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Preferred Stock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Debt Securities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before="1240" w:after="283"/>
        <w:jc w:val="center"/>
        <w:rPr>
          <w:caps w:val="false"/>
          <w:smallCaps w:val="false"/>
          <w:color w:val="000000"/>
        </w:rPr>
      </w:pPr>
      <w:r>
        <w:rPr>
          <w:caps w:val="false"/>
          <w:smallCaps w:val="false"/>
          <w:color w:val="000000"/>
        </w:rPr>
        <w:drawing>
          <wp:inline distT="0" distB="0" distL="0" distR="0">
            <wp:extent cx="2295525" cy="962025"/>
            <wp:effectExtent l="0" t="0" r="0" b="0"/>
            <wp:docPr id="18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2" descr=""/>
                    <pic:cNvPicPr>
                      <a:picLocks noChangeAspect="1" noChangeArrowheads="1"/>
                    </pic:cNvPicPr>
                  </pic:nvPicPr>
                  <pic:blipFill>
                    <a:blip r:embed="rId11"/>
                    <a:stretch>
                      <a:fillRect/>
                    </a:stretch>
                  </pic:blipFill>
                  <pic:spPr bwMode="auto">
                    <a:xfrm>
                      <a:off x="0" y="0"/>
                      <a:ext cx="2295525" cy="962025"/>
                    </a:xfrm>
                    <a:prstGeom prst="rect">
                      <a:avLst/>
                    </a:prstGeom>
                  </pic:spPr>
                </pic:pic>
              </a:graphicData>
            </a:graphic>
          </wp:inline>
        </w:drawing>
      </w:r>
      <w:r>
        <w:rPr>
          <w:caps w:val="false"/>
          <w:smallCaps w:val="false"/>
          <w:color w:val="000000"/>
        </w:rPr>
        <w:t xml:space="preserve"> </w:t>
      </w:r>
    </w:p>
    <w:p>
      <w:pPr>
        <w:pStyle w:val="TextBody"/>
        <w:bidi w:val="0"/>
        <w:spacing w:before="1302"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1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9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6,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97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8"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295525" cy="962025"/>
            <wp:effectExtent l="0" t="0" r="0" b="0"/>
            <wp:docPr id="18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3" descr=""/>
                    <pic:cNvPicPr>
                      <a:picLocks noChangeAspect="1" noChangeArrowheads="1"/>
                    </pic:cNvPicPr>
                  </pic:nvPicPr>
                  <pic:blipFill>
                    <a:blip r:embed="rId12"/>
                    <a:stretch>
                      <a:fillRect/>
                    </a:stretch>
                  </pic:blipFill>
                  <pic:spPr bwMode="auto">
                    <a:xfrm>
                      <a:off x="0" y="0"/>
                      <a:ext cx="2295525" cy="9620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$150,000,000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a second amended and restated sales agreement, dated as of August 6, 2026, or the Sales Agreement, with Leerink Partners LLC and Cantor Fitzgerald &amp; Co., or the Sales Agents, relating to shares of our common stock, $0.00001 par value per share, offered by this prospectus. Pursuant to this prospectus, we may offer and sell shares of our common stock having an aggregate offering price of up to $150,000,000 from time to time through the Sales Agents acting as sales agents in accordance with the terms of the Sales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traded on the Nasdaq Global Select Market, or the Exchange, under the symbol “ACRS.” On August 5, 2026, the last reported sale price of our common stock was $6.36 per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common stock, if any, under this prospectus may be made in sales deemed to be “at the market” offerings as defined in Rule 415(a)(4) promulgated under the Securities Act of 1933, as amended, or the Securities Act. The Sales Agents are not required to sell any specific number or dollar amount of securities, but will act as sales agents using commercially reasonable efforts consistent with their normal trading and sales practices, on mutually agreed terms between the Sales Agents and us. There is no arrangement for funds to be received in any escrow, trust or similar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to the Sales Agents for sales of common stock sold pursuant to the Sales Agreement will be an amount equal to 3.0% of the gross proceeds of any shares of common stock sold under the Sales Agreement. In connection with the sale of the common stock on our behalf, the Sales Agents will be deemed to be “underwriters” within the meaning of the Securities Act and the compensation of the Sales Agents will be deemed to be underwriting commissions or discounts. We have also agreed to provide indemnification and contribution to the Sales Agents with respect to certain liabilities, including liabilities under the Securities Act or the Securities Exchange Act of 1934, as amended, or the Exchange Act. </w:t>
      </w:r>
    </w:p>
    <w:p>
      <w:pPr>
        <w:pStyle w:val="TextBody"/>
        <w:bidi w:val="0"/>
        <w:spacing w:lineRule="atLeast" w:line="240" w:before="160" w:after="283"/>
        <w:ind w:left="1393" w:right="0" w:firstLine="40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“smaller reporting company” under the federal securities laws and, as such, are subject to reduced public company reporting requirements. See “Prospectus Summary — Implications of Being a Smaller Reporting Company.”</w:t>
      </w:r>
      <w:r>
        <w:rPr>
          <w:rFonts w:ascii="Times New Roman;Times;serif" w:hAnsi="Times New Roman;Times;serif"/>
          <w:b/>
          <w:i/>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pPr>
      <w:r>
        <w:rPr>
          <w:rFonts w:ascii="Times New Roman;Times;serif" w:hAnsi="Times New Roman;Times;serif"/>
          <w:b/>
          <w:i/>
          <w:caps w:val="false"/>
          <w:smallCaps w:val="false"/>
          <w:color w:val="000000"/>
          <w:spacing w:val="-4"/>
          <w:sz w:val="20"/>
        </w:rPr>
        <w:t xml:space="preserve">Investing in our securities involves a high degree of risk. You should review carefully the risks and uncertainties described under the heading “Risk Factors” beginning on page </w:t>
      </w:r>
      <w:hyperlink w:anchor="sRIFA">
        <w:r>
          <w:rPr>
            <w:rStyle w:val="InternetLink"/>
          </w:rPr>
          <w:t>S-4</w:t>
        </w:r>
      </w:hyperlink>
      <w:r>
        <w:rPr>
          <w:rFonts w:ascii="Times New Roman;Times;serif" w:hAnsi="Times New Roman;Times;serif"/>
          <w:b/>
          <w:i/>
          <w:caps w:val="false"/>
          <w:smallCaps w:val="false"/>
          <w:color w:val="000000"/>
          <w:spacing w:val="-4"/>
          <w:sz w:val="20"/>
        </w:rPr>
        <w:t xml:space="preserve"> of this prospectus and under similar headings in the other documents that are incorporated by reference into this prospectus.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60" w:before="240" w:after="283"/>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Leerink PartnersCantor</w:t>
      </w:r>
      <w:r>
        <w:rPr>
          <w:rFonts w:ascii="Times New Roman;Times;serif" w:hAnsi="Times New Roman;Times;serif"/>
          <w:b/>
          <w:i w:val="false"/>
          <w:caps w:val="false"/>
          <w:smallCaps w:val="false"/>
          <w:color w:val="000000"/>
          <w:spacing w:val="6"/>
          <w:sz w:val="32"/>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6, 2026.</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2"/>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379"/>
        <w:gridCol w:w="109"/>
        <w:gridCol w:w="109"/>
        <w:gridCol w:w="109"/>
        <w:gridCol w:w="109"/>
        <w:gridCol w:w="60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379" w:type="dxa"/>
            <w:tcBorders/>
            <w:shd w:fill="CCEEFF" w:val="cle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ATP">
              <w:r>
                <w:rPr>
                  <w:rStyle w:val="InternetLink"/>
                  <w:spacing w:val="4"/>
                </w:rPr>
                <w:t>S-ii</w:t>
              </w:r>
            </w:hyperlink>
            <w:hyperlink w:anchor="s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9" w:type="dxa"/>
            <w:tcBorders/>
            <w:vAlign w:val="center"/>
          </w:tcPr>
          <w:p>
            <w:pPr>
              <w:pStyle w:val="TableContents"/>
              <w:bidi w:val="0"/>
              <w:spacing w:before="0" w:after="0"/>
              <w:jc w:val="left"/>
              <w:rPr/>
            </w:pPr>
            <w:hyperlink w:anchor="sPRSU">
              <w:r>
                <w:rPr>
                  <w:rStyle w:val="InternetLink"/>
                  <w:spacing w:val="4"/>
                </w:rPr>
                <w:t xml:space="preserve">PROSPECTUS 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PRSU">
              <w:r>
                <w:rPr>
                  <w:rStyle w:val="InternetLink"/>
                  <w:spacing w:val="4"/>
                </w:rPr>
                <w:t>S-1</w:t>
              </w:r>
            </w:hyperlink>
            <w:hyperlink w:anchor="sPRSU">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9" w:type="dxa"/>
            <w:tcBorders/>
            <w:shd w:fill="CCEEFF" w:val="clear"/>
            <w:vAlign w:val="center"/>
          </w:tcPr>
          <w:p>
            <w:pPr>
              <w:pStyle w:val="TableContents"/>
              <w:bidi w:val="0"/>
              <w:spacing w:before="0" w:after="0"/>
              <w:jc w:val="left"/>
              <w:rPr/>
            </w:pPr>
            <w:hyperlink w:anchor="sTHOF">
              <w:r>
                <w:rPr>
                  <w:rStyle w:val="InternetLink"/>
                  <w:spacing w:val="4"/>
                </w:rPr>
                <w:t xml:space="preserve">THE OFFERING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THOF">
              <w:r>
                <w:rPr>
                  <w:rStyle w:val="InternetLink"/>
                  <w:spacing w:val="4"/>
                </w:rPr>
                <w:t>S-3</w:t>
              </w:r>
            </w:hyperlink>
            <w:hyperlink w:anchor="sTHO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9" w:type="dxa"/>
            <w:tcBorders/>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RIFA">
              <w:r>
                <w:rPr>
                  <w:rStyle w:val="InternetLink"/>
                  <w:spacing w:val="4"/>
                </w:rPr>
                <w:t>S-4</w:t>
              </w:r>
            </w:hyperlink>
            <w:hyperlink w:anchor="s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9" w:type="dxa"/>
            <w:tcBorders/>
            <w:shd w:fill="CCEEFF" w:val="clear"/>
            <w:vAlign w:val="center"/>
          </w:tcPr>
          <w:p>
            <w:pPr>
              <w:pStyle w:val="TableContents"/>
              <w:bidi w:val="0"/>
              <w:spacing w:before="0" w:after="0"/>
              <w:jc w:val="left"/>
              <w:rPr/>
            </w:pPr>
            <w:hyperlink w:anchor="sSNRF">
              <w:r>
                <w:rPr>
                  <w:rStyle w:val="InternetLink"/>
                  <w:spacing w:val="4"/>
                </w:rPr>
                <w:t xml:space="preserve">SPECIAL NOTE REGARDING FORWARD-LOOKING STATEMENTS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SNRF">
              <w:r>
                <w:rPr>
                  <w:rStyle w:val="InternetLink"/>
                  <w:spacing w:val="4"/>
                </w:rPr>
                <w:t>S-6</w:t>
              </w:r>
            </w:hyperlink>
            <w:hyperlink w:anchor="sSNR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9" w:type="dxa"/>
            <w:tcBorders/>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UOP">
              <w:r>
                <w:rPr>
                  <w:rStyle w:val="InternetLink"/>
                  <w:spacing w:val="4"/>
                </w:rPr>
                <w:t>S-8</w:t>
              </w:r>
            </w:hyperlink>
            <w:hyperlink w:anchor="sUO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9" w:type="dxa"/>
            <w:tcBorders/>
            <w:shd w:fill="CCEEFF" w:val="clear"/>
            <w:vAlign w:val="center"/>
          </w:tcPr>
          <w:p>
            <w:pPr>
              <w:pStyle w:val="TableContents"/>
              <w:bidi w:val="0"/>
              <w:spacing w:before="0" w:after="0"/>
              <w:jc w:val="left"/>
              <w:rPr/>
            </w:pPr>
            <w:hyperlink w:anchor="sDIL">
              <w:r>
                <w:rPr>
                  <w:rStyle w:val="InternetLink"/>
                  <w:spacing w:val="4"/>
                </w:rPr>
                <w:t xml:space="preserve">DILUTION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DIL">
              <w:r>
                <w:rPr>
                  <w:rStyle w:val="InternetLink"/>
                  <w:spacing w:val="4"/>
                </w:rPr>
                <w:t>S-9</w:t>
              </w:r>
            </w:hyperlink>
            <w:hyperlink w:anchor="sDIL">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9" w:type="dxa"/>
            <w:tcBorders/>
            <w:vAlign w:val="center"/>
          </w:tcPr>
          <w:p>
            <w:pPr>
              <w:pStyle w:val="TableContents"/>
              <w:bidi w:val="0"/>
              <w:spacing w:before="0" w:after="0"/>
              <w:jc w:val="left"/>
              <w:rPr/>
            </w:pPr>
            <w:hyperlink w:anchor="s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POD">
              <w:r>
                <w:rPr>
                  <w:rStyle w:val="InternetLink"/>
                  <w:spacing w:val="4"/>
                </w:rPr>
                <w:t>S-10</w:t>
              </w:r>
            </w:hyperlink>
            <w:hyperlink w:anchor="s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9" w:type="dxa"/>
            <w:tcBorders/>
            <w:shd w:fill="CCEEFF" w:val="clear"/>
            <w:vAlign w:val="center"/>
          </w:tcPr>
          <w:p>
            <w:pPr>
              <w:pStyle w:val="TableContents"/>
              <w:bidi w:val="0"/>
              <w:spacing w:before="0" w:after="0"/>
              <w:jc w:val="left"/>
              <w:rPr/>
            </w:pPr>
            <w:hyperlink w:anchor="sIOCI">
              <w:r>
                <w:rPr>
                  <w:rStyle w:val="InternetLink"/>
                  <w:spacing w:val="4"/>
                </w:rPr>
                <w:t xml:space="preserve">INCORPORATION OF CERTAIN INFORMATION BY REFERENCE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IOCI">
              <w:r>
                <w:rPr>
                  <w:rStyle w:val="InternetLink"/>
                  <w:spacing w:val="4"/>
                </w:rPr>
                <w:t>S-11</w:t>
              </w:r>
            </w:hyperlink>
            <w:hyperlink w:anchor="sIOC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9" w:type="dxa"/>
            <w:tcBorders/>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LEMA">
              <w:r>
                <w:rPr>
                  <w:rStyle w:val="InternetLink"/>
                  <w:spacing w:val="4"/>
                </w:rPr>
                <w:t>S-12</w:t>
              </w:r>
            </w:hyperlink>
            <w:hyperlink w:anchor="s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379" w:type="dxa"/>
            <w:tcBorders/>
            <w:shd w:fill="CCEEFF" w:val="cle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609" w:type="dxa"/>
            <w:tcBorders/>
            <w:shd w:fill="CCEEFF" w:val="clear"/>
            <w:vAlign w:val="center"/>
          </w:tcPr>
          <w:p>
            <w:pPr>
              <w:pStyle w:val="TableContents"/>
              <w:bidi w:val="0"/>
              <w:spacing w:before="0" w:after="283"/>
              <w:jc w:val="right"/>
              <w:rPr/>
            </w:pPr>
            <w:hyperlink w:anchor="sEXP">
              <w:r>
                <w:rPr>
                  <w:rStyle w:val="InternetLink"/>
                  <w:spacing w:val="4"/>
                </w:rPr>
                <w:t>S-12</w:t>
              </w:r>
            </w:hyperlink>
            <w:hyperlink w:anchor="s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379" w:type="dxa"/>
            <w:tcBorders/>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609" w:type="dxa"/>
            <w:tcBorders/>
            <w:vAlign w:val="center"/>
          </w:tcPr>
          <w:p>
            <w:pPr>
              <w:pStyle w:val="TableContents"/>
              <w:bidi w:val="0"/>
              <w:spacing w:before="0" w:after="283"/>
              <w:jc w:val="right"/>
              <w:rPr/>
            </w:pPr>
            <w:hyperlink w:anchor="sWYCF">
              <w:r>
                <w:rPr>
                  <w:rStyle w:val="InternetLink"/>
                  <w:spacing w:val="4"/>
                </w:rPr>
                <w:t>S-12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sAT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part of an automatic registration statement on Form S-3 that we have filed with the Securities and Exchange Commission, or the SEC, utilizing a “shelf” registration process as a “well-known seasoned issuer,” as defined in Rule 405 under the Securities Act. Under this shelf registration process, we may sell any combination of the securities described in the base prospectus included in the shelf registration statement in one or more offerings. This prospectus covers the offering, issuance and sale by us of shares of our common stock having an aggregate offering price of up to $150.0 million under the Sales Agreement. Such shares may be offered and sold from time to time through the Sales Agents under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offering of our common stock. Before buying any of the common stock that we are offering, we urge you to carefully read this prospectus, together with the information incorporated by reference in this prospectus, and any free writing prospectus or prospectus that we have authorized for use in connection with this offering when making your investment decision. You should also read and consider the information in the documents we have referred you to under the headings “Where You Can Find More Information” and “Incorporation of Certain Information by Reference.” These documents contain important information that you should consider when making your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terms of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Sales Agents have not, authorized anyone to provide you with information that is different than or in addition to the information contained in or incorporated by reference in this prospectus and in any free writing prospectus that we have authorized for use in connection with this offering. If anyone provides you with different or inconsistent information, you should not rely on it. We are not, and the Sales Agents are not, making an offer to sell these securities in any jurisdiction where the offer or sale is not permitted. You should assume that the information appearing in this prospectus, the documents incorporated by reference in this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 this prospectus, and any free writing prospectus that we have authorized for use in connection with this offering, in their entirety before making an investment decision.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mentioned or unless the context requires otherwise, all references in this prospectus to “Aclaris,” “company,” “we,” “us” and “our” or similar references refer to Aclaris Therapeutics, Inc. and its consolidated subsidiaries.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sPRSU"/>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stock. For a more complete understanding of our company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under the heading “Risk Factors” in this prospectus on page </w:t>
      </w:r>
      <w:hyperlink w:anchor="sRIFA">
        <w:r>
          <w:rPr>
            <w:rStyle w:val="InternetLink"/>
          </w:rPr>
          <w:t>S-4</w:t>
        </w:r>
      </w:hyperlink>
      <w:r>
        <w:rPr>
          <w:rFonts w:ascii="Times New Roman;Times;serif" w:hAnsi="Times New Roman;Times;serif"/>
          <w:b w:val="false"/>
          <w:i/>
          <w:caps w:val="false"/>
          <w:smallCaps w:val="false"/>
          <w:color w:val="000000"/>
          <w:spacing w:val="4"/>
          <w:sz w:val="20"/>
          <w:bdr w:val="single" w:sz="8" w:space="1" w:color="000000"/>
        </w:rPr>
        <w:t xml:space="preserve"> and in the documents incorporated by reference into this prospectus</w:t>
      </w:r>
      <w:r>
        <w:rPr>
          <w:rFonts w:ascii="Times New Roman;Times;serif" w:hAnsi="Times New Roman;Times;serif"/>
          <w:b/>
          <w:i/>
          <w:caps w:val="false"/>
          <w:smallCaps w:val="false"/>
          <w:color w:val="000000"/>
          <w:spacing w:val="-4"/>
          <w:sz w:val="20"/>
          <w:bdr w:val="single" w:sz="8" w:space="1" w:color="000000"/>
        </w:rPr>
        <w:t>.</w:t>
      </w:r>
      <w:r>
        <w:rPr>
          <w:rFonts w:ascii="Times New Roman;Times;serif" w:hAnsi="Times New Roman;Times;serif"/>
          <w:b w:val="false"/>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biopharmaceutical company focused on developing novel small and large molecule product candidates for immuno-inflammatory diseases. Our proprietary KINect drug discovery platform coupled with our integrated discovery approach to small and large molecules enables us to identify and advance product candidates designed to have superior target affinity, specificity and potency. We are seeking to identify and consummate transactions with third-party partners to further develop, obtain marketing approval for and/or commercialize our novel product candidates.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Risks Associated with our Business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is subject to numerous risks and uncertainties, including those highlighted in the section titled “Risk Factors” immediately following this prospectus summary and those described under similar headings in the documents incorporated by reference into this prospectus. These risks include: </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incurred significant losses since our inception. We expect to incur losses over the next several years and may never achieve or maintain profitability. </w:t>
      </w:r>
      <w:r>
        <mc:AlternateContent>
          <mc:Choice Requires="wps">
            <w:drawing>
              <wp:anchor behindDoc="0" distT="8255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9"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need substantial additional funding to meet our financial obligations and to pursue our business objectives. If we are unable to raise capital when needed, we could be forced to curtail our planned operations. </w:t>
      </w:r>
      <w:r>
        <mc:AlternateContent>
          <mc:Choice Requires="wps">
            <w:drawing>
              <wp:anchor behindDoc="0" distT="8255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0"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limited history as a clinical-stage biopharmaceutical company developing and partnering our product candidates, which may make it difficult to evaluate the success of our business to date and to assess our future viability. </w:t>
      </w:r>
      <w:r>
        <mc:AlternateContent>
          <mc:Choice Requires="wps">
            <w:drawing>
              <wp:anchor behindDoc="0" distT="8255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1"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successfully develop our product candidates and identify and consummate transactions with third-party partners to further develop, obtain marketing approval for and/or commercialize our product candidates, or experience significant delays in doing so, our business will be harmed. </w:t>
      </w:r>
      <w:r>
        <mc:AlternateContent>
          <mc:Choice Requires="wps">
            <w:drawing>
              <wp:anchor behindDoc="0" distT="8255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2"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future success depends on our ability to retain key executives and to attract, retain and motivate qualified personnel. </w:t>
      </w:r>
      <w:r>
        <mc:AlternateContent>
          <mc:Choice Requires="wps">
            <w:drawing>
              <wp:anchor behindDoc="0" distT="8255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3"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rely heavily on third parties for clinical trials, manufacturing, and development support. Their performance impacts our timelines and success. </w:t>
      </w:r>
      <w:r>
        <mc:AlternateContent>
          <mc:Choice Requires="wps">
            <w:drawing>
              <wp:anchor behindDoc="0" distT="8255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4"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are unable to obtain and maintain patent protection for our product candidates, or if the scope of the patent protection obtained is not sufficiently broad, our competitors could develop and commercialize technology and drugs similar or identical to ours, and our ability to successfully identify and consummate transactions with potential third-party partners to commercialize our technology and product candidates may be impaired. </w:t>
      </w:r>
      <w:r>
        <mc:AlternateContent>
          <mc:Choice Requires="wps">
            <w:drawing>
              <wp:anchor behindDoc="0" distT="8255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5"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face substantial competition, which may result in others discovering, developing or commercializing drugs before or more successfully than we do. </w:t>
      </w:r>
      <w:r>
        <mc:AlternateContent>
          <mc:Choice Requires="wps">
            <w:drawing>
              <wp:anchor behindDoc="0" distT="8255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6"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60" w:after="283"/>
        <w:jc w:val="center"/>
        <w:rPr>
          <w:caps w:val="false"/>
          <w:smallCaps w:val="false"/>
          <w:color w:val="000000"/>
          <w:spacing w:val="4"/>
          <w:bdr w:val="single" w:sz="8" w:space="1" w:color="000000"/>
        </w:rPr>
      </w:pPr>
      <w:r>
        <w:rPr>
          <w:caps w:val="false"/>
          <w:smallCaps w:val="false"/>
          <w:color w:val="000000"/>
          <w:spacing w:val="4"/>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under the laws of the State of Delaware in July 2012. Our principal executive offices are located at 701 Lee Road, Suite 103, Wayne, Pennsylvania 19087. Our telephone number is (484) 324-7933. Our common stock is listed on the Nasdaq Global Select Market under the symbol “ACRS.”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internet website address is www.aclaristx.com. We do not incorporate the information on or accessible through our website into this prospectus. The information contained on, or that can be accessed through, our website is not a part of this prospectus. We have included our website address in this prospectus solely as an inactive textual reference. </w:t>
      </w:r>
    </w:p>
    <w:p>
      <w:pPr>
        <w:pStyle w:val="TextBody"/>
        <w:bidi w:val="0"/>
        <w:spacing w:lineRule="atLeast" w:line="240" w:before="160" w:after="283"/>
        <w:ind w:left="1393" w:right="0" w:firstLine="40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Aclaris,” the Aclaris logo, KINect and our other trademarks or service marks appearing in this prospectus or incorporated herein by reference are our property. This prospectus and the information incorporated herein by reference contains additional trade names, trademarks and service marks of others, which are the property of their respective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To the extent we take advantage of any reduced disclosure obligations, it may make the comparison of our financial statements with other public companies difficult or impossible.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sTHO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offered by 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Shares of our common stock having an aggregate offering price of up to $150.0 million.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stock to be outstanding after this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163,409,178 shares, assuming sales of 23,584,905 shares of our common stock in this offering at an offering price of $6.36 per share, the last reported sale price of our common stock on the Nasdaq Global Select Market on August 5, 2026. The actual number of shares issued will vary depending on how many shares of our common stock we choose to sell and the prices at which such sales occur.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Plan of Distribution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At the market offering” that may be made from time to time through our Sales Agents. See “Plan of Distribution” on page </w:t>
      </w:r>
      <w:hyperlink w:anchor="sPOD">
        <w:r>
          <w:rPr>
            <w:rStyle w:val="InternetLink"/>
          </w:rPr>
          <w:t>S-10</w:t>
        </w:r>
      </w:hyperlink>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currently intend to use the net proceeds from this offering primarily to fund the research and development of the product candidates in our pipeline and for working capital and general corporate purposes. See “Use of Proceeds” on page </w:t>
      </w:r>
      <w:hyperlink w:anchor="sUOP">
        <w:r>
          <w:rPr>
            <w:rStyle w:val="InternetLink"/>
          </w:rPr>
          <w:t>S-8</w:t>
        </w:r>
      </w:hyperlink>
      <w:r>
        <w:rPr>
          <w:rFonts w:ascii="Times New Roman;Times;serif" w:hAnsi="Times New Roman;Times;serif"/>
          <w:b w:val="false"/>
          <w:i w:val="false"/>
          <w:caps w:val="false"/>
          <w:smallCaps w:val="false"/>
          <w:color w:val="000000"/>
          <w:spacing w:val="4"/>
          <w:sz w:val="20"/>
          <w:bdr w:val="single" w:sz="8" w:space="1" w:color="000000"/>
        </w:rPr>
        <w:t xml:space="preserve"> for additional information.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Investment in our securities involves a high degree of risk. You should read the “Risk Factors” section of this prospectus and in the documents incorporated by reference herein for a discussion of factors to consider carefully before deciding to invest in shares of our common stock.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Nasdaq Global Select Market Symbol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ACRS”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shares of our common stock that will be outstanding after this offering is based on 139,824,273 shares of our common stock outstanding as of June 30, 2026, and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15,392,992 shares of our common stock issuable upon the exercise of stock options outstanding as of June 30, 2026, at a weighted average exercise price of $5.93 per share;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7"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3,441,263 shares of our common stock issuable upon the vesting and settlement of restricted stock units outstanding as of June 30, 2026; </w:t>
      </w:r>
      <w:r>
        <mc:AlternateContent>
          <mc:Choice Requires="wps">
            <w:drawing>
              <wp:anchor behindDoc="0" distT="762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8"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3,000,000 shares of our common stock issuable upon the exercise of warrants outstanding as of June 30, 2026 with an exercise price of $0.00001 per share; </w:t>
      </w:r>
      <w:r>
        <mc:AlternateContent>
          <mc:Choice Requires="wps">
            <w:drawing>
              <wp:anchor behindDoc="0" distT="762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9"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502,380 shares of common stock reserved for future issuance under our 2024 Inducement Plan as of June 30, 2026; </w:t>
      </w:r>
      <w:r>
        <mc:AlternateContent>
          <mc:Choice Requires="wps">
            <w:drawing>
              <wp:anchor behindDoc="0" distT="762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0"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6,754,427 shares of our common stock reserved for future issuance under our 2025 Equity Incentive Plan as of June 30, 2026; and </w:t>
      </w:r>
      <w:r>
        <mc:AlternateContent>
          <mc:Choice Requires="wps">
            <w:drawing>
              <wp:anchor behindDoc="0" distT="762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1"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7,262,517 shares of our common stock issued and sold pursuant to the prior sales agreement with the Sales Agents subsequent to June 30, 2026.</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2"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sRIF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securities involves a high degree of risk. Before deciding whether to invest in our securities, you should consider carefully the risks and uncertainties described below and discussed under the section titled “Risk Factors” contained in our most recent Annual Report on Form 10-K, as updated by our subsequent filings under Exchange Act, which is incorporated by reference in this prospectus in its entirety, with other information in this prospectus, and the information and documents incorporated by reference in this prospectus, and any free writing prospectus that we have authorized for use in connection with this offering before you make a decision to invest in our common stock. The risks described in is document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common stock to decline, resulting in a loss of all or part of your investment. Please also read carefully the section below titled “Special Note Regarding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Purchasers in this offering may experience dilution.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per share in this offering may exceed the net tangible book value per share of our common stock outstanding prior to this offering. Assuming that an aggregate of 23,584,905 shares of our common stock are sold at a price of $6.36 per share, the last reported sale price of our common stock on the Nasdaq Global Select Market on August 5, 2026, for aggregate gross proceeds of $150.0 million, and after deducting commissions and estimated offering expenses payable by us, you would experience immediate dilution of $4.72 per share, representing the difference between our as adjusted net tangible book value per share as of June 30, 2026 after giving effect to this offering and the assumed offering price. The exercise of stock options or warrants and vesting of restricted stock units would result in further dilution of your investment. See the section entitled “Dilution” below for a more detailed illustration of the dilution you would incur if you participate in this offering. Because the sales of the shares offered hereby will be made directly into the market or in negotiated transactions, the prices at which we sell these shares will vary and these variations may be significant. Purchasers of the shares we sell, as well as our existing stockholders, will experience significant dilution if we sell shares at prices significantly below the price at which they invested.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might apply the net proceeds from this offering in ways with which you do not agree and in ways that may impair the value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intend to use the net proceeds from this offering primarily to fund the research and development of the product candidates in our pipeline and for working capital and general corporate purposes. Pending these uses, we expect to invest the net proceeds in short-term, interest-bearing obligations, certificates of deposit or direct or guaranteed obligations of the United States or foreign government agencies.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proceeds, it could compromise our ability to pursue our growth strategy and adversely affect the market price of our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stock offered hereby will be sold in “at the market offerings,” and investors who buy shares at different times will likely pay different prices.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It is not possible to predict the actual number of shares we will sell under the Sales Agreement, or the gross proceeds resulting from those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in the Sales Agreement and compliance with applicable law, we have the discretion to deliver a placement notice to the Sales Agents at any time throughout the term of the Sales Agreement. The number of shares that are sold through the Sales Agents after delivering a placement notice will fluctuate based on a number of factors, including the market price of the common stock during the sales period, the limits we set with the Sales Agents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sSNRF"/>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herein contain forward-looking statements. These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contained in the documents incorporated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statements in this prospectus, or incorporated herein, about our expectations, beliefs, plans, objectives, assumptions or future events or performance are not historical facts and are forward-looking statements. Within the meaning of Section 27A of the Securities Act and Section 21E of the Exchange Act, the forward-looking statements in this prospectus include statements about: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our product candidates;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3"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our planned clinical trials of our product candidates and the reporting of the results from these trials;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4"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clinical utility of our product candidates and our expectations about their properties and therapeutic effects;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5"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and expectations related to manufacturing capabilities and strategy; </w:t>
      </w:r>
      <w:r>
        <mc:AlternateContent>
          <mc:Choice Requires="wps">
            <w:drawing>
              <wp:anchor behindDoc="0" distT="7493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6"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coverage and reimbursement of our product candidates, if approved;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7"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timing of our regulatory filings and approvals for our product candidates;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8"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9"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identify and consummate transactions with third-party partners to further develop, obtain marketing approval for and/or commercialize our product candidates, and earn revenue from such arrangements;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0"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competition;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1"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growth potential of the markets for our product candidates; </w:t>
      </w:r>
      <w:r>
        <mc:AlternateContent>
          <mc:Choice Requires="wps">
            <w:drawing>
              <wp:anchor behindDoc="0" distT="7493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2"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continued reliance on third parties;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3"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impacts of macroeconomic conditions on our business;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4"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our use of capital;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5"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future revenue, expenses and needs for additional financing; and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6"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use of cash and other resources, including our expected use of proceeds from any sale of securities under this prospectus, if any; and </w:t>
      </w:r>
      <w:r>
        <mc:AlternateContent>
          <mc:Choice Requires="wps">
            <w:drawing>
              <wp:anchor behindDoc="0" distT="7493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7"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uncertainties, including those listed under the caption “Risk Factors” in our most recent Annual Report on Form 10-K and other filings we make with the SEC. </w:t>
      </w:r>
      <w:r>
        <mc:AlternateContent>
          <mc:Choice Requires="wps">
            <w:drawing>
              <wp:anchor behindDoc="0" distT="7493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8"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caution you that the foregoing list may not contain all of the forward-looking statements made in this prospectus and the documents incorporated by reference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you can identify forward-looking statements by the words “may,” “might,” “can,” “will,” “to be,” “could,” “would,” “should,” “expect,” “intend,” “plan,” “objective,” “anticipate,” “believe,” “estimate,” “predict,” “project,” “potential,” “likely,” “continue” and “ongoing,” or the negative of these terms, or other comparable terminology intended to identify statements about the future, although not all forward-looking statements contain these words. These forward-looking statements reflect our management’s beliefs and views with respect to future events and are based on estimates and assumptions as of the date the statement is made and are subject to risks and uncertainties.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should not be read to indicate that we have conducted an exhaustive inquiry into, or review of, all potentially available relevant information.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refer to the “Risk Factors” section contained in this prospectus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forward-looking statements. Given these risks, uncertainties and other factors, many of which are beyond our control, we cannot assure you that the forward-looking statements in this prospectus will prove to be accurate, and you should not place undue reliance on these forward-looking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sUOP"/>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and sell shares of our common stock under this prospectus having aggregate sales proceeds of up to $150.0 million from time to time. Because there is no minimum offering amount required as a condition to close this offering, the actual total public offering amount, commissions and proceeds to us, if any, are not determinable at this time. The amount of proceeds from this offering will depend upon the number of shares of our common stock sold and the market price at which they are sold. There can be no assurance that we will be able to sell any shares under or fully utilize the Sales Agreement as a source of financing.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intend to use the net proceeds from this offering primarily to fund the research and development of the product candidates in our pipeline and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As of the date of this prospectus, we cannot specify with certainty all of the particular uses of the net proceeds from the sale of securities, if any, under this prospectus. Accordingly, we will retain broad discretion over the use of such proceeds. Pending these uses, we expect to invest the net proceeds in short-term, interest-bearing obligations, certificates of deposit or direct or guaranteed obligations of the United States or foreign government agencies.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sDIL"/>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net tangible book value as of June 30, 2026 was $122.5 million, or $0.88 per share of common stock. Historical net tangible book value per share is determined by dividing our total tangible assets (total assets less intangible assets and right of use assets), less total liabilities, by the number of shares of our common stock outstanding on June 30,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 issuance and sale of our common stock in the aggregate amount of $150.0 million in this offering at an assumed offering price of $6.36 per share, the last reported sale price of our common stock on the Nasdaq Global Select Market on August 5, 2026, and after deducting commissions and estimated aggregate offering expenses payable by us, our as adjusted net tangible book value as of June 30, 2026 would have been $267.7 million, or $1.64 per share. This represents an immediate increase of $0.76 in the net tangible book value per share to existing stockholders and immediate dilution of $4.72 in the net tangible book value per share to new investors purchasing common stock in this offering. The following table illustrates this per share dilution to the new investors purchasing shares of our common stock in this offering: </w:t>
      </w:r>
    </w:p>
    <w:tbl>
      <w:tblPr>
        <w:tblW w:w="8812" w:type="dxa"/>
        <w:jc w:val="left"/>
        <w:tblInd w:w="1393" w:type="dxa"/>
        <w:tblLayout w:type="fixed"/>
        <w:tblCellMar>
          <w:top w:w="0" w:type="dxa"/>
          <w:left w:w="0" w:type="dxa"/>
          <w:bottom w:w="0" w:type="dxa"/>
          <w:right w:w="0" w:type="dxa"/>
        </w:tblCellMar>
      </w:tblPr>
      <w:tblGrid>
        <w:gridCol w:w="124"/>
        <w:gridCol w:w="6090"/>
        <w:gridCol w:w="109"/>
        <w:gridCol w:w="109"/>
        <w:gridCol w:w="109"/>
        <w:gridCol w:w="226"/>
        <w:gridCol w:w="559"/>
        <w:gridCol w:w="109"/>
        <w:gridCol w:w="109"/>
        <w:gridCol w:w="109"/>
        <w:gridCol w:w="109"/>
        <w:gridCol w:w="226"/>
        <w:gridCol w:w="559"/>
        <w:gridCol w:w="109"/>
        <w:gridCol w:w="156"/>
      </w:tblGrid>
      <w:tr>
        <w:trPr/>
        <w:tc>
          <w:tcPr>
            <w:tcW w:w="124" w:type="dxa"/>
            <w:tcBorders/>
            <w:shd w:fill="CCEEFF" w:val="clear"/>
            <w:vAlign w:val="center"/>
          </w:tcPr>
          <w:p>
            <w:pPr>
              <w:pStyle w:val="TableContents"/>
              <w:bidi w:val="0"/>
              <w:spacing w:before="0" w:after="283"/>
              <w:jc w:val="left"/>
              <w:rPr/>
            </w:pPr>
            <w:r>
              <w:rPr/>
              <w:t>​</w:t>
            </w:r>
          </w:p>
        </w:tc>
        <w:tc>
          <w:tcPr>
            <w:tcW w:w="6090" w:type="dxa"/>
            <w:tcBorders/>
            <w:shd w:fill="CCEEFF" w:val="clear"/>
            <w:vAlign w:val="center"/>
          </w:tcPr>
          <w:p>
            <w:pPr>
              <w:pStyle w:val="TableContents"/>
              <w:bidi w:val="0"/>
              <w:spacing w:before="0" w:after="0"/>
              <w:jc w:val="left"/>
              <w:rPr>
                <w:spacing w:val="4"/>
              </w:rPr>
            </w:pPr>
            <w:r>
              <w:rPr>
                <w:spacing w:val="4"/>
              </w:rPr>
              <w:t xml:space="preserve">Assumed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9"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9" w:type="dxa"/>
            <w:tcBorders/>
            <w:shd w:fill="CCEEFF" w:val="clear"/>
            <w:vAlign w:val="center"/>
          </w:tcPr>
          <w:p>
            <w:pPr>
              <w:pStyle w:val="TableContents"/>
              <w:bidi w:val="0"/>
              <w:spacing w:before="0" w:after="283"/>
              <w:jc w:val="right"/>
              <w:rPr/>
            </w:pPr>
            <w:r>
              <w:rPr/>
              <w:t xml:space="preserve">6.36 </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090" w:type="dxa"/>
            <w:tcBorders/>
            <w:vAlign w:val="center"/>
          </w:tcPr>
          <w:p>
            <w:pPr>
              <w:pStyle w:val="TableContents"/>
              <w:bidi w:val="0"/>
              <w:spacing w:before="0" w:after="0"/>
              <w:jc w:val="left"/>
              <w:rPr>
                <w:spacing w:val="4"/>
              </w:rPr>
            </w:pPr>
            <w:r>
              <w:rPr>
                <w:spacing w:val="4"/>
              </w:rPr>
              <w:t xml:space="preserve">Net tangible book value per share of as June 30, 2026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9" w:type="dxa"/>
            <w:tcBorders/>
            <w:vAlign w:val="center"/>
          </w:tcPr>
          <w:p>
            <w:pPr>
              <w:pStyle w:val="TableContents"/>
              <w:bidi w:val="0"/>
              <w:spacing w:before="0" w:after="283"/>
              <w:jc w:val="right"/>
              <w:rPr/>
            </w:pPr>
            <w:r>
              <w:rPr/>
              <w:t>0.88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9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Increase in net tangible book value per share attributable to this offering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59" w:type="dxa"/>
            <w:tcBorders>
              <w:bottom w:val="single" w:sz="2" w:space="0" w:color="000000"/>
            </w:tcBorders>
            <w:shd w:fill="CCEEFF" w:val="clear"/>
            <w:tcMar>
              <w:bottom w:w="50" w:type="dxa"/>
            </w:tcMar>
            <w:vAlign w:val="center"/>
          </w:tcPr>
          <w:p>
            <w:pPr>
              <w:pStyle w:val="TableContents"/>
              <w:bidi w:val="0"/>
              <w:spacing w:before="0" w:after="283"/>
              <w:jc w:val="right"/>
              <w:rPr/>
            </w:pPr>
            <w:r>
              <w:rPr/>
              <w:t xml:space="preserve">0.76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55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bottom w:val="single" w:sz="2" w:space="0" w:color="FFFFFF"/>
            </w:tcBorders>
            <w:tcMar>
              <w:bottom w:w="28" w:type="dxa"/>
            </w:tcMar>
            <w:vAlign w:val="center"/>
          </w:tcPr>
          <w:p>
            <w:pPr>
              <w:pStyle w:val="TableContents"/>
              <w:bidi w:val="0"/>
              <w:spacing w:before="0" w:after="283"/>
              <w:jc w:val="left"/>
              <w:rPr/>
            </w:pPr>
            <w:r>
              <w:rPr/>
              <w:t>​</w:t>
            </w:r>
          </w:p>
        </w:tc>
        <w:tc>
          <w:tcPr>
            <w:tcW w:w="6090" w:type="dxa"/>
            <w:tcBorders>
              <w:bottom w:val="single" w:sz="2" w:space="0" w:color="FFFFFF"/>
            </w:tcBorders>
            <w:tcMar>
              <w:bottom w:w="37" w:type="dxa"/>
            </w:tcMar>
            <w:vAlign w:val="center"/>
          </w:tcPr>
          <w:p>
            <w:pPr>
              <w:pStyle w:val="TableContents"/>
              <w:bidi w:val="0"/>
              <w:spacing w:before="0" w:after="0"/>
              <w:ind w:left="200" w:right="0" w:hanging="200"/>
              <w:jc w:val="left"/>
              <w:rPr>
                <w:spacing w:val="4"/>
              </w:rPr>
            </w:pPr>
            <w:r>
              <w:rPr>
                <w:spacing w:val="4"/>
              </w:rPr>
              <w:t xml:space="preserve">As adjusted net tangible book value per share as of June 30, 2026, after giving effect to this offering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FFFFFF"/>
            </w:tcBorders>
            <w:tcMar>
              <w:bottom w:w="28" w:type="dxa"/>
            </w:tcMar>
            <w:vAlign w:val="center"/>
          </w:tcPr>
          <w:p>
            <w:pPr>
              <w:pStyle w:val="TableContents"/>
              <w:bidi w:val="0"/>
              <w:spacing w:before="0" w:after="283"/>
              <w:jc w:val="right"/>
              <w:rPr/>
            </w:pPr>
            <w:r>
              <w:rPr/>
              <w:t>​</w:t>
            </w:r>
          </w:p>
        </w:tc>
        <w:tc>
          <w:tcPr>
            <w:tcW w:w="559"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37" w:type="dxa"/>
            </w:tcMar>
            <w:vAlign w:val="center"/>
          </w:tcPr>
          <w:p>
            <w:pPr>
              <w:pStyle w:val="TableContents"/>
              <w:bidi w:val="0"/>
              <w:spacing w:before="0" w:after="283"/>
              <w:jc w:val="right"/>
              <w:rPr/>
            </w:pPr>
            <w:r>
              <w:rPr/>
              <w:t>$</w:t>
            </w:r>
          </w:p>
        </w:tc>
        <w:tc>
          <w:tcPr>
            <w:tcW w:w="559" w:type="dxa"/>
            <w:tcBorders>
              <w:bottom w:val="single" w:sz="2" w:space="0" w:color="000000"/>
            </w:tcBorders>
            <w:tcMar>
              <w:bottom w:w="37" w:type="dxa"/>
            </w:tcMar>
            <w:vAlign w:val="center"/>
          </w:tcPr>
          <w:p>
            <w:pPr>
              <w:pStyle w:val="TableContents"/>
              <w:bidi w:val="0"/>
              <w:spacing w:before="0" w:after="283"/>
              <w:jc w:val="right"/>
              <w:rPr/>
            </w:pPr>
            <w:r>
              <w:rPr/>
              <w:t xml:space="preserve">1.64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090" w:type="dxa"/>
            <w:tcBorders/>
            <w:shd w:fill="CCEEFF" w:val="clear"/>
            <w:vAlign w:val="center"/>
          </w:tcPr>
          <w:p>
            <w:pPr>
              <w:pStyle w:val="TableContents"/>
              <w:bidi w:val="0"/>
              <w:spacing w:before="0" w:after="0"/>
              <w:jc w:val="left"/>
              <w:rPr>
                <w:spacing w:val="4"/>
              </w:rPr>
            </w:pPr>
            <w:r>
              <w:rPr>
                <w:spacing w:val="4"/>
              </w:rPr>
              <w:t xml:space="preserve">Dilution per share to investors purchasing our common stock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9"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559" w:type="dxa"/>
            <w:tcBorders>
              <w:bottom w:val="double" w:sz="8" w:space="0" w:color="000000"/>
            </w:tcBorders>
            <w:shd w:fill="CCEEFF" w:val="clear"/>
            <w:tcMar>
              <w:bottom w:w="50" w:type="dxa"/>
            </w:tcMar>
            <w:vAlign w:val="center"/>
          </w:tcPr>
          <w:p>
            <w:pPr>
              <w:pStyle w:val="TableContents"/>
              <w:bidi w:val="0"/>
              <w:spacing w:before="0" w:after="283"/>
              <w:jc w:val="right"/>
              <w:rPr/>
            </w:pPr>
            <w:r>
              <w:rPr/>
              <w:t>4.72</w:t>
            </w:r>
          </w:p>
        </w:tc>
        <w:tc>
          <w:tcPr>
            <w:tcW w:w="109" w:type="dxa"/>
            <w:tcBorders/>
            <w:shd w:fill="CCEEFF" w:val="clear"/>
            <w:vAlign w:val="center"/>
          </w:tcPr>
          <w:p>
            <w:pPr>
              <w:pStyle w:val="TableContents"/>
              <w:bidi w:val="0"/>
              <w:spacing w:before="0" w:after="283"/>
              <w:jc w:val="left"/>
              <w:rPr/>
            </w:pPr>
            <w:r>
              <w:rPr/>
              <w:t>​</w:t>
            </w:r>
          </w:p>
        </w:tc>
        <w:tc>
          <w:tcPr>
            <w:tcW w:w="156"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discussed above is based on 139,824,273 shares of our common stock outstanding as of June 30, 2026, and excludes: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15,392,992 shares of our common stock issuable upon the exercise of stock options outstanding as of June 30, 2026, at a weighted average exercise price of $5.93 per share; </w:t>
      </w:r>
      <w:r>
        <mc:AlternateContent>
          <mc:Choice Requires="wps">
            <w:drawing>
              <wp:anchor behindDoc="0" distT="7620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9"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3,441,263 shares of our common stock issuable upon the vesting and settlement of restricted stock units outstanding as of June 30, 2026; </w:t>
      </w:r>
      <w:r>
        <mc:AlternateContent>
          <mc:Choice Requires="wps">
            <w:drawing>
              <wp:anchor behindDoc="0" distT="762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0"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3,000,000 shares of our common stock issuable upon the exercise of warrants outstanding as of June 30, 2026 with an exercise price of $0.00001 per share; </w:t>
      </w:r>
      <w:r>
        <mc:AlternateContent>
          <mc:Choice Requires="wps">
            <w:drawing>
              <wp:anchor behindDoc="0" distT="762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1"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502,830 shares of common stock reserved for future issuance under our 2024 Inducement Plan as of June 30, 2026;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2"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6,754,427 shares of our common stock reserved for future issuance under our 2025 Equity Incentive Plan as of June 30, 2026; and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3"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7,262,517 shares of our common stock issued and sold pursuant to the prior sales agreement with the Sales Agents subsequent to June 30, 2026. </w:t>
      </w:r>
      <w:r>
        <mc:AlternateContent>
          <mc:Choice Requires="wps">
            <w:drawing>
              <wp:anchor behindDoc="0" distT="7620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4"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outstanding options or warrants outstanding are exercised or shares are issued upon the vesting of outstanding restricted stock units or we issue additional options, restricted stock units, warrants or shares of our common stock in the future, there will be further dilution to investors purchasing common stock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sPOD"/>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the Sales Agreement with Leerink Partners LLC and Cantor Fitzgerald &amp; Co., or the Sales Agents, under which we may offer and sell our shares of common stock from time to time through the Sales Agents. Pursuant to this prospectus, we may offer and sell shares of common stock having an aggregate offering price of up to $150.0 million. Sales of our common stock, if any, will be made at market prices by any method that is deemed to be an “at the market offering” as defined in Rule 415(a)(4) under the Securities Act, including sales made directly on the Nasdaq Global Select Market or any other trading market for our common stock. The description below of the material provisions of the Sales Agreement does not purport to be a complete statement of its terms and conditions. A copy of the Sales Agreement is filed as an exhibit to the registration statement of which this prospectus forms a part.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Agents will offer our common stock subject to the terms and conditions of the Sales Agreement on a daily basis or as otherwise agreed upon by us and the Sales Agents. We will designate the maximum amount of common stock to be sold through the Sales Agents on a daily basis or otherwise determine such maximum amount together with the Sales Agents. Subject to the terms and conditions of the Sales Agreement, the Sales Agents will use their commercially reasonable efforts to sell on our behalf all of the shares of common stock requested to be sold by us. We may only instruct one Sales Agent to sell shares of common stock on any single given day. We may instruct the Sales Agents not to sell common stock if the sales cannot be effected at or above the price designated by us in any such instruction. The Sales Agents or we may suspend the offering of our common stock being made through the Sales Agents under the Sales Agreement upon proper notice to the other party or parties. We, and each of the Sales Agents solely with respect to itself, have the right, by giving written notice as specified in the Sales Agreement, to terminate the Sales Agreement in each party’s sole discretion at any time. The offering of our common stock pursuant to the Sales Agreement will otherwise terminate upon the termination of the Sales Agreement as provided therein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compensation payable to the Sales Agents is equal to 3.0% of the aggregate gross proceeds from the sale of the shares sold through them pursuant to the Sales Agreement. We have also agreed to reimburse the Sales Agents up to an aggregate of $75,000 of the Sales Agents’ actual outside legal expenses incurred by the Sales Agents in connection with this offering, and for certain ongoing expenses. In accordance with FINRA Rule 5110 these reimbursed fees and expenses are deemed to be sales compensation in connection with this offering. We estimate that the total expenses of the offering payable by us, excluding commissions payable to the Sales Agents under the Sales Agreement, will be approximately $300,000.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remaining sales proceeds, after deducting any expenses payable by us and any transaction fees imposed by any governmental, regulatory, or self-regulatory organization in connection with the sales, will equal our net proceeds for the sale of such common stock.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Sales Agent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report at least quarterly the number of shares of common stock sold through the Sales Agents under the Sales Agreement and the net proceeds to us in connection with the sales of common stock.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for sales of common stock will occur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sales of our common stock on our behalf, the Sales Agents will each be deemed to be an “underwriter” within the meaning of the Securities Act and the compensation paid to the Sales Agents will be deemed to be underwriting commissions or discounts. We have agreed in the Sales Agreement to provide indemnification and contribution to the Sales Agents against certain liabilities, including liabilities under the Securities Act. As Sales Agents, Leerink Partners LLC and Cantor Fitzgerald &amp; Co. will not engage in any transactions that stabilize our common stock. </w:t>
      </w:r>
    </w:p>
    <w:p>
      <w:pPr>
        <w:pStyle w:val="TextBody"/>
        <w:bidi w:val="0"/>
        <w:spacing w:lineRule="atLeast" w:line="23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Agents and their affiliates may in the future provide various investment banking, commercial banking, financial advisory and other financial services for us and our affiliates, for which services they may in the future receive customary fees.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sIOCI"/>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001-37581. The documents incorporated by reference into this prospectus contain important information that you should read about us.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documents are incorporated by reference into this document: </w:t>
      </w:r>
    </w:p>
    <w:p>
      <w:pPr>
        <w:pStyle w:val="TextBody"/>
        <w:bidi w:val="0"/>
        <w:spacing w:lineRule="atLeast" w:line="240" w:before="120" w:after="0"/>
        <w:ind w:left="1993" w:right="0" w:hanging="0"/>
        <w:jc w:val="left"/>
        <w:rPr/>
      </w:pPr>
      <w:hyperlink r:id="rId13">
        <w:r>
          <w:rPr>
            <w:rStyle w:val="InternetLink"/>
          </w:rPr>
          <w:t>our Annual Report on Form 10-K for the fiscal year ended December 31, 2025,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5"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fiscal quarters ended March 31, 2026, and June 30, 2026 filed with the SEC on </w:t>
      </w:r>
      <w:hyperlink r:id="rId14">
        <w:r>
          <w:rPr>
            <w:rStyle w:val="InternetLink"/>
          </w:rPr>
          <w:t>May 7, 2026</w:t>
        </w:r>
      </w:hyperlink>
      <w:r>
        <w:rPr>
          <w:rFonts w:ascii="Times New Roman;Times;serif" w:hAnsi="Times New Roman;Times;serif"/>
          <w:b w:val="false"/>
          <w:i w:val="false"/>
          <w:caps w:val="false"/>
          <w:smallCaps w:val="false"/>
          <w:color w:val="000000"/>
          <w:spacing w:val="4"/>
          <w:sz w:val="20"/>
        </w:rPr>
        <w:t xml:space="preserve"> and </w:t>
      </w:r>
      <w:hyperlink r:id="rId15">
        <w:r>
          <w:rPr>
            <w:rStyle w:val="InternetLink"/>
          </w:rPr>
          <w:t>August 6,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6"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6">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April 28, 2026</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June 4, 2026</w:t>
        </w:r>
      </w:hyperlink>
      <w:r>
        <w:rPr>
          <w:rFonts w:ascii="Times New Roman;Times;serif" w:hAnsi="Times New Roman;Times;serif"/>
          <w:b w:val="false"/>
          <w:i w:val="false"/>
          <w:caps w:val="false"/>
          <w:smallCaps w:val="false"/>
          <w:color w:val="000000"/>
          <w:spacing w:val="4"/>
          <w:sz w:val="20"/>
        </w:rPr>
        <w:t xml:space="preserve">, to the extent the information in such reports is filed and not furnished; and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27"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w:t>
      </w:r>
      <w:hyperlink r:id="rId19">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December 31, 2025, filed with the SEC on February 26, 2026, and any amendment or report filed with the SEC for the purpose of updating such description.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8"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Aclaris Therapeutics Inc., Attn: Matthew Rothman, General Counsel and Corporate Secretary, 701 Lee Road, Suite 103, Wayne, Pennsylvania 19087; telephone: (484) 324-7933.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this prospectus or contained in a document incorporated or deemed to be incorporated by reference into this prospectus will be deemed to be modified or superseded to the extent that a statement contained in this prospectus or any subsequently filed supplement to this prospectus, or document deemed to be incorporated by reference into this prospectus, modifies or supersedes such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sLEMA"/>
      <w:bookmarkEnd w:id="28"/>
      <w:r>
        <w:rPr>
          <w:rFonts w:ascii="calibri;arial;sans-serif" w:hAnsi="calibri;arial;sans-serif"/>
          <w:b w:val="false"/>
          <w:i w:val="false"/>
          <w:caps w:val="false"/>
          <w:smallCaps w:val="false"/>
          <w:color w:val="000000"/>
          <w:sz w:val="16"/>
        </w:rPr>
        <w:t>​</w:t>
      </w:r>
      <w:bookmarkStart w:id="29" w:name="sEXP"/>
      <w:bookmarkEnd w:id="29"/>
      <w:r>
        <w:rPr>
          <w:rFonts w:ascii="calibri;arial;sans-serif" w:hAnsi="calibri;arial;sans-serif"/>
          <w:b w:val="false"/>
          <w:i w:val="false"/>
          <w:caps w:val="false"/>
          <w:smallCaps w:val="false"/>
          <w:color w:val="000000"/>
          <w:sz w:val="16"/>
        </w:rPr>
        <w:t>​</w:t>
      </w:r>
      <w:bookmarkStart w:id="30" w:name="sWYCF"/>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by this prospectus will be passed upon by Cooley LLP, Reston, Virginia. Covington &amp; Burling LLP, New York, New York is acting as counsel for the Sales Agents in connection with this offering.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incorporated in this prospectus by reference to the </w:t>
      </w:r>
      <w:hyperlink r:id="rId2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information that is different than or in addition to the information contained in or incorporated by reference in this prospectus and in any free writing prospectus that we have authorized for use in connection with this offering.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that contains reports, proxy and information statements, and other information regarding issuers, such as us, that file electronically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Copies of certain information filed by us with the SEC are also available on our website at www.aclaristx.com. Information contained in or accessible through our website does not constitute a part of this prospectus and is not incorporated by reference in this prospectus. We have included our website address as an inactive textual reference only.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6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72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$150,000,000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4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1000" w:after="283"/>
        <w:jc w:val="center"/>
        <w:rPr>
          <w:caps w:val="false"/>
          <w:smallCaps w:val="false"/>
          <w:color w:val="000000"/>
        </w:rPr>
      </w:pPr>
      <w:r>
        <w:rPr>
          <w:caps w:val="false"/>
          <w:smallCaps w:val="false"/>
          <w:color w:val="000000"/>
        </w:rPr>
        <w:drawing>
          <wp:inline distT="0" distB="0" distL="0" distR="0">
            <wp:extent cx="2066925" cy="866775"/>
            <wp:effectExtent l="0" t="0" r="0" b="0"/>
            <wp:docPr id="2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4" descr=""/>
                    <pic:cNvPicPr>
                      <a:picLocks noChangeAspect="1" noChangeArrowheads="1"/>
                    </pic:cNvPicPr>
                  </pic:nvPicPr>
                  <pic:blipFill>
                    <a:blip r:embed="rId21"/>
                    <a:stretch>
                      <a:fillRect/>
                    </a:stretch>
                  </pic:blipFill>
                  <pic:spPr bwMode="auto">
                    <a:xfrm>
                      <a:off x="0" y="0"/>
                      <a:ext cx="2066925" cy="866775"/>
                    </a:xfrm>
                    <a:prstGeom prst="rect">
                      <a:avLst/>
                    </a:prstGeom>
                  </pic:spPr>
                </pic:pic>
              </a:graphicData>
            </a:graphic>
          </wp:inline>
        </w:drawing>
      </w:r>
      <w:r>
        <w:rPr>
          <w:caps w:val="false"/>
          <w:smallCaps w:val="false"/>
          <w:color w:val="000000"/>
        </w:rPr>
        <w:t xml:space="preserve"> </w:t>
      </w:r>
    </w:p>
    <w:p>
      <w:pPr>
        <w:pStyle w:val="TextBody"/>
        <w:bidi w:val="0"/>
        <w:spacing w:before="155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36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before="33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60" w:before="2000" w:after="283"/>
        <w:jc w:val="left"/>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Leerink PartnersCantor</w:t>
      </w:r>
      <w:r>
        <w:rPr>
          <w:rFonts w:ascii="Times New Roman;Times;serif" w:hAnsi="Times New Roman;Times;serif"/>
          <w:b/>
          <w:i w:val="false"/>
          <w:caps w:val="false"/>
          <w:smallCaps w:val="false"/>
          <w:color w:val="000000"/>
          <w:spacing w:val="6"/>
          <w:sz w:val="32"/>
        </w:rPr>
        <w:t xml:space="preserve"> </w:t>
      </w:r>
    </w:p>
    <w:p>
      <w:pPr>
        <w:pStyle w:val="TextBody"/>
        <w:bidi w:val="0"/>
        <w:spacing w:before="94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80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August 6, 2026</w:t>
      </w:r>
      <w:r>
        <w:rPr>
          <w:rFonts w:ascii="Times New Roman;Times;serif" w:hAnsi="Times New Roman;Times;serif"/>
          <w:b/>
          <w:i w:val="false"/>
          <w:caps w:val="false"/>
          <w:smallCaps w:val="false"/>
          <w:color w:val="000000"/>
          <w:spacing w:val="4"/>
          <w:sz w:val="20"/>
        </w:rPr>
        <w:t xml:space="preserve"> </w:t>
      </w:r>
    </w:p>
    <w:p>
      <w:pPr>
        <w:pStyle w:val="TextBody"/>
        <w:bidi w:val="0"/>
        <w:spacing w:before="173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6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THE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costs and expenses, other than underwriting discounts and commissions, payable by us in connection with the offering of the securities being registered. All the amounts shown are estimates. </w:t>
      </w:r>
    </w:p>
    <w:tbl>
      <w:tblPr>
        <w:tblW w:w="5314" w:type="dxa"/>
        <w:jc w:val="left"/>
        <w:tblInd w:w="1393" w:type="dxa"/>
        <w:tblLayout w:type="fixed"/>
        <w:tblCellMar>
          <w:top w:w="0" w:type="dxa"/>
          <w:left w:w="0" w:type="dxa"/>
          <w:bottom w:w="0" w:type="dxa"/>
          <w:right w:w="0" w:type="dxa"/>
        </w:tblCellMar>
      </w:tblPr>
      <w:tblGrid>
        <w:gridCol w:w="124"/>
        <w:gridCol w:w="3728"/>
        <w:gridCol w:w="109"/>
        <w:gridCol w:w="109"/>
        <w:gridCol w:w="109"/>
        <w:gridCol w:w="226"/>
        <w:gridCol w:w="64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728" w:type="dxa"/>
            <w:tcBorders/>
            <w:shd w:fill="CCEEFF" w:val="clear"/>
            <w:vAlign w:val="center"/>
          </w:tcPr>
          <w:p>
            <w:pPr>
              <w:pStyle w:val="TableContents"/>
              <w:bidi w:val="0"/>
              <w:spacing w:before="0" w:after="0"/>
              <w:jc w:val="left"/>
              <w:rPr/>
            </w:pPr>
            <w:r>
              <w:rPr>
                <w:spacing w:val="4"/>
              </w:rPr>
              <w:t>SEC registration fee</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   </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28" w:type="dxa"/>
            <w:tcBorders/>
            <w:vAlign w:val="center"/>
          </w:tcPr>
          <w:p>
            <w:pPr>
              <w:pStyle w:val="TableContents"/>
              <w:bidi w:val="0"/>
              <w:spacing w:before="0" w:after="0"/>
              <w:jc w:val="left"/>
              <w:rPr/>
            </w:pPr>
            <w:r>
              <w:rPr>
                <w:spacing w:val="4"/>
              </w:rPr>
              <w:t>Accounting fees and expenses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728" w:type="dxa"/>
            <w:tcBorders/>
            <w:shd w:fill="CCEEFF" w:val="cle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28" w:type="dxa"/>
            <w:tcBorders/>
            <w:vAlign w:val="center"/>
          </w:tcPr>
          <w:p>
            <w:pPr>
              <w:pStyle w:val="TableContents"/>
              <w:bidi w:val="0"/>
              <w:spacing w:before="0" w:after="0"/>
              <w:jc w:val="left"/>
              <w:rPr>
                <w:spacing w:val="4"/>
              </w:rPr>
            </w:pPr>
            <w:r>
              <w:rPr>
                <w:spacing w:val="4"/>
              </w:rPr>
              <w:t xml:space="preserve">Transfer agent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728" w:type="dxa"/>
            <w:tcBorders/>
            <w:shd w:fill="CCEEFF" w:val="clear"/>
            <w:vAlign w:val="center"/>
          </w:tcPr>
          <w:p>
            <w:pPr>
              <w:pStyle w:val="TableContents"/>
              <w:bidi w:val="0"/>
              <w:spacing w:before="0" w:after="0"/>
              <w:jc w:val="left"/>
              <w:rPr>
                <w:spacing w:val="4"/>
              </w:rPr>
            </w:pPr>
            <w:r>
              <w:rPr>
                <w:spacing w:val="4"/>
              </w:rPr>
              <w:t xml:space="preserve">Trustee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28" w:type="dxa"/>
            <w:tcBorders/>
            <w:vAlign w:val="center"/>
          </w:tcPr>
          <w:p>
            <w:pPr>
              <w:pStyle w:val="TableContents"/>
              <w:bidi w:val="0"/>
              <w:spacing w:before="0" w:after="0"/>
              <w:jc w:val="left"/>
              <w:rPr/>
            </w:pPr>
            <w:r>
              <w:rPr>
                <w:spacing w:val="4"/>
              </w:rPr>
              <w:t>Printing and miscellaneous expenses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728" w:type="dxa"/>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646" w:type="dxa"/>
            <w:tcBorders/>
            <w:shd w:fill="CCEEFF" w:val="clear"/>
            <w:vAlign w:val="center"/>
          </w:tcPr>
          <w:p>
            <w:pPr>
              <w:pStyle w:val="TableContents"/>
              <w:bidi w:val="0"/>
              <w:spacing w:before="0" w:after="283"/>
              <w:jc w:val="right"/>
              <w:rPr/>
            </w:pPr>
            <w:r>
              <w:rPr/>
              <w:t>​</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456(b) and 457(r) of the Securities Act, we are deferring payment of the registration fee for the securities offered by this registration statement, other than with respect to the registration fees applicable to the offering of up to $150,000,000 of shares of common stock pursuant to the prospectus. </w:t>
      </w:r>
      <w:r>
        <mc:AlternateContent>
          <mc:Choice Requires="wps">
            <w:drawing>
              <wp:anchor behindDoc="0" distT="100330" distB="0" distL="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0"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estimated at this time. </w:t>
      </w:r>
      <w:r>
        <mc:AlternateContent>
          <mc:Choice Requires="wps">
            <w:drawing>
              <wp:anchor behindDoc="0" distT="4953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1"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the state of Delaware. Under Section 145 of the Delaware General Corporation Law, or the DGCL, we have broad powers to indemnify our directors and officers against liabilities they may incur in such capacities, including liabilities under the Securities Act of 1933, as amended, or the Securities Act. Section 145 of the DGCL generally provides that a Delaware corporation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interests of the corporation and, with respect to any criminal action, they had no reasonable cause to believe their conduct was unlawful.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include provisions that (i) eliminate the personal liability of our directors for monetary damages resulting from breaches of their fiduciary duty to the fullest extent permitted under applicable law, (ii) require us to indemnify our directors to the fullest extent permitted by the DGCL or other applicable law and (iii) provide us with the power, in our discretion, to indemnify our other officers, employees and other agents as set forth in the DGCL or other applicable law. We believe that these provisions of our amended and restated certificate of incorporation and amended and restated bylaws are necessary to attract and retain qualified persons as directors and officers. These provisions do not eliminate our directors’ or officers’ duty of care, and, in appropriate circumstances, equitable remedies such as injunctive or other forms of non-monetary relief will remain available under the DGCL. In addition, each director will continue to be subject to liability pursuant to Section 174 of the DGCL, for breach of such director’s duty of loyalty to us, for acts or omissions not in good faith or involving intentional misconduct, for knowing violations of law, for acts or omissions that such director believes to be contrary to our best interests or the best interests of our stockholders, for any transaction from which such director derived an improper personal benefit, for acts or omissions involving a reckless disregard for such director’s duty to us or to our stockholders when such director was aware or should have been aware of a risk of serious injury to us or to our stockholders, for acts or omission that constitute an unexcused pattern of inattention that amounts to an abdication of such director’s duty to us or to our stockholders, for improper transactions between such director and us and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improper loans to directors and officers. These provisions also do not affect a director’s responsibilities under any other law, such as the federal securities law or state or federal environmental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97"/>
        <w:gridCol w:w="109"/>
        <w:gridCol w:w="109"/>
        <w:gridCol w:w="7418"/>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97"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1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Document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1-2.htm">
              <w:r>
                <w:rPr>
                  <w:rStyle w:val="InternetLink"/>
                  <w:spacing w:val="4"/>
                </w:rPr>
                <w:t>Second Amended and Restated Sales Agreement by and among the Registrant, Leerink Partners LLC and Cantor Fitzgerald &amp; Co., dated as of August 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283"/>
              <w:jc w:val="left"/>
              <w:rPr/>
            </w:pPr>
            <w:hyperlink r:id="rId22">
              <w:r>
                <w:rPr>
                  <w:rStyle w:val="InternetLink"/>
                </w:rPr>
                <w:t>Amended and Restated Certificate of Incorporation of the Registrant (incorporated by reference to Exhibit 3.1 to the Registrant’s Current Report on Form 8-K (File No. 001-37581), filed with the SEC on October 13, 2015).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283"/>
              <w:jc w:val="left"/>
              <w:rPr/>
            </w:pPr>
            <w:hyperlink r:id="rId23">
              <w:r>
                <w:rPr>
                  <w:rStyle w:val="InternetLink"/>
                </w:rPr>
                <w:t>Certificate of Amendment to Amended and Restated Certificate of Incorporation of the Registrant (incorporated herein by reference to Exhibit 3.1 to the Registrant’s Current Report on Form 8-K (File No. 001-37581), filed with the SEC on June 5,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283"/>
              <w:jc w:val="left"/>
              <w:rPr/>
            </w:pPr>
            <w:hyperlink r:id="rId24">
              <w:r>
                <w:rPr>
                  <w:rStyle w:val="InternetLink"/>
                </w:rPr>
                <w:t>Amended and Restated Bylaws of the Registrant (incorporated by reference to Exhibit 3.1 to the Registrant’s Current Report on Form 8-K (File No. 001-37581), filed with the SEC on June 24, 2020).</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spacing w:val="4"/>
              </w:rPr>
            </w:pPr>
            <w:r>
              <w:rPr>
                <w:spacing w:val="4"/>
              </w:rPr>
              <w:t xml:space="preserve">Form of Specimen Preferred Stock Certificate and Certificate of Designation of Preferred Stock.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4-2.htm">
              <w:r>
                <w:rPr>
                  <w:rStyle w:val="InternetLink"/>
                  <w:spacing w:val="4"/>
                </w:rPr>
                <w:t>Form of Indenture, between the Registrant and one or more trustees to be named.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283"/>
              <w:jc w:val="left"/>
              <w:rPr>
                <w:spacing w:val="4"/>
              </w:rPr>
            </w:pPr>
            <w:r>
              <w:rPr>
                <w:spacing w:val="4"/>
              </w:rPr>
              <w:t xml:space="preserve">Form of Debt Securities.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4-4.htm">
              <w:r>
                <w:rPr>
                  <w:rStyle w:val="InternetLink"/>
                  <w:spacing w:val="4"/>
                </w:rPr>
                <w:t>Form of Common Stock Warrant Agreement and Warrant Certificate.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4-5.htm">
              <w:r>
                <w:rPr>
                  <w:rStyle w:val="InternetLink"/>
                  <w:spacing w:val="4"/>
                </w:rPr>
                <w:t>Form of Preferred Stock Warrant Agreement and Warrant Certificate.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4-6.htm">
              <w:r>
                <w:rPr>
                  <w:rStyle w:val="InternetLink"/>
                  <w:spacing w:val="4"/>
                </w:rPr>
                <w:t>Form of Debt Securities Warrant Agreement and Warrant Certificate.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5-1.htm">
              <w:r>
                <w:rPr>
                  <w:rStyle w:val="InternetLink"/>
                  <w:spacing w:val="4"/>
                </w:rPr>
                <w:t>Opinion of Cooley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23-1.htm">
              <w:r>
                <w:rPr>
                  <w:rStyle w:val="InternetLink"/>
                  <w:spacing w:val="4"/>
                </w:rPr>
                <w:t>Consent of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2_ex5-1.htm">
              <w:r>
                <w:rPr>
                  <w:rStyle w:val="InternetLink"/>
                  <w:spacing w:val="4"/>
                </w:rPr>
                <w:t>Consent of Cooley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SIGNJ1">
              <w:r>
                <w:rPr>
                  <w:rStyle w:val="InternetLink"/>
                  <w:spacing w:val="4"/>
                </w:rPr>
                <w:t xml:space="preserve">Power of Attorney (included on signature page).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283"/>
              <w:jc w:val="left"/>
              <w:rPr>
                <w:spacing w:val="4"/>
              </w:rPr>
            </w:pPr>
            <w:r>
              <w:rPr>
                <w:spacing w:val="4"/>
              </w:rPr>
              <w:t xml:space="preserve">Statement of Eligibility of Trustee under the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7"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18" w:type="dxa"/>
            <w:tcBorders/>
            <w:tcMar>
              <w:bottom w:w="0" w:type="dxa"/>
            </w:tcMar>
            <w:vAlign w:val="center"/>
          </w:tcPr>
          <w:p>
            <w:pPr>
              <w:pStyle w:val="TableContents"/>
              <w:bidi w:val="0"/>
              <w:spacing w:before="0" w:after="0"/>
              <w:jc w:val="left"/>
              <w:rPr/>
            </w:pPr>
            <w:hyperlink w:anchor="tm2622183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if applicable, by amendment or by a report filed under the Exchange Act and incorporated herein by reference. </w:t>
      </w:r>
      <w:r>
        <mc:AlternateContent>
          <mc:Choice Requires="wps">
            <w:drawing>
              <wp:anchor behindDoc="0" distT="8890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2"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if applicable, in accordance with the requirements of Section 305(b)(2) of the Trust Indenture Act of 1939 and Rule 5b-3 thereunder. </w:t>
      </w:r>
      <w:r>
        <mc:AlternateContent>
          <mc:Choice Requires="wps">
            <w:drawing>
              <wp:anchor behindDoc="0" distT="38100" distB="0" distL="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33"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of 1933; </w:t>
      </w:r>
      <w:r>
        <mc:AlternateContent>
          <mc:Choice Requires="wps">
            <w:drawing>
              <wp:anchor behindDoc="0" distT="99060" distB="0" distL="50800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4"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w:t>
      </w:r>
      <w:r>
        <mc:AlternateContent>
          <mc:Choice Requires="wps">
            <w:drawing>
              <wp:anchor behindDoc="0" distT="99060" distB="0" distL="50800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35"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102870" distB="0" distL="508000" distR="0" simplePos="0" locked="0" layoutInCell="1" allowOverlap="1" relativeHeight="241">
                <wp:simplePos x="0" y="0"/>
                <wp:positionH relativeFrom="column">
                  <wp:align>left</wp:align>
                </wp:positionH>
                <wp:positionV relativeFrom="line">
                  <wp:align>top</wp:align>
                </wp:positionV>
                <wp:extent cx="254000" cy="525780"/>
                <wp:effectExtent l="0" t="0" r="0" b="0"/>
                <wp:wrapSquare wrapText="right"/>
                <wp:docPr id="236" name="Frame23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this registration statement or are contained in a form of prospectus filed pursuant to Rule 424(b) that is part of this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of 1933 to any purchaser: </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101600" distB="0" distL="50800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37"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101600" distB="0" distL="50800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8"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(6)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file an application for the purpose of determining the eligibility of the trustee to act under subsection (a) of Section 310 of the Trust Indenture Act in accordance with the rules and regulations prescribed by the Commission under Section 305(b)(2) of the Trust Indenture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SIGNJ1"/>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w:t>
      </w:r>
    </w:p>
    <w:tbl>
      <w:tblPr>
        <w:tblW w:w="6571" w:type="dxa"/>
        <w:jc w:val="left"/>
        <w:tblInd w:w="1393" w:type="dxa"/>
        <w:tblLayout w:type="fixed"/>
        <w:tblCellMar>
          <w:top w:w="0" w:type="dxa"/>
          <w:left w:w="0" w:type="dxa"/>
          <w:bottom w:w="0" w:type="dxa"/>
          <w:right w:w="0" w:type="dxa"/>
        </w:tblCellMar>
      </w:tblPr>
      <w:tblGrid>
        <w:gridCol w:w="124"/>
        <w:gridCol w:w="2258"/>
        <w:gridCol w:w="109"/>
        <w:gridCol w:w="109"/>
        <w:gridCol w:w="3817"/>
        <w:gridCol w:w="154"/>
      </w:tblGrid>
      <w:tr>
        <w:trPr/>
        <w:tc>
          <w:tcPr>
            <w:tcW w:w="124" w:type="dxa"/>
            <w:tcBorders/>
            <w:vAlign w:val="center"/>
          </w:tcPr>
          <w:p>
            <w:pPr>
              <w:pStyle w:val="TableContents"/>
              <w:bidi w:val="0"/>
              <w:spacing w:before="0" w:after="283"/>
              <w:jc w:val="left"/>
              <w:rPr/>
            </w:pPr>
            <w:r>
              <w:rPr/>
              <w:t>​</w:t>
            </w:r>
          </w:p>
        </w:tc>
        <w:tc>
          <w:tcPr>
            <w:tcW w:w="2258" w:type="dxa"/>
            <w:tcBorders/>
            <w:vAlign w:val="center"/>
          </w:tcPr>
          <w:p>
            <w:pPr>
              <w:pStyle w:val="TableContents"/>
              <w:bidi w:val="0"/>
              <w:spacing w:before="0" w:after="283"/>
              <w:jc w:val="left"/>
              <w:rPr/>
            </w:pPr>
            <w:r>
              <w:rPr>
                <w:spacing w:val="4"/>
              </w:rPr>
              <w:t>Date: August 6, 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17" w:type="dxa"/>
            <w:tcBorders/>
            <w:vAlign w:val="center"/>
          </w:tcPr>
          <w:p>
            <w:pPr>
              <w:pStyle w:val="TableContents"/>
              <w:bidi w:val="0"/>
              <w:spacing w:before="0" w:after="0"/>
              <w:jc w:val="left"/>
              <w:rPr>
                <w:b/>
              </w:rPr>
            </w:pPr>
            <w:r>
              <w:rPr>
                <w:b/>
                <w:spacing w:val="-4"/>
              </w:rPr>
              <w:t>ACLARIS THERAPEUTICS, INC.</w:t>
            </w:r>
            <w:r>
              <w:rPr>
                <w:b/>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5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17" w:type="dxa"/>
            <w:tcBorders/>
            <w:vAlign w:val="center"/>
          </w:tcPr>
          <w:p>
            <w:pPr>
              <w:pStyle w:val="TableContents"/>
              <w:bidi w:val="0"/>
              <w:spacing w:lineRule="atLeast" w:line="200" w:before="0" w:after="0"/>
              <w:ind w:left="400" w:right="0" w:hanging="0"/>
              <w:jc w:val="left"/>
              <w:rPr/>
            </w:pPr>
            <w:r>
              <w:rPr>
                <w:spacing w:val="4"/>
              </w:rPr>
              <w:t>/s/ Neal Walker</w:t>
            </w:r>
            <w:r>
              <w:rPr/>
              <w:t xml:space="preserve">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54000" cy="525780"/>
                      <wp:effectExtent l="0" t="0" r="0" b="0"/>
                      <wp:wrapSquare wrapText="right"/>
                      <wp:docPr id="239" name="Frame23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left"/>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By: </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400" w:right="0" w:hanging="0"/>
              <w:jc w:val="left"/>
              <w:rPr>
                <w:bdr w:val="single" w:sz="8" w:space="1" w:color="000000"/>
              </w:rPr>
            </w:pPr>
            <w:r>
              <w:rPr>
                <w:bdr w:val="single" w:sz="8" w:space="1" w:color="000000"/>
              </w:rPr>
              <w:t>​</w:t>
            </w:r>
          </w:p>
          <w:p>
            <w:pPr>
              <w:pStyle w:val="TableContents"/>
              <w:bidi w:val="0"/>
              <w:spacing w:before="40" w:after="283"/>
              <w:ind w:left="400" w:right="0" w:hanging="0"/>
              <w:jc w:val="left"/>
              <w:rPr/>
            </w:pPr>
            <w:r>
              <w:rPr>
                <w:spacing w:val="4"/>
              </w:rPr>
              <w:t xml:space="preserve">Neal Walker </w:t>
            </w:r>
            <w:r>
              <w:rPr/>
              <w:br/>
            </w:r>
            <w:r>
              <w:rPr>
                <w:spacing w:val="4"/>
              </w:rPr>
              <w:t>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82"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PERSONS BY THESE PRESENTS, that each person whose signature appears below hereby constitutes and appoints Neal Walker and Kevin Balthaser, jointly and severally, as true and lawful attorneys-in-fact and agents, with full powers of substitution and resubstitution, for them and in their name, place, and stead, in any and all capacities, to sign any and all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the Registrant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ratifying and confirming all that said attorneys-in-fact and agents, or any of them, or their or his or her substitutes or substitute, may lawfully do or cause to be done by virtue hereof. </w:t>
      </w:r>
    </w:p>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150"/>
        <w:gridCol w:w="109"/>
        <w:gridCol w:w="109"/>
        <w:gridCol w:w="4510"/>
        <w:gridCol w:w="109"/>
        <w:gridCol w:w="109"/>
        <w:gridCol w:w="1436"/>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15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1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0" w:type="dxa"/>
            <w:tcBorders/>
            <w:tcMar>
              <w:bottom w:w="0" w:type="dxa"/>
            </w:tcMar>
            <w:vAlign w:val="center"/>
          </w:tcPr>
          <w:p>
            <w:pPr>
              <w:pStyle w:val="TableContents"/>
              <w:bidi w:val="0"/>
              <w:spacing w:before="0" w:after="0"/>
              <w:jc w:val="center"/>
              <w:rPr>
                <w:spacing w:val="4"/>
              </w:rPr>
            </w:pPr>
            <w:r>
              <w:rPr>
                <w:spacing w:val="4"/>
              </w:rPr>
              <w:t xml:space="preserve">/s/ Neal Walker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Neal Walker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0" w:type="dxa"/>
            <w:tcBorders/>
            <w:tcMar>
              <w:bottom w:w="0" w:type="dxa"/>
            </w:tcMar>
            <w:vAlign w:val="center"/>
          </w:tcPr>
          <w:p>
            <w:pPr>
              <w:pStyle w:val="TableContents"/>
              <w:bidi w:val="0"/>
              <w:spacing w:before="0" w:after="0"/>
              <w:jc w:val="center"/>
              <w:rPr/>
            </w:pPr>
            <w:r>
              <w:rPr>
                <w:spacing w:val="4"/>
              </w:rPr>
              <w:t xml:space="preserve">Chief Executive Officer, and Chairman of the Board of Directors </w:t>
            </w:r>
            <w:r>
              <w:rPr/>
              <w:br/>
            </w:r>
            <w:r>
              <w:rPr>
                <w:i/>
                <w:spacing w:val="4"/>
              </w:rPr>
              <w:t>(Principal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 Kevin Balthaser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Kevin Balthaser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0" w:type="dxa"/>
            <w:tcBorders/>
            <w:tcMar>
              <w:top w:w="28" w:type="dxa"/>
              <w:left w:w="28" w:type="dxa"/>
              <w:right w:w="28" w:type="dxa"/>
            </w:tcMar>
            <w:vAlign w:val="center"/>
          </w:tcPr>
          <w:p>
            <w:pPr>
              <w:pStyle w:val="TableContents"/>
              <w:bidi w:val="0"/>
              <w:spacing w:before="0" w:after="0"/>
              <w:jc w:val="center"/>
              <w:rPr>
                <w:i/>
              </w:rPr>
            </w:pPr>
            <w:r>
              <w:rPr>
                <w:i w:val="false"/>
                <w:caps w:val="false"/>
                <w:smallCaps w:val="false"/>
                <w:spacing w:val="4"/>
              </w:rPr>
              <w:t>Chief Financial Officer</w:t>
            </w:r>
            <w:r>
              <w:rPr>
                <w:i/>
                <w:spacing w:val="4"/>
              </w:rPr>
              <w:t xml:space="preserve"> </w:t>
            </w:r>
            <w:r>
              <w:rPr>
                <w:i/>
              </w:rPr>
              <w:br/>
            </w:r>
            <w:r>
              <w:rPr>
                <w:i/>
                <w:spacing w:val="4"/>
              </w:rPr>
              <w:t>(Principal Financial Officer and Principal Accounting Officer)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 Christopher Molineaux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pPr>
            <w:r>
              <w:rPr>
                <w:spacing w:val="4"/>
              </w:rPr>
              <w:t>Christopher Molineaux</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Lead Independent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 Anand Mehra, M.D.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Anand Mehra, M.D.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 William Humphries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William Humphries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 Andrew Schiff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Schiff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15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 Hugh Davis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Hugh Davis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0"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President, Chief Operating Officer and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6"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August 6,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333" w:type="dxa"/>
        <w:jc w:val="left"/>
        <w:tblInd w:w="1393" w:type="dxa"/>
        <w:tblLayout w:type="fixed"/>
        <w:tblCellMar>
          <w:top w:w="0" w:type="dxa"/>
          <w:left w:w="0" w:type="dxa"/>
          <w:bottom w:w="28" w:type="dxa"/>
          <w:right w:w="0" w:type="dxa"/>
        </w:tblCellMar>
      </w:tblPr>
      <w:tblGrid>
        <w:gridCol w:w="124"/>
        <w:gridCol w:w="1973"/>
        <w:gridCol w:w="109"/>
        <w:gridCol w:w="109"/>
        <w:gridCol w:w="974"/>
        <w:gridCol w:w="109"/>
        <w:gridCol w:w="109"/>
        <w:gridCol w:w="1672"/>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97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73" w:type="dxa"/>
            <w:tcBorders/>
            <w:tcMar>
              <w:bottom w:w="0" w:type="dxa"/>
            </w:tcMar>
            <w:vAlign w:val="center"/>
          </w:tcPr>
          <w:p>
            <w:pPr>
              <w:pStyle w:val="TableContents"/>
              <w:bidi w:val="0"/>
              <w:spacing w:before="0" w:after="0"/>
              <w:jc w:val="center"/>
              <w:rPr>
                <w:spacing w:val="4"/>
              </w:rPr>
            </w:pPr>
            <w:r>
              <w:rPr>
                <w:spacing w:val="4"/>
              </w:rPr>
              <w:t xml:space="preserve">/s/ Maxine Gowen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Maxine Gowen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6,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973"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/s/ Vincent Milano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Vincent Milano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top w:w="28" w:type="dxa"/>
              <w:left w:w="28" w:type="dxa"/>
              <w:right w:w="28" w:type="dxa"/>
            </w:tcMar>
            <w:vAlign w:val="center"/>
          </w:tcPr>
          <w:p>
            <w:pPr>
              <w:pStyle w:val="TableContents"/>
              <w:bidi w:val="0"/>
              <w:spacing w:before="0" w:after="0"/>
              <w:jc w:val="center"/>
              <w:rPr/>
            </w:pPr>
            <w:r>
              <w:rPr>
                <w:spacing w:val="4"/>
              </w:rPr>
              <w:t>August 6,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32" w:name="tm2622183d2_ex1-2.htm"/>
      <w:bookmarkStart w:id="33" w:name="kstm2622183d2_ex12"/>
      <w:bookmarkEnd w:id="32"/>
      <w:bookmarkEnd w:id="33"/>
      <w:r>
        <w:rPr/>
        <w:t> </w:t>
      </w:r>
      <w:r>
        <w:br w:type="page"/>
      </w:r>
    </w:p>
    <w:p>
      <w:pPr>
        <w:pStyle w:val="TextBody"/>
        <w:bidi w:val="0"/>
        <w:jc w:val="right"/>
        <w:rPr>
          <w:b/>
        </w:rPr>
      </w:pPr>
      <w:r>
        <w:rPr>
          <w:b/>
        </w:rPr>
        <w:t>Exhibit 1.2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ACLARIS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($0.00001 par value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AMENDED AND RESTATED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5th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East 59th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Aclaris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Leerink Partners LLC and Cantor Fitzgerald &amp; Co., as sales agents and/or principals (collectively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and each individually an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are parties to that certain Amended and Restated Sales Agreement dated February 27, 2025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The Company and Agents desire to amend and restate the Original Agreement in its entirety as set forth in this Second Amended and Restated Sales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and propose, subject to the terms and conditions stated herein, to issue and sell from time to time through Agents shares of the Company’s common stock, par value $0.00001 per share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on the terms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confirms this Agreement with Agents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capitalized terms used herein and not otherwise defined shall have the following respective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Agency Period</w:t>
      </w:r>
      <w:r>
        <w:rPr>
          <w:rFonts w:ascii="Times New Roman;Times;Serif" w:hAnsi="Times New Roman;Times;Serif"/>
          <w:b w:val="false"/>
          <w:i w:val="false"/>
          <w:caps w:val="false"/>
          <w:smallCaps w:val="false"/>
          <w:sz w:val="20"/>
        </w:rPr>
        <w:t>” means the period commencing on the date of this Agreement and expiring on the earliest to occur of (x) the date on which the Designated Agent shall have placed the Maximum Program Amount pursuant to this Agreement and (y) the date this Agreement is terminated pursuant to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Agent</w:t>
      </w:r>
      <w:r>
        <w:rPr>
          <w:rFonts w:ascii="Times New Roman;Times;Serif" w:hAnsi="Times New Roman;Times;Serif"/>
          <w:b w:val="false"/>
          <w:i w:val="false"/>
          <w:caps w:val="false"/>
          <w:smallCaps w:val="false"/>
          <w:sz w:val="20"/>
        </w:rPr>
        <w:t>” means, as of any given time, an Agent that the Company has designated as sales agent to sell Shares pursuant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Amount</w:t>
      </w:r>
      <w:r>
        <w:rPr>
          <w:rFonts w:ascii="Times New Roman;Times;Serif" w:hAnsi="Times New Roman;Times;Serif"/>
          <w:b w:val="false"/>
          <w:i w:val="false"/>
          <w:caps w:val="false"/>
          <w:smallCaps w:val="false"/>
          <w:sz w:val="20"/>
        </w:rPr>
        <w:t>” means the aggregate Sales Price of the Shares to be sold by the Designated Agent pursuant to any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w:t>
      </w:r>
      <w:r>
        <w:rPr>
          <w:rFonts w:ascii="Times New Roman;Times;Serif" w:hAnsi="Times New Roman;Times;Serif"/>
          <w:b w:val="false"/>
          <w:i w:val="false"/>
          <w:caps w:val="false"/>
          <w:smallCaps w:val="false"/>
          <w:sz w:val="20"/>
        </w:rPr>
        <w:t>” means a written notice delivered to the Designated Agent by the Company in accordance with this Agreement in the form attached hereto as Exhibit A that is executed by its Chief Executive Officer, President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Issuance Notice Date</w:t>
      </w:r>
      <w:r>
        <w:rPr>
          <w:rFonts w:ascii="Times New Roman;Times;Serif" w:hAnsi="Times New Roman;Times;Serif"/>
          <w:b w:val="false"/>
          <w:i w:val="false"/>
          <w:caps w:val="false"/>
          <w:smallCaps w:val="false"/>
          <w:sz w:val="20"/>
        </w:rPr>
        <w:t>” means any Trading Day during the Agency Period that an Issuance Notice is delivered pursuant to Section 3(c)(i). “Issuance Price” means the Sales Price less the Selling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Program Amount</w:t>
      </w:r>
      <w:r>
        <w:rPr>
          <w:rFonts w:ascii="Times New Roman;Times;Serif" w:hAnsi="Times New Roman;Times;Serif"/>
          <w:b w:val="false"/>
          <w:i w:val="false"/>
          <w:caps w:val="false"/>
          <w:smallCaps w:val="false"/>
          <w:sz w:val="20"/>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or a corporation, partnership, limited liability company, trust, incorporated or unincorporated association, joint venture, joint stock company, governmental authority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Global Select Market or such other national securities exchange on which the Common Shares, including any Shares,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Sales Price</w:t>
      </w:r>
      <w:r>
        <w:rPr>
          <w:rFonts w:ascii="Times New Roman;Times;Serif" w:hAnsi="Times New Roman;Times;Serif"/>
          <w:b w:val="false"/>
          <w:i w:val="false"/>
          <w:caps w:val="false"/>
          <w:smallCaps w:val="false"/>
          <w:sz w:val="20"/>
        </w:rPr>
        <w:t>” means the actual sale execution price of each Share placed by the Designated Agent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Selling Commission</w:t>
      </w:r>
      <w:r>
        <w:rPr>
          <w:rFonts w:ascii="Times New Roman;Times;Serif" w:hAnsi="Times New Roman;Times;Serif"/>
          <w:b w:val="false"/>
          <w:i w:val="false"/>
          <w:caps w:val="false"/>
          <w:smallCaps w:val="false"/>
          <w:sz w:val="20"/>
        </w:rPr>
        <w:t>” means three percent (3%) of the gross proceeds of Shares sold pursuant to this Agreement, or as otherwise agreed between the Company and the Designated Agent with respect to any Shares sold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means the first business day following each Trading Day during the period set forth in the Issuance Notice on which Shares are sold pursuant to this Agreement, when the Company shall deliver to the Designated Agent the amount of Shares sold on such Trading Day and the Designated Agent shall deliver to the Company the Issuance Price received on such sales.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shall mean the Company’s Common Shares issued or issuable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Principal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REPRESENTATIONS AND WARRANTIES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and agrees with, each Agent that as of (1) the date of this Agreement, (2) each Issuance Notice Date, (3) each Settlement Date, (4) each Triggering Event Date and (5) as of each Time of Sale (as defined below) (each of the times referenced above is referred to herein as a “</w:t>
      </w:r>
      <w:r>
        <w:rPr>
          <w:rFonts w:ascii="Times New Roman;Times;Serif" w:hAnsi="Times New Roman;Times;Serif"/>
          <w:b/>
          <w:i w:val="false"/>
          <w:caps w:val="false"/>
          <w:smallCaps w:val="false"/>
          <w:sz w:val="20"/>
        </w:rPr>
        <w:t>Representation Date</w:t>
      </w:r>
      <w:r>
        <w:rPr>
          <w:rFonts w:ascii="Times New Roman;Times;Serif" w:hAnsi="Times New Roman;Times;Serif"/>
          <w:b w:val="false"/>
          <w:i w:val="false"/>
          <w:caps w:val="false"/>
          <w:smallCaps w:val="false"/>
          <w:sz w:val="20"/>
        </w:rPr>
        <w:t>”), except as may be disclosed in the Prospectus (including any documents incorporated by reference therein and any supplements thereto) on or before a Representation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Company has prepared and will file with the Commission an automatic shelf registration statement on Form S-3 that contains a base prospectus. Such registration statement will register the issuance and sale by the Company of certain securities, including the Shares, under the Securities Act. The Company has prepared a prospectus specifically relating to the Shares (the “</w:t>
      </w:r>
      <w:r>
        <w:rPr>
          <w:rFonts w:ascii="Times New Roman;Times;Serif" w:hAnsi="Times New Roman;Times;Serif"/>
          <w:b/>
          <w:i w:val="false"/>
          <w:caps w:val="false"/>
          <w:smallCaps w:val="false"/>
          <w:sz w:val="20"/>
        </w:rPr>
        <w:t>ATM Prospectus</w:t>
      </w:r>
      <w:r>
        <w:rPr>
          <w:rFonts w:ascii="Times New Roman;Times;Serif" w:hAnsi="Times New Roman;Times;Serif"/>
          <w:b w:val="false"/>
          <w:i w:val="false"/>
          <w:caps w:val="false"/>
          <w:smallCaps w:val="false"/>
          <w:sz w:val="20"/>
        </w:rPr>
        <w:t>”) included as part of such registration statement and shall, if necessary, prepare a prospectus supplement specifically relating to the Shares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to the base prospectus and/or to the ATM Prospectus included as part of such registration statement.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and any post-effective amendment thereto, as amended when it becomes effective, including any information deemed to be a part thereof pursuant to Rule 430B or Rule 462(b) under the Securities Act, or any subsequent registration statement on Form S-3 filed pursuant to Rule 415(a)(6) under the Securities Act by the Company to cover any Shares, and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base prospectus included in the Registration Statement, as it may be supplemented by the ATM Prospectus and any Prospectus Supplement, in the form in which such prospectus, ATM Prospectus and/or Prospectus Supplement have most recently been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together with any “issuer free writing prospectus,” as defined in Rule 433 under the Securities Act regulations (“</w:t>
      </w:r>
      <w:r>
        <w:rPr>
          <w:rFonts w:ascii="Times New Roman;Times;Serif" w:hAnsi="Times New Roman;Times;Serif"/>
          <w:b/>
          <w:i w:val="false"/>
          <w:caps w:val="false"/>
          <w:smallCaps w:val="false"/>
          <w:sz w:val="20"/>
        </w:rPr>
        <w:t>Rule 433</w:t>
      </w:r>
      <w:r>
        <w:rPr>
          <w:rFonts w:ascii="Times New Roman;Times;Serif" w:hAnsi="Times New Roman;Times;Serif"/>
          <w:b w:val="false"/>
          <w:i w:val="false"/>
          <w:caps w:val="false"/>
          <w:smallCaps w:val="false"/>
          <w:sz w:val="20"/>
        </w:rPr>
        <w:t>”), relating to the Shares that (i) is required to be filed with the Commission by the Company or (ii) is exempt from filing pursuant to Rule 433(d)(5)(i) under the Securities Act, in each case in the form filed or required to be filed with the Commission or, if not required to be filed, in the form retained in the Company’s records pursuant to Rule 433(g) under the Securities Act, is referred to herein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except that if any revised prospectus is provided to the Agents by the Company for use in connection with the offering of the Shares that is not required to be filed by the Company pursuant to Rule 424(b) under the Securities Act, the term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refer to such revised prospectus from and after the time it is first provided to the Agents for such use. The Registration Statement at the time it originally became effective is herein called the “</w:t>
      </w:r>
      <w:r>
        <w:rPr>
          <w:rFonts w:ascii="Times New Roman;Times;Serif" w:hAnsi="Times New Roman;Times;Serif"/>
          <w:b/>
          <w:i w:val="false"/>
          <w:caps w:val="false"/>
          <w:smallCaps w:val="false"/>
          <w:sz w:val="20"/>
        </w:rPr>
        <w:t>Original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 The Company’s obligations under this Agreement to furnish, provide, deliver or make available (and all other references of like import) copies of any report or statement shall be deemed satisfied if the same is filed with the Commission through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(except that, upon the Agents’ request, the Company shall provide a signed and printed copy of the Registration Statement and of any signed amendment or supplement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the Registration Statement becomes effective and at the time the Company’s most recent annual report on Form 10-K is filed with the Commission, the Company will meet the then-applicable requirements for use of Form S-3 under the Securities Act. During the Agency Period, each time the Company files an annual report on Form 10-K the Company will meet the then-applicable requirements for use of Form S-3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Compliance with Registration Requirements</w:t>
      </w:r>
      <w:r>
        <w:rPr>
          <w:rFonts w:ascii="Times New Roman;Times;Serif" w:hAnsi="Times New Roman;Times;Serif"/>
          <w:b w:val="false"/>
          <w:i w:val="false"/>
          <w:caps w:val="false"/>
          <w:smallCaps w:val="false"/>
          <w:sz w:val="20"/>
        </w:rPr>
        <w:t>. Prior to the issuance of any Issuance Notice by the Company, the Original Registration Statement will have become effective under the Securities Act. The Company has complied and will comply to the Commission’s satisfaction with all requests of the Commission for additional or supplemental information. No stop order suspending the effectiveness of the Registration Statement has been or shall have been issued, and no proceedings for such purpose have been instituted or are pending or, to the knowledge of the Company, contemplated or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will comply or, when filed, complied, as applicable, in all material respects with the Securities Act and, if filed with the Commission through EDGAR (except as may be permitted by Regulation S-T under the Securities Act), was identical to the copy thereof delivered to the Agents for use in connection with the issuance and sale of the Shares. Each of the Registration Statement and any post-effective amendment thereto, at the time it became effective and at all subsequent times, the Prospectus and any Free Writing Prospectus (as defined below) considered together (collectively, the “</w:t>
      </w:r>
      <w:r>
        <w:rPr>
          <w:rFonts w:ascii="Times New Roman;Times;Serif" w:hAnsi="Times New Roman;Times;Serif"/>
          <w:b/>
          <w:i w:val="false"/>
          <w:caps w:val="false"/>
          <w:smallCaps w:val="false"/>
          <w:sz w:val="20"/>
        </w:rPr>
        <w:t>Time of Sale Information</w:t>
      </w:r>
      <w:r>
        <w:rPr>
          <w:rFonts w:ascii="Times New Roman;Times;Serif" w:hAnsi="Times New Roman;Times;Serif"/>
          <w:b w:val="false"/>
          <w:i w:val="false"/>
          <w:caps w:val="false"/>
          <w:smallCaps w:val="false"/>
          <w:sz w:val="20"/>
        </w:rPr>
        <w:t>”), as amended or supplemented, as of its date and as of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or any post-effective amendment thereto, or the Prospectus, or any amendments or supplements thereto, made in reliance upon and in conformity with information relating to the Agents furnished to the Company in writing by the Agents expressly for use therein, it being understood and agreed that the only such information furnished by the Agents to the Company consists of the information described in Section 6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and will meet the requirements of Rule 415 under the Securities Act and comply and will comply in all material respects with said rule.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Ineligible Issuer Status</w:t>
      </w:r>
      <w:r>
        <w:rPr>
          <w:rFonts w:ascii="Times New Roman;Times;Serif" w:hAnsi="Times New Roman;Times;Serif"/>
          <w:b w:val="false"/>
          <w:i w:val="false"/>
          <w:caps w:val="false"/>
          <w:smallCaps w:val="false"/>
          <w:sz w:val="20"/>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Agents before first use, the Company has not prepared, used or referred to, and will not, without the Agents’ prior consent,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Well-Known Seasoned Issuer</w:t>
      </w:r>
      <w:r>
        <w:rPr>
          <w:rFonts w:ascii="Times New Roman;Times;Serif" w:hAnsi="Times New Roman;Times;Serif"/>
          <w:b w:val="false"/>
          <w:i w:val="false"/>
          <w:caps w:val="false"/>
          <w:smallCaps w:val="false"/>
          <w:sz w:val="20"/>
        </w:rPr>
        <w:t>. (i) At the original effectiveness of the Registration Statement, (ii) at the time of the most recent amendment thereto for the purpose of complying with Section 10(a)(3) of the Securities Act (whether such amendment was by post-effective amendment, an incorporated report filed pursuant to Section 13 or 15(d) of the Exchange Act or form of prospectus), and (iii) at the time the Company or any person acting on its behalf (within the meaning, for this clause only, of Rule 163(c) of the Securities Act) made any offer relating to the Shares in reliance on the exemption of Rule 163 of the Securities Act, the Company was a “well-known seasoned issuer” as defined in Rule 405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Statistical and Market-Related Data</w:t>
      </w:r>
      <w:r>
        <w:rPr>
          <w:rFonts w:ascii="Times New Roman;Times;Serif" w:hAnsi="Times New Roman;Times;Serif"/>
          <w:b w:val="false"/>
          <w:i w:val="false"/>
          <w:caps w:val="false"/>
          <w:smallCaps w:val="false"/>
          <w:sz w:val="20"/>
        </w:rPr>
        <w:t>. The statistical, demographic and market-related data included or incorporated by reference in the Registration Statement and the Prospectus are based on or derived from sources that the Company believes to be reliable and accurate or represent the Company’s good faith estimates that are made on the basis of data derived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Disclosure Controls and Procedures; Deficiencies in or Changes to Internal Control Over Financial Reporting</w:t>
      </w:r>
      <w:r>
        <w:rPr>
          <w:rFonts w:ascii="Times New Roman;Times;Serif" w:hAnsi="Times New Roman;Times;Serif"/>
          <w:b w:val="false"/>
          <w:i w:val="false"/>
          <w:caps w:val="false"/>
          <w:smallCaps w:val="false"/>
          <w:sz w:val="20"/>
        </w:rPr>
        <w:t>. The Company has established and maintains disclosure controls and procedures (as defined in Exchange Act Rules 13a-15(e) and 15d-15(e)),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Based on the most recent evaluation of its disclosure controls and procedures, the Company is not aware of (i) any significant deficiencies or material weaknesses in the design or operation of internal control over financial reporting which are reasonably likely to adversely affect the Company’s ability to record, process, summarize and report financial information; or (ii) any fraud, whether or not material, that involves management or other employees who have a significant role in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Authorization of the Agreement</w:t>
      </w:r>
      <w:r>
        <w:rPr>
          <w:rFonts w:ascii="Times New Roman;Times;Serif" w:hAnsi="Times New Roman;Times;Serif"/>
          <w:b w:val="false"/>
          <w:i w:val="false"/>
          <w:caps w:val="false"/>
          <w:smallCaps w:val="false"/>
          <w:sz w:val="20"/>
        </w:rPr>
        <w:t>. This Agreement has been duly authorized, executed and delivered by, and is a valid and binding agreement of, the Company, enforceable in accordance with its terms, except as rights to indemnification hereunder may be limited by applicable law and except as the enforcement hereof may be limited by bankruptcy, insolvency, reorganization, moratorium or other similar laws relating to or affecting the rights and remedies of creditors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No Applicable Registration or Other Similar Rights</w:t>
      </w:r>
      <w:r>
        <w:rPr>
          <w:rFonts w:ascii="Times New Roman;Times;Serif" w:hAnsi="Times New Roman;Times;Serif"/>
          <w:b w:val="false"/>
          <w:i w:val="false"/>
          <w:caps w:val="false"/>
          <w:smallCaps w:val="false"/>
          <w:sz w:val="20"/>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Except as otherwise disclosed in the Registration Statement and Prospectus, subsequent to the respective dates as of which information is given in the Registration Statement and Prospectus: (i) there has been no material adverse change, or any development that could reasonably be expected to result in a material adverse change, in the condition, financial or otherwise, or in the earnings, business, operations or prospects, whether or not arising from transactions in the ordinary course of business, of the Company and its subsidiaries, considered as one entity (any such change is called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by any of its subsidiaries on any class of capital stock or repurchase or redemption by the Company or any of its subsidiaries of any class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The independent registered public accounting firm that has expressed its opinion with respect to the financial statements (which term as used in this Agreement includes the related notes thereto) filed with the Commission or incorporated by reference as a part of the Registration Statement and included in the Prospectus is (i) an independent public or certified public accountant as required by the Securities Act and the Exchange Act, (ii) in compliance with the applicable requirements relating to the qualification of accountants under Rule 2-01 of Regulation S-X; and (iii) a registered public accounting firm as defined by the Public Company Accounting Oversight Board (the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whose registration has not been suspended or revoked and who has not requested such registration to be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Preparation of the Financial Statements</w:t>
      </w:r>
      <w:r>
        <w:rPr>
          <w:rFonts w:ascii="Times New Roman;Times;Serif" w:hAnsi="Times New Roman;Times;Serif"/>
          <w:b w:val="false"/>
          <w:i w:val="false"/>
          <w:caps w:val="false"/>
          <w:smallCaps w:val="false"/>
          <w:sz w:val="20"/>
        </w:rPr>
        <w:t>. The financial statements filed with the Commission as a part of or incorporated by reference in the Registration Statement and included in the Prospectus present fairly, in all material respects, the consolidated financial position of the Company and its subsidiaries as of and at the dates indicated and the results of their operations and cash flows for the periods specified. Such financial statements have been prepared in conformity with generally accepted accounting principles as applied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No other financial statements or supporting schedules are required to be included in or incorporated in the Registration Statement or the Prospectus. The financial data set forth or incorporated in the Prospectus fairly present, in all material respects, the information set forth therein on a basis consistent with that of the audited financial statements contained, incorporated or deemed to be incorporated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included in the Prospectus.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Company’s Accounting System</w:t>
      </w:r>
      <w:r>
        <w:rPr>
          <w:rFonts w:ascii="Times New Roman;Times;Serif" w:hAnsi="Times New Roman;Times;Serif"/>
          <w:b w:val="false"/>
          <w:i w:val="false"/>
          <w:caps w:val="false"/>
          <w:smallCaps w:val="false"/>
          <w:sz w:val="20"/>
        </w:rPr>
        <w:t>.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Incorporation and Good Standing of the Company</w:t>
      </w:r>
      <w:r>
        <w:rPr>
          <w:rFonts w:ascii="Times New Roman;Times;Serif" w:hAnsi="Times New Roman;Times;Serif"/>
          <w:b w:val="false"/>
          <w:i w:val="false"/>
          <w:caps w:val="false"/>
          <w:smallCaps w:val="false"/>
          <w:sz w:val="20"/>
        </w:rPr>
        <w:t>. The Company has been duly incorporated and is validly existing as a corporation in good standing under the laws of the State of Delaware and has the power and authority (corporate or other) to own, lease and operate its properties and to conduct its business as described in the Prospectus and to enter into and perform its obligations under this Agreement.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or to be in good standing, individually or in the aggregate, would not reasonably be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Incorporation and Good Standing of the Company’s Subsidiaries</w:t>
      </w:r>
      <w:r>
        <w:rPr>
          <w:rFonts w:ascii="Times New Roman;Times;Serif" w:hAnsi="Times New Roman;Times;Serif"/>
          <w:b w:val="false"/>
          <w:i w:val="false"/>
          <w:caps w:val="false"/>
          <w:smallCaps w:val="false"/>
          <w:sz w:val="20"/>
        </w:rPr>
        <w:t>. Each subsidiary of the Company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Prospectus and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result in a Material Adverse Change. All of the issued and outstanding capital stock or other equity or ownership interests of each subsidiary have been duly authorized and validly issued, are fully paid and nonassessable and are owned by the Company, directly or through subsidiaries, free and clear of any security interest, mortgage, pledge, lien, encumbrance or adverse claim. The Company does not own or control, directly or indirectly, any corporation, association or other entity other than (i) the subsidiaries listed on Exhibit 21.1 to the Company’s most recent annual report on Form 10-K and (ii) such other entities omitted from Exhibit 21.1 which, when such omitted entities are considered in the aggregate as a single subsidiary, would not constitute a “significant subsidiary” within the meaning of Rule 1-02(w) of Regulation S-X.</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Capitalization and Other Capital Stock Matters</w:t>
      </w:r>
      <w:r>
        <w:rPr>
          <w:rFonts w:ascii="Times New Roman;Times;Serif" w:hAnsi="Times New Roman;Times;Serif"/>
          <w:b w:val="false"/>
          <w:i w:val="false"/>
          <w:caps w:val="false"/>
          <w:smallCaps w:val="false"/>
          <w:sz w:val="20"/>
        </w:rPr>
        <w:t>. The authorized, issued and outstanding capital stock of the Company is as set forth in the Prospectus under the caption “Description of Capital Stock” (other than for subsequent issuances, if any, pursuant to employee benefit plans described in the Prospectus or upon the exercise of outstanding options or warrants, in each case as described in the Prospectus). The Common Shares (including the Shares) conform in all material respects to the description thereof contained in the Prospectus. All of the issued and outstanding Common Shares have been duly authorized and validly issued, are fully paid and nonassessable and have been issued in compliance with federal and state securities laws. None of the outstanding Common Shares were issued in violation of any preemptive rights, rights of first refusal or other similar rights to subscribe for or purchase securities of the Company that have not been duly waived or satisfied.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accurately described in all material respects in the Prospectus. The description of the Company’s stock option, stock bonus and other stock plans or arrangements, and the options or other rights granted thereunder, set forth in the Prospectus accurately and fairly presents in all material respects the information required to be shown with respect to such plans, arrangements, options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Stock Exchange Listing</w:t>
      </w:r>
      <w:r>
        <w:rPr>
          <w:rFonts w:ascii="Times New Roman;Times;Serif" w:hAnsi="Times New Roman;Times;Serif"/>
          <w:b w:val="false"/>
          <w:i w:val="false"/>
          <w:caps w:val="false"/>
          <w:smallCaps w:val="false"/>
          <w:sz w:val="20"/>
        </w:rPr>
        <w:t>. The Company is subject to and in compliance in all material respects with the reporting requirements of Section 13 or Section 15(d) of the Exchange Act. The Common Shares are registered pursuant to Section 12(b) of the Exchange Act and are listed on the Principal Market, and the Company has taken no action designed to, or reasonably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Non-Contravention of Existing Instruments; No Further Authorizations or Approvals Required</w:t>
      </w:r>
      <w:r>
        <w:rPr>
          <w:rFonts w:ascii="Times New Roman;Times;Serif" w:hAnsi="Times New Roman;Times;Serif"/>
          <w:b w:val="false"/>
          <w:i w:val="false"/>
          <w:caps w:val="false"/>
          <w:smallCaps w:val="false"/>
          <w:sz w:val="20"/>
        </w:rPr>
        <w:t>. Neither the Company nor any of its subsidiaries is in violation of its charter or by-laws, partnership agreement or operating agreement or similar organizational document, as applicable, or is in default (or, with the giving of notice or lapse of time, would be in default)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under any indenture, mortgage, loan or credit agreement, note, contract, franchise, lease or other instrument to which the Company or any of its subsidiaries is a party or by which it or any of them may be bound (including, without limitation, any credit agreement, indenture, pledge agreement, security agreement or other instrument or agreement evidencing, guaranteeing, securing or relating to indebtedness of the Company or any of its subsidiaries ), or to which any of the property or assets of the Company or any of its subsidiaries is subject (each, an “</w:t>
      </w:r>
      <w:r>
        <w:rPr>
          <w:rFonts w:ascii="Times New Roman;Times;Serif" w:hAnsi="Times New Roman;Times;Serif"/>
          <w:b/>
          <w:i w:val="false"/>
          <w:caps w:val="false"/>
          <w:smallCaps w:val="false"/>
          <w:sz w:val="20"/>
        </w:rPr>
        <w:t>Existing Instrument</w:t>
      </w:r>
      <w:r>
        <w:rPr>
          <w:rFonts w:ascii="Times New Roman;Times;Serif" w:hAnsi="Times New Roman;Times;Serif"/>
          <w:b w:val="false"/>
          <w:i w:val="false"/>
          <w:caps w:val="false"/>
          <w:smallCaps w:val="false"/>
          <w:sz w:val="20"/>
        </w:rPr>
        <w:t>”), except for such Defaults as would not, individually or in the aggregate, result in a Material Adverse Change. The Company’s execution, delivery and performance of this Agreement, consummation of the transactions contemplated hereby and by each applicable Prospectus and the issuance and sale of the Shares (i) have been duly authorized by all necessary corporate action and will not result in any violation of the provisions of the charter or by-laws, partnership agreement or operating agreement or similar organizational document of the Company or any subsidiary, as applicable;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as would not reasonably be expected, individually or in the aggregate, to result in a Material Adverse Change.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Prospectus, except such as have been obtained or made by the Company and are in full force and effect under the Securities Act, applicable state securities or blue sky laws, and from the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Material Actions or Proceedings</w:t>
      </w:r>
      <w:r>
        <w:rPr>
          <w:rFonts w:ascii="Times New Roman;Times;Serif" w:hAnsi="Times New Roman;Times;Serif"/>
          <w:b w:val="false"/>
          <w:i w:val="false"/>
          <w:caps w:val="false"/>
          <w:smallCaps w:val="false"/>
          <w:sz w:val="20"/>
        </w:rPr>
        <w:t>. Except as otherwise disclosed in the Prospectus, there are no material legal or governmental actions, suits or proceedings pending or, to the Company’s knowledge, threatened (i) against or affecting the Company or any of its subsidiaries; (ii) which have as the subject thereof any officer or director of, or property owned or leased by, the Company or any of its subsidiaries; or (iii) relating to environmental or discrimination matters; where in any such case (A) there is a reasonable possibility that such action, suit or proceeding might be determined adversely to the Company, such subsidiary or such officer or director, (B) any such action, suit or proceeding, if so determined adversely, would reasonably be expected to result in a Material Adverse Change or adversely affect the consummation of the transactions contemplated by this Agreement or (C) any such action, suit or proceeding is or would be material in the context of the sale of Shares. Except as otherwise disclosed in the Prospectus, no material labor dispute with the employees of the Company or any of its subsidiaries, or with the employees of any principal supplier, manufacturer, customer or contractor of the Company, exists or, to the Company’s knowledge, is threatened or imminent.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The Company and its subsidiaries own or possess the valid right to use all (i) patents, patent applications, trademarks, trademark registrations, service marks, service mark registrations, Internet domain name registrations, copyrights, copyright registrations, licenses, trade secret rights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and (ii)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Times;Serif" w:hAnsi="Times New Roman;Times;Serif"/>
          <w:b/>
          <w:i w:val="false"/>
          <w:caps w:val="false"/>
          <w:smallCaps w:val="false"/>
          <w:sz w:val="20"/>
        </w:rPr>
        <w:t>Intellectual Property Assets</w:t>
      </w:r>
      <w:r>
        <w:rPr>
          <w:rFonts w:ascii="Times New Roman;Times;Serif" w:hAnsi="Times New Roman;Times;Serif"/>
          <w:b w:val="false"/>
          <w:i w:val="false"/>
          <w:caps w:val="false"/>
          <w:smallCaps w:val="false"/>
          <w:sz w:val="20"/>
        </w:rPr>
        <w:t>”) necessary to conduct their respective businesses described in the Prospectus, except where the failure to own or possess the valid right to use the Intellectual Property Assets would not, individually or in the aggregate, result in a Material Adverse Change. The Company and its subsidiaries have not received any opinion from their legal counsel concluding that any activities of their respective businesses infringe, misappropriate, or otherwise violate, valid and enforceable Intellectual Property Rights of any other person. The Company and its subsidiaries have not received written notice of any challenge, which is to their knowledge still pending, by any other person to the rights of the Company and its subsidiaries with respect to any Intellectual Property Rights or Intellectual Property Assets owned or used by the Company or its subsidiaries that would reasonably be expected to result in a Material Adverse Change. To the knowledge of the Company,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Rights license, and the Company has no knowledge of any breach or anticipated breach by any other person to any Intellectual Property Rights license. Except as described in the Prospectus, no claim has been made against the Company alleging the infringement by the Company of any patent, trademark, service mark, trade name, copyright, trade secret, license in or other intellectual property right or franchise right of any person that would reasonably be expected to result in a Material Adverse Change.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All Necessary Permits, etc</w:t>
      </w:r>
      <w:r>
        <w:rPr>
          <w:rFonts w:ascii="Times New Roman;Times;Serif" w:hAnsi="Times New Roman;Times;Serif"/>
          <w:b w:val="false"/>
          <w:i w:val="false"/>
          <w:caps w:val="false"/>
          <w:smallCaps w:val="false"/>
          <w:sz w:val="20"/>
        </w:rPr>
        <w:t>. Except as otherwise disclosed in the Prospectus, the Company and each subsidiary possess such valid and current certificates, authorizations or permits issued by the appropriate state, federal or foreign regulatory agencies or bodies necessary for the ownership or lease of its properties or the conduct of its businesses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as described in the Registration, Statement and the Prospectus, or to permit all clinical and nonclinical studies and trials conducted by or on behalf of the Company and its subsidiaries, except where failure to so possess would not reasonably be expected to, individually or in the aggregate, result in a Material Adverse Change; and neither the Company nor any subsidiary has received, or has any reason to believe that it will receive, any notice of proceedings relating to the revocation or modification of, or non-compliance with, any such certificate, authorization or permit which, singly or in the aggregate, if the subject of an unfavorable decision, ruling or finding, could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Title to Properties</w:t>
      </w:r>
      <w:r>
        <w:rPr>
          <w:rFonts w:ascii="Times New Roman;Times;Serif" w:hAnsi="Times New Roman;Times;Serif"/>
          <w:b w:val="false"/>
          <w:i w:val="false"/>
          <w:caps w:val="false"/>
          <w:smallCaps w:val="false"/>
          <w:sz w:val="20"/>
        </w:rPr>
        <w:t>. The Company and its subsidiaries have good and marketable title to all of the real and personal property and other assets reflected as owned in the financial statements referred to in Section 2(o)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Tax Law Compliance</w:t>
      </w:r>
      <w:r>
        <w:rPr>
          <w:rFonts w:ascii="Times New Roman;Times;Serif" w:hAnsi="Times New Roman;Times;Serif"/>
          <w:b w:val="false"/>
          <w:i w:val="false"/>
          <w:caps w:val="false"/>
          <w:smallCaps w:val="false"/>
          <w:sz w:val="20"/>
        </w:rPr>
        <w:t>. The Company and its consolidated subsidiaries have filed all necessary federal, state and foreign income, property and franchise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Section 2(o) above in respect of all federal, state and foreign income, property and franchise taxes for all periods as to which the tax liability of the Company or any of its consolidated subsidiaries has not been finally determined.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Company Not an “Investment Company.”</w:t>
      </w:r>
      <w:r>
        <w:rPr>
          <w:rFonts w:ascii="Times New Roman;Times;Serif" w:hAnsi="Times New Roman;Times;Serif"/>
          <w:b w:val="false"/>
          <w:i w:val="false"/>
          <w:caps w:val="false"/>
          <w:smallCaps w:val="false"/>
          <w:sz w:val="20"/>
        </w:rPr>
        <w:t xml:space="preserve"> The Company is not, and after receipt of payment for the Shares will not be, an “investment company” within the meaning of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Except as otherwise disclosed in the Prospectus,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subsidiary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 Neither of the Company nor any subsidiary has been denied any insurance coverage which it has sought or for which it has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No Price Stabilization or Manipulation; Compliance with Regulation M</w:t>
      </w:r>
      <w:r>
        <w:rPr>
          <w:rFonts w:ascii="Times New Roman;Times;Serif" w:hAnsi="Times New Roman;Times;Serif"/>
          <w:b w:val="false"/>
          <w:i w:val="false"/>
          <w:caps w:val="false"/>
          <w:smallCaps w:val="false"/>
          <w:sz w:val="20"/>
        </w:rPr>
        <w:t>. Neither the Company nor any of its subsidiaries has taken, directly or indirectly, any action designed to or that would reasonably be expected to cause or result in stabilization or manipulation of the price of the Common Shares or any other “reference security” (as defined in Rule 100 of Regulation M under the Exchange Act (“</w:t>
      </w:r>
      <w:r>
        <w:rPr>
          <w:rFonts w:ascii="Times New Roman;Times;Serif" w:hAnsi="Times New Roman;Times;Serif"/>
          <w:b/>
          <w:i w:val="false"/>
          <w:caps w:val="false"/>
          <w:smallCaps w:val="false"/>
          <w:sz w:val="20"/>
        </w:rPr>
        <w:t>Regulation M</w:t>
      </w:r>
      <w:r>
        <w:rPr>
          <w:rFonts w:ascii="Times New Roman;Times;Serif" w:hAnsi="Times New Roman;Times;Serif"/>
          <w:b w:val="false"/>
          <w:i w:val="false"/>
          <w:caps w:val="false"/>
          <w:smallCaps w:val="false"/>
          <w:sz w:val="20"/>
        </w:rPr>
        <w:t>”)), whether to facilitate the sale or resale of the Shares or otherwise, and has taken no action which would directly or indirectly violate Regulation M. The Company acknowledges that the Agents may engage in passive market making transactions in the Shares on the Principal Market in accordance with Regulation M. The Common Shares are “actively traded securities” (as defined in Regulation 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related-party transactions involving the Company or any of its subsidiaries or any other person required to be described in the Prospectus which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FINRA Matters</w:t>
      </w:r>
      <w:r>
        <w:rPr>
          <w:rFonts w:ascii="Times New Roman;Times;Serif" w:hAnsi="Times New Roman;Times;Serif"/>
          <w:b w:val="false"/>
          <w:i w:val="false"/>
          <w:caps w:val="false"/>
          <w:smallCaps w:val="false"/>
          <w:sz w:val="20"/>
        </w:rPr>
        <w:t>. All of the information provided to the Agents or to counsel for the Agents by the Company, its officers and directors and the holders of any securities (debt or equity) or options to acquire any securities of the Company in connection with letters, filings or other supplemental information provided to FINRA pursuant to FINRA Rules 5110, 5190 and 5121 is true, complete and correct. The Company meets the definition of an “experienced issuer” as specified in FINRA Rule 5110(j)(6). Neither the Company nor any of its Affiliates directly, or indirectly through one or more intermediaries, controls, or is controlled by, or is under common control with, or is a person associated with any member firm of FINRA.</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No Unlawful Contributions or Other Payments</w:t>
      </w:r>
      <w:r>
        <w:rPr>
          <w:rFonts w:ascii="Times New Roman;Times;Serif" w:hAnsi="Times New Roman;Times;Serif"/>
          <w:b w:val="false"/>
          <w:i w:val="false"/>
          <w:caps w:val="false"/>
          <w:smallCaps w:val="false"/>
          <w:sz w:val="20"/>
        </w:rPr>
        <w:t>. Except as otherwise disclosed in the Prospectus,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Compliance with Environmental Laws</w:t>
      </w:r>
      <w:r>
        <w:rPr>
          <w:rFonts w:ascii="Times New Roman;Times;Serif" w:hAnsi="Times New Roman;Times;Serif"/>
          <w:b w:val="false"/>
          <w:i w:val="false"/>
          <w:caps w:val="false"/>
          <w:smallCaps w:val="false"/>
          <w:sz w:val="20"/>
        </w:rPr>
        <w:t>. Except as otherwise described in the Prospectus, and except as would not, individually or in the aggregate, result in a Material Adverse Change (i) neither the Company nor any of its subsidiaries is in violation of any federal, state, local or foreign law or regulation relating to pollution or protection of human health or the environment (including, without limitation, ambient air, surface water, groundwater, land surface or subsurface strata) or wildlife, including without limitation, laws and regulations relating to emissions, discharges, releases or threatened releases of chemicals, pollutants, contaminants, wastes, toxic substances, hazardous substances, petroleum and petroleum products (collectively, “</w:t>
      </w:r>
      <w:r>
        <w:rPr>
          <w:rFonts w:ascii="Times New Roman;Times;Serif" w:hAnsi="Times New Roman;Times;Serif"/>
          <w:b/>
          <w:i w:val="false"/>
          <w:caps w:val="false"/>
          <w:smallCaps w:val="false"/>
          <w:sz w:val="20"/>
        </w:rPr>
        <w:t>Materials of Environmental Concern</w:t>
      </w:r>
      <w:r>
        <w:rPr>
          <w:rFonts w:ascii="Times New Roman;Times;Serif" w:hAnsi="Times New Roman;Times;Serif"/>
          <w:b w:val="false"/>
          <w:i w:val="false"/>
          <w:caps w:val="false"/>
          <w:smallCaps w:val="false"/>
          <w:sz w:val="20"/>
        </w:rPr>
        <w:t>”), or otherwise relating to the manufacture, processing, distribution, use, treatment, storage, disposal, transport or handling of Materials of Environmental Concern (collectively,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which violation includes, but is not limited to, noncompliance with any permits or other governmental authorizations required for the operation of the business of the Company or its subsidiaries under applicable Environmental Laws, or noncompliance with the terms and conditions thereof, nor has the Company or any of its subsidiaries received any written communication, whether from a governmental authority, citizens group, employee or otherwise, that alleges that the Company or any of its subsidiaries is in violation of any Environmental Law; (ii) there is no claim, action or cause of action filed with a court or governmental authority, no investigation with respect to which the Company has received written notice, and no written notice by any person or entity alleging potential liability for investigatory costs, cleanup costs, governmental responses costs, natural resources damages, property damages, personal injuries, attorneys’ fees or penalties arising out of, based on or resulting from the presence, or release into the environment, of any Material of Environmental Concern at any location owned, leased or operated by the Company or any of its subsidiaries, now or in the past (collectively, “</w:t>
      </w:r>
      <w:r>
        <w:rPr>
          <w:rFonts w:ascii="Times New Roman;Times;Serif" w:hAnsi="Times New Roman;Times;Serif"/>
          <w:b/>
          <w:i w:val="false"/>
          <w:caps w:val="false"/>
          <w:smallCaps w:val="false"/>
          <w:sz w:val="20"/>
        </w:rPr>
        <w:t>Environmental Claims</w:t>
      </w:r>
      <w:r>
        <w:rPr>
          <w:rFonts w:ascii="Times New Roman;Times;Serif" w:hAnsi="Times New Roman;Times;Serif"/>
          <w:b w:val="false"/>
          <w:i w:val="false"/>
          <w:caps w:val="false"/>
          <w:smallCaps w:val="false"/>
          <w:sz w:val="20"/>
        </w:rPr>
        <w:t>”), pending or, to the Company’s knowledge, threatened against the Company or any of its subsidiaries or any person or entity whose liability for any Environmental Claim the Company or any of its subsidiaries has retained or assumed either contractually or by operation of law; and (iii) to the Company’s knowledge, there are no past or present actions, activities, circumstances, conditions, events or incidents, including, without limitation, the release, emission, discharge, presence or disposal of any Material of Environmental Concern, that reasonably could result in a violation of any Environmental Law or form the basis of a potential Environmental Claim against the Company or any of its subsidiaries or against any person or entity whose liability for any Environmental Claim the Company or any of its subsidiaries has retained or assumed either contractually or by operation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The Company and its subsidiaries and any “employee benefit plan” (as defined under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established or maintained by the Company, its subsidiaries or their “</w:t>
      </w:r>
      <w:r>
        <w:rPr>
          <w:rFonts w:ascii="Times New Roman;Times;Serif" w:hAnsi="Times New Roman;Times;Serif"/>
          <w:b/>
          <w:i w:val="false"/>
          <w:caps w:val="false"/>
          <w:smallCaps w:val="false"/>
          <w:sz w:val="20"/>
        </w:rPr>
        <w:t>ERISA Affiliates</w:t>
      </w:r>
      <w:r>
        <w:rPr>
          <w:rFonts w:ascii="Times New Roman;Times;Serif" w:hAnsi="Times New Roman;Times;Serif"/>
          <w:b w:val="false"/>
          <w:i w:val="false"/>
          <w:caps w:val="false"/>
          <w:smallCaps w:val="false"/>
          <w:sz w:val="20"/>
        </w:rPr>
        <w:t>” (as defined below), are in compliance in all material respects with ERISA. “ERISA Affiliate”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Except as would not reasonably be expected, individually or in the aggregate, to result in a Material Adverse Change,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Except for the Agents, there is no broker, finder or other party that is entitled to receive from the Company any brokerage or finder’s fee or other fee or commission as a result of any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No Outstanding Loans or Other Extensions of Credit</w:t>
      </w:r>
      <w:r>
        <w:rPr>
          <w:rFonts w:ascii="Times New Roman;Times;Serif" w:hAnsi="Times New Roman;Times;Serif"/>
          <w:b w:val="false"/>
          <w:i w:val="false"/>
          <w:caps w:val="false"/>
          <w:smallCaps w:val="false"/>
          <w:sz w:val="20"/>
        </w:rPr>
        <w:t>.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immediate family members of any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be reasonably expected to result in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Dividend Restrictions</w:t>
      </w:r>
      <w:r>
        <w:rPr>
          <w:rFonts w:ascii="Times New Roman;Times;Serif" w:hAnsi="Times New Roman;Times;Serif"/>
          <w:b w:val="false"/>
          <w:i w:val="false"/>
          <w:caps w:val="false"/>
          <w:smallCaps w:val="false"/>
          <w:sz w:val="20"/>
        </w:rPr>
        <w:t>. Except as disclosed in the Prospectus,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Anti-Corruption and Anti-Bribery Laws</w:t>
      </w:r>
      <w:r>
        <w:rPr>
          <w:rFonts w:ascii="Times New Roman;Times;Serif" w:hAnsi="Times New Roman;Times;Serif"/>
          <w:b w:val="false"/>
          <w:i w:val="false"/>
          <w:caps w:val="false"/>
          <w:smallCaps w:val="false"/>
          <w:sz w:val="20"/>
        </w:rPr>
        <w:t>. Neither the Company nor any of its subsidiaries nor, to the knowledge of the Company, any director, officer, agent, employee, affiliate or other person acting on behalf of the Company or any of its subsidiaries has, in the course of its actions for, or on behalf of, the Company or any of its subsidiaries (i) used any corporate funds for any unlawful contribution, gift, entertainment or other unlawful expenses relating to political activity; (ii) made or taken any act in furtherance of an offer, promise, or authorization of any direct or indirect unlawful payment or benefit to any foreign or domestic government official or employee, including of any government-owned or controlled entity or public international organization, or any political party, party official, or candidate for political office; (iii) violated or is in violation of any provision of the U.S.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Clinical Studies</w:t>
      </w:r>
      <w:r>
        <w:rPr>
          <w:rFonts w:ascii="Times New Roman;Times;Serif" w:hAnsi="Times New Roman;Times;Serif"/>
          <w:b w:val="false"/>
          <w:i w:val="false"/>
          <w:caps w:val="false"/>
          <w:smallCaps w:val="false"/>
          <w:sz w:val="20"/>
        </w:rPr>
        <w:t>. The preclinical tests and clinical trials, and other studies (collectively, “</w:t>
      </w:r>
      <w:r>
        <w:rPr>
          <w:rFonts w:ascii="Times New Roman;Times;Serif" w:hAnsi="Times New Roman;Times;Serif"/>
          <w:b/>
          <w:i w:val="false"/>
          <w:caps w:val="false"/>
          <w:smallCaps w:val="false"/>
          <w:sz w:val="20"/>
        </w:rPr>
        <w:t>studies</w:t>
      </w:r>
      <w:r>
        <w:rPr>
          <w:rFonts w:ascii="Times New Roman;Times;Serif" w:hAnsi="Times New Roman;Times;Serif"/>
          <w:b w:val="false"/>
          <w:i w:val="false"/>
          <w:caps w:val="false"/>
          <w:smallCaps w:val="false"/>
          <w:sz w:val="20"/>
        </w:rPr>
        <w:t>”) conducted by or on behalf of or sponsored by the Company or any of its subsidiaries or in which the Company or any of its subsidiaries or their products or product candidates have participated were and, if still pending, are being conducted in all material respects in accordance with the protocols, procedures and controls designed and approved for such studies and all applicable laws and regulations, including, without limitation, 21 C.F.R. Parts 50, 54, 56, 58, 312 and 812; each description of the results of such studies is accurate and complete in all material respects and fairly presents the data derived from such studies, and the Company and its subsidiaries have no knowledge of any other studies the results of which are inconsistent with, or otherwise call into question, the results described or referred to in the Registration Statement or the Prospectus; no investigational new drug application filed by or on behalf of the Company or any of its subsidiaries with the U.S. Food and Drug Administration (“</w:t>
      </w:r>
      <w:r>
        <w:rPr>
          <w:rFonts w:ascii="Times New Roman;Times;Serif" w:hAnsi="Times New Roman;Times;Serif"/>
          <w:b/>
          <w:i w:val="false"/>
          <w:caps w:val="false"/>
          <w:smallCaps w:val="false"/>
          <w:sz w:val="20"/>
        </w:rPr>
        <w:t>FDA</w:t>
      </w:r>
      <w:r>
        <w:rPr>
          <w:rFonts w:ascii="Times New Roman;Times;Serif" w:hAnsi="Times New Roman;Times;Serif"/>
          <w:b w:val="false"/>
          <w:i w:val="false"/>
          <w:caps w:val="false"/>
          <w:smallCaps w:val="false"/>
          <w:sz w:val="20"/>
        </w:rPr>
        <w:t>”) has been terminated or suspended by the FDA, and neither the FDA nor any applicable foreign regulatory agency has commenced, or, to the knowledge of the Company, threatened to initiate, any action to place a clinical hold order on, or otherwise terminate, delay or suspend, any proposed or ongoing studies conducted or proposed to be conducted by or on behalf of the Company or any of its subsidiaries; the Company and its subsidiaries have made all such filings and hold all such Permits for the operation of its business required by the FDA or any committee thereof or from any other U.S. or foreign government or drug or medical device regulatory agency, or health care facility Institutional Review Board (collectively, the “</w:t>
      </w:r>
      <w:r>
        <w:rPr>
          <w:rFonts w:ascii="Times New Roman;Times;Serif" w:hAnsi="Times New Roman;Times;Serif"/>
          <w:b/>
          <w:i w:val="false"/>
          <w:caps w:val="false"/>
          <w:smallCaps w:val="false"/>
          <w:sz w:val="20"/>
        </w:rPr>
        <w:t>Regulatory Agencies</w:t>
      </w:r>
      <w:r>
        <w:rPr>
          <w:rFonts w:ascii="Times New Roman;Times;Serif" w:hAnsi="Times New Roman;Times;Serif"/>
          <w:b w:val="false"/>
          <w:i w:val="false"/>
          <w:caps w:val="false"/>
          <w:smallCaps w:val="false"/>
          <w:sz w:val="20"/>
        </w:rPr>
        <w:t>”); and the Company and its subsidiaries have fulfilled and performed all of their material obligations with respect to such Permits, and no event has occurred which allows, or after notice or lapse of time would allow, revocation or termination thereof or results in any other material impairment of the rights of the holder of any such Permit.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Compliance with Health Care Laws</w:t>
      </w:r>
      <w:r>
        <w:rPr>
          <w:rFonts w:ascii="Times New Roman;Times;Serif" w:hAnsi="Times New Roman;Times;Serif"/>
          <w:b w:val="false"/>
          <w:i w:val="false"/>
          <w:caps w:val="false"/>
          <w:smallCaps w:val="false"/>
          <w:sz w:val="20"/>
        </w:rPr>
        <w:t>. The Company and its subsidiaries are, and at all times have been, in compliance in all respects with all applicable Health Care Laws, and have not engaged in activities which are, as applicable, cause for false claims liability, civil penalties, or mandatory or permissive exclusion from Medicare, Medicaid, or any other state health care program or federal health care program, except as would not reasonably be expected, individually or in the aggregate, to have a Material Adverse Change. For purposes of this Agreement, “</w:t>
      </w:r>
      <w:r>
        <w:rPr>
          <w:rFonts w:ascii="Times New Roman;Times;Serif" w:hAnsi="Times New Roman;Times;Serif"/>
          <w:b/>
          <w:i w:val="false"/>
          <w:caps w:val="false"/>
          <w:smallCaps w:val="false"/>
          <w:sz w:val="20"/>
        </w:rPr>
        <w:t>Health Care Laws</w:t>
      </w:r>
      <w:r>
        <w:rPr>
          <w:rFonts w:ascii="Times New Roman;Times;Serif" w:hAnsi="Times New Roman;Times;Serif"/>
          <w:b w:val="false"/>
          <w:i w:val="false"/>
          <w:caps w:val="false"/>
          <w:smallCaps w:val="false"/>
          <w:sz w:val="20"/>
        </w:rPr>
        <w:t>” means: (i) the Federal Food, Drug, and Cosmetic Act and the regulations promulgated thereunder; (ii) all applicable federal, state, local and all applicable foreign health care related fraud and abuse laws, including, without limitation, the U.S. Anti-Kickback Statute (42 U.S.C. Section 1320a-7b(b)), the U.S. Physician Payments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w:t>
      </w:r>
      <w:r>
        <w:rPr>
          <w:rFonts w:ascii="Times New Roman;Times;Serif" w:hAnsi="Times New Roman;Times;Serif"/>
          <w:b/>
          <w:i w:val="false"/>
          <w:caps w:val="false"/>
          <w:smallCaps w:val="false"/>
          <w:sz w:val="20"/>
        </w:rPr>
        <w:t>HIPAA</w:t>
      </w:r>
      <w:r>
        <w:rPr>
          <w:rFonts w:ascii="Times New Roman;Times;Serif" w:hAnsi="Times New Roman;Times;Serif"/>
          <w:b w:val="false"/>
          <w:i w:val="false"/>
          <w:caps w:val="false"/>
          <w:smallCaps w:val="false"/>
          <w:sz w:val="20"/>
        </w:rPr>
        <w:t>”) (42 U.S.C. Section 1320d et seq.), the exclusions law (42 U.S.C. § 1320a-7), the civil monetary penalties law (42 U.S.C. § 1320a-7a), HIPAA, as amended by the Health Information Technology for Economic and Clinical Health Act (42 U.S.C. Section 17921 et seq.) (“</w:t>
      </w:r>
      <w:r>
        <w:rPr>
          <w:rFonts w:ascii="Times New Roman;Times;Serif" w:hAnsi="Times New Roman;Times;Serif"/>
          <w:b/>
          <w:i w:val="false"/>
          <w:caps w:val="false"/>
          <w:smallCaps w:val="false"/>
          <w:sz w:val="20"/>
        </w:rPr>
        <w:t>HITECH</w:t>
      </w:r>
      <w:r>
        <w:rPr>
          <w:rFonts w:ascii="Times New Roman;Times;Serif" w:hAnsi="Times New Roman;Times;Serif"/>
          <w:b w:val="false"/>
          <w:i w:val="false"/>
          <w:caps w:val="false"/>
          <w:smallCaps w:val="false"/>
          <w:sz w:val="20"/>
        </w:rPr>
        <w:t>”), and the regulations promulgated pursuant to such statutes; (iii) Medicare (Title XVIII of the Social Security Act); (iv) Medicaid (Title XIX of the Social Security Act); and (v) any and all other applicable health care laws and regulations. Neither the Company nor any of its subsidiaries have received notice of any claim, action, suit, proceeding, hearing, enforcement, audit, investigation, arbitration or other action from any court or arbitrator or governmental or regulatory authority or third party alleging that any product operation or activity is in material violation of any Health Care Laws, and, to the Company’s knowledge, no such claim, action, suit, proceeding, hearing, enforcement, audit, investigation, arbitration or other action is threatened. Neither the Company nor any of its subsidiaries are a party to or have any ongoing reporting obligations pursuant to any corporate integrity agreements, deferred prosecution agreements, monitoring agreements, consent decrees, settlement orders, plans of correction or similar agreements with or imposed by any Regulatory Agency or other governmental or regulatory authority. Additionally, neither the Company nor any of its subsidiaries, nor any of their respective employees, officers or directors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the U.S. Department of State, the United Nations Security Council, the European Union, His Majesty’s Treasury of the United Kingdom,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the target of Sanctions, currently, Crimea, the so-called Donetsk People’s Republic, the so-called Luhansk People’s Republic and the non-government controlled areas of the Zaporizhzhia and Kherson Regions, Cuba, Iran or North Korea (collectively, “</w:t>
      </w:r>
      <w:r>
        <w:rPr>
          <w:rFonts w:ascii="Times New Roman;Times;Serif" w:hAnsi="Times New Roman;Times;Serif"/>
          <w:b/>
          <w:i w:val="false"/>
          <w:caps w:val="false"/>
          <w:smallCaps w:val="false"/>
          <w:sz w:val="20"/>
        </w:rPr>
        <w:t>Sanctioned Countries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Outbound Investment Security Program</w:t>
      </w:r>
      <w:r>
        <w:rPr>
          <w:rFonts w:ascii="Times New Roman;Times;Serif" w:hAnsi="Times New Roman;Times;Serif"/>
          <w:b w:val="false"/>
          <w:i w:val="false"/>
          <w:caps w:val="false"/>
          <w:smallCaps w:val="false"/>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in 31 C.F.R. § 850.208 (“</w:t>
      </w:r>
      <w:r>
        <w:rPr>
          <w:rFonts w:ascii="Times New Roman;Times;Serif" w:hAnsi="Times New Roman;Times;Serif"/>
          <w:b/>
          <w:i w:val="false"/>
          <w:caps w:val="false"/>
          <w:smallCaps w:val="false"/>
          <w:sz w:val="20"/>
        </w:rPr>
        <w:t>Covered Activity</w:t>
      </w:r>
      <w:r>
        <w:rPr>
          <w:rFonts w:ascii="Times New Roman;Times;Serif" w:hAnsi="Times New Roman;Times;Serif"/>
          <w:b w:val="false"/>
          <w:i w:val="false"/>
          <w:caps w:val="false"/>
          <w:smallCaps w:val="false"/>
          <w:sz w:val="20"/>
        </w:rPr>
        <w:t>”). The Company does not have any joint ventures that engage in or plan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 Company is in compliance, in all material respects, with all applicable provisions of the Sarbanes-Oxley Act of 2002,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Duties, Transfer Taxes, Etc</w:t>
      </w:r>
      <w:r>
        <w:rPr>
          <w:rFonts w:ascii="Times New Roman;Times;Serif" w:hAnsi="Times New Roman;Times;Serif"/>
          <w:b w:val="false"/>
          <w:i w:val="false"/>
          <w:caps w:val="false"/>
          <w:smallCaps w:val="false"/>
          <w:sz w:val="20"/>
        </w:rPr>
        <w:t>. No stamp or other issuance or transfer taxes or duties and no capital gains, income, withholding or other taxes are payable by the Agents in the United States or any political subdivision or taxing authority thereof or therein in connection with the execution, delivery or performance of this Agreement by the Company or the sale and delivery by the Company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To the Company’s knowledge, the Company and its subsidiaries’ information technology assets and equipment, computers, systems, networks, hardware, software, websites, applications, and databases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if applicable to the Company, “personal data” as defined by GDPR (as defined below); (iv) if applicable to the Company, any information which would qualify as “protected health information” under HIPAA, as amended by HITECH; and (v) any other piece of information that allows the identification of such natural person, or his or her family, or permits the collection or analysis of any data related to an identified person’s health or sexual orientation. To the Company’s knowledge, there have been no breaches, violations, outages or unauthorized uses of or accesses to same, except for those that have been remedied without material cost or liability or the duty to notify any other person, and there are no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The Company and its subsidiaries are, and at all prior times were, in material compliance with all applicable state and federal data privacy and security laws and regulations, including, without limitation, HIPAA, as amended by HITECH, and the Company and its subsidiaries have taken commercially reasonable actions to prepare to comply with, and since May 25, 2018, have been and currently are in compliance with the European Union General Data Protection Regulation (“</w:t>
      </w:r>
      <w:r>
        <w:rPr>
          <w:rFonts w:ascii="Times New Roman;Times;Serif" w:hAnsi="Times New Roman;Times;Serif"/>
          <w:b/>
          <w:i w:val="false"/>
          <w:caps w:val="false"/>
          <w:smallCaps w:val="false"/>
          <w:sz w:val="20"/>
        </w:rPr>
        <w:t>GDPR</w:t>
      </w:r>
      <w:r>
        <w:rPr>
          <w:rFonts w:ascii="Times New Roman;Times;Serif" w:hAnsi="Times New Roman;Times;Serif"/>
          <w:b w:val="false"/>
          <w:i w:val="false"/>
          <w:caps w:val="false"/>
          <w:smallCaps w:val="false"/>
          <w:sz w:val="20"/>
        </w:rPr>
        <w:t>”) (EU 2016/679) (collectively, the “</w:t>
      </w:r>
      <w:r>
        <w:rPr>
          <w:rFonts w:ascii="Times New Roman;Times;Serif" w:hAnsi="Times New Roman;Times;Serif"/>
          <w:b/>
          <w:i w:val="false"/>
          <w:caps w:val="false"/>
          <w:smallCaps w:val="false"/>
          <w:sz w:val="20"/>
        </w:rPr>
        <w:t>Privacy Laws</w:t>
      </w:r>
      <w:r>
        <w:rPr>
          <w:rFonts w:ascii="Times New Roman;Times;Serif" w:hAnsi="Times New Roman;Times;Serif"/>
          <w:b w:val="false"/>
          <w:i w:val="false"/>
          <w:caps w:val="false"/>
          <w:smallCaps w:val="false"/>
          <w:sz w:val="20"/>
        </w:rPr>
        <w:t>”) in all material respects. To ensure compliance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The Company and its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Agents or the Agents’ legal counsel for any legal, tax or accounting advice in connection with the offering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val="false"/>
          <w:i w:val="false"/>
          <w:caps w:val="false"/>
          <w:smallCaps w:val="false"/>
          <w:sz w:val="20"/>
          <w:u w:val="single"/>
        </w:rPr>
        <w:t>Other Underwriting Agreements</w:t>
      </w:r>
      <w:r>
        <w:rPr>
          <w:rFonts w:ascii="Times New Roman;Times;Serif" w:hAnsi="Times New Roman;Times;Serif"/>
          <w:b w:val="false"/>
          <w:i w:val="false"/>
          <w:caps w:val="false"/>
          <w:smallCaps w:val="false"/>
          <w:sz w:val="20"/>
        </w:rPr>
        <w:t>. The Company is not a party to any agreement with an agent or underwriter for any other “at the market” or continuous equity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or representative of the Company or any of its subsidiaries and delivered to the Agents or their counsel in connection with an issuance of Shares shall be deemed a representation and warranty by the Company to the Agents as to the matters covered thereby on the date of such certificate.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the Agents and, for purposes of the opinions to be delivered pursuant to Section 4(r) hereof, counsel to the Company and counsel to the Agents, will rely upon the accuracy and truthfulness of the foregoing representations and hereby consents to such reliance.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ISSUANCE AND SALE OF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Sale of Securities</w:t>
      </w:r>
      <w:r>
        <w:rPr>
          <w:rFonts w:ascii="Times New Roman;Times;Serif" w:hAnsi="Times New Roman;Times;Serif"/>
          <w:b w:val="false"/>
          <w:i w:val="false"/>
          <w:caps w:val="false"/>
          <w:smallCaps w:val="false"/>
          <w:sz w:val="20"/>
        </w:rPr>
        <w:t>. On the basis of the representations, warranties and agreements herein contained, but subject to the terms and conditions herein set forth, the Company and the Designated Agent agree that the Company may from time to time seek to sell Shares through the Designated Agent, acting as sales agent, or directly to the Designated Agent, acting as principal, as follows, with an aggregate Sales Price of up to the Maximum Program Amount, based on and in accordance with Issuance Notices as the Company may deliver, during the Agency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Sales through Agents</w:t>
      </w:r>
      <w:r>
        <w:rPr>
          <w:rFonts w:ascii="Times New Roman;Times;Serif" w:hAnsi="Times New Roman;Times;Serif"/>
          <w:b w:val="false"/>
          <w:i w:val="false"/>
          <w:caps w:val="false"/>
          <w:smallCaps w:val="false"/>
          <w:sz w:val="20"/>
        </w:rPr>
        <w:t>. With respect to the offering and sale of Shares pursuant to this Agreement, the Company agrees that any offer to sell Shares, any solicitation of an offer to buy Shares, and any sales of Shares shall only be effected by or through a single Agent on any single given day, and the Company shall in no event request that more than one Agent offer or sell Shares pursuant to this Agreement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Mechanics of Issuances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Issuance Notice</w:t>
      </w:r>
      <w:r>
        <w:rPr>
          <w:rFonts w:ascii="Times New Roman;Times;Serif" w:hAnsi="Times New Roman;Times;Serif"/>
          <w:b w:val="false"/>
          <w:i w:val="false"/>
          <w:caps w:val="false"/>
          <w:smallCaps w:val="false"/>
          <w:sz w:val="20"/>
        </w:rPr>
        <w:t>. Upon the terms and subject to the conditions set forth herein, on any Trading Day during the Agency Period on which the conditions set forth in Section 5(a) and Section 5(b) shall have been satisfied, the Company may exercise its right to request an issuance of Shares by delivering to the Designated Agent an Issuance Notice; provided, however, that (A) in no event may the Company deliver an Issuance Notice to the extent that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for such Designated Agent and confirmed by the Company by telephone (including a voicemail message to the persons so identified), with the understanding that, with adequate prior written notice, the Designated Agent may modify the list of such persons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Designated Agent Efforts</w:t>
      </w:r>
      <w:r>
        <w:rPr>
          <w:rFonts w:ascii="Times New Roman;Times;Serif" w:hAnsi="Times New Roman;Times;Serif"/>
          <w:b w:val="false"/>
          <w:i w:val="false"/>
          <w:caps w:val="false"/>
          <w:smallCaps w:val="false"/>
          <w:sz w:val="20"/>
        </w:rPr>
        <w:t>. Upon the terms and subject to the conditions set forth in this Agreement, upon the receipt of an Issuance Notice, the Designated Agent will use its commercially reasonable efforts consistent with its normal sales and trading practices to place the Shares with respect to which the Designated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Designated Agent and the Company may modify an Issuance Notice at any time provided they both agree in writing to any such modification.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Method of Offer and Sale</w:t>
      </w:r>
      <w:r>
        <w:rPr>
          <w:rFonts w:ascii="Times New Roman;Times;Serif" w:hAnsi="Times New Roman;Times;Serif"/>
          <w:b w:val="false"/>
          <w:i w:val="false"/>
          <w:caps w:val="false"/>
          <w:smallCaps w:val="false"/>
          <w:sz w:val="20"/>
        </w:rPr>
        <w:t>. The Shares may be offered and sold (A) in privately negotiated transactions with the consent of the Company; (B) 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any party to agree to the method of offer and sale specified in the preceding sentence, and (except as specified in clauses (A) and (B) above) the method of placement of any Shares by the Designated Agent shall be at the Designated Agent’s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Confirmation to the Company</w:t>
      </w:r>
      <w:r>
        <w:rPr>
          <w:rFonts w:ascii="Times New Roman;Times;Serif" w:hAnsi="Times New Roman;Times;Serif"/>
          <w:b w:val="false"/>
          <w:i w:val="false"/>
          <w:caps w:val="false"/>
          <w:smallCaps w:val="false"/>
          <w:sz w:val="20"/>
        </w:rPr>
        <w:t>. If acting as sales agent hereunder, the Designated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Each issuance of Shares will be settled on the applicable Settlement Date for such issuance of Shares and, subject to the provisions of Section 5, on or before each Settlement Date, the Company will, or will cause its transfer agent to, electronically transfer the Shares being sold by crediting the Designated Agent or its designee’s account at The Depository Trust Company through its Deposit/Withdrawal At Custodian (DWAC) System, or by such other means of delivery as may be mutually agreed upon by the Designated Agent and the Company and, upon receipt of such Shares, which in all cases shall be freely tradable, transferable, registered shares in good deliverable form, the Designated Agent will deliver, by wire transfer of immediately available funds, the related Issuance Price in same day funds delivered to an account designated by the Company prior to the Settlement Date. The Company may sell Shares to the Designated Agent as principal at a price agreed upon at each relevant time Shares are sold pursuant to this Agreement (each, a “</w:t>
      </w:r>
      <w:r>
        <w:rPr>
          <w:rFonts w:ascii="Times New Roman;Times;Serif" w:hAnsi="Times New Roman;Times;Serif"/>
          <w:b/>
          <w:i w:val="false"/>
          <w:caps w:val="false"/>
          <w:smallCaps w:val="false"/>
          <w:sz w:val="20"/>
        </w:rPr>
        <w:t>Time of Sale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Suspension or Termination of Sales</w:t>
      </w:r>
      <w:r>
        <w:rPr>
          <w:rFonts w:ascii="Times New Roman;Times;Serif" w:hAnsi="Times New Roman;Times;Serif"/>
          <w:b w:val="false"/>
          <w:i w:val="false"/>
          <w:caps w:val="false"/>
          <w:smallCaps w:val="false"/>
          <w:sz w:val="20"/>
        </w:rPr>
        <w:t>. Consistent with standard market settlement practices, the Company or the Designated Agent may, upon notice to the other party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Designated Agent confirms such sale to the Company, the Company shall still be obligated to comply with Section 3(c)(v) with respect to such Shares; and (C) if the Company defaults in its obligation to deliver Shares on a Settlement Date, the Company agrees that it will hold the Designated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Designated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Designated Agent unless it is made to the persons identified in writing by the Designated Agent pursuant to Section 3(c)(i).</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No Guarantee of Placement, Etc</w:t>
      </w:r>
      <w:r>
        <w:rPr>
          <w:rFonts w:ascii="Times New Roman;Times;Serif" w:hAnsi="Times New Roman;Times;Serif"/>
          <w:b w:val="false"/>
          <w:i w:val="false"/>
          <w:caps w:val="false"/>
          <w:smallCaps w:val="false"/>
          <w:sz w:val="20"/>
        </w:rPr>
        <w:t>. The Company acknowledges and agrees that (A) there can be no assurance that the Designated Agent will be successful in placing Shares; (B) the Designated Agent will incur no liability or obligation to the Company or any other Person if it does not sell Shares; and (C) the Designated Agent shall be under no obligation to purchase Shares on a principal basis pursuant to this Agreement, except as otherwise specifically agreed by the Designated Agent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w:t>
      </w:r>
      <w:r>
        <w:rPr>
          <w:rFonts w:ascii="Times New Roman;Times;Serif" w:hAnsi="Times New Roman;Times;Serif"/>
          <w:b w:val="false"/>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Notwithstanding any other provision of this Agreement, the Company and the Agents agree that the Company shall not deliver any Issuance Notice to the Agents, and the Agents shall not be obligated to place any Shares, during any period in which the Company is in possession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As compensation for services rendered, the Company shall pay to the Designated Agent, on the applicable Settlement Date, the Selling Commission for the applicable Issuance Amount (including with respect to any suspended or terminated sale pursuant to Section 3(c)(vi)) by the Designated Agent deducting the Selling Commission from the applicable Issuance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Agents in connection with qualifying or registering (or obtaining exemptions from the qualification or registration of) all or any part of the Shares for offer and sale under the state securities or blue sky laws or the provincial securities laws of Canada, and, if requested by the Agents, preparing and printing a “Blue Sky Survey” or memorandum and a “Canadian wrapper”, and any supplements thereto, advising the Agents of such qualifications, registrations, determinations and exemptions; (vii) the reasonable fees and disbursements of the Agents’ counsel, including the reasonable fees and expenses of counsel for the Agents in connection with, determining the offering’s compliance with FINRA’S Rules and FINRA review, if any, and approval of the Agents’ participation in the offering and distribution of the Shares; (viii) the filing fees incident to FINRA review, if any; and (ix) the fees and expenses associated with listing the Shares on the Principal Market. The fees and disbursements of Agents’ counsel pursuant to subsections (vi) and (vii) above shall not exceed $75,000 in connection with the execution of this Agreement and shall not exceed $25,000 in connection with any Triggering Event Date that occurs pursuant to the filing by the Company of an Annual Report on Form 10-K and $15,000 in connection with any Triggering Event Date that occurs pursuant to the filing by the Company of a Quarterly Report on Form 10-Q for any fiscal quarter during which an Issuance Notice is in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ADDITIONAL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with the Agents as follows, in addition to any other covenants and agreements made elsewhere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Exchange Act Compliance</w:t>
      </w:r>
      <w:r>
        <w:rPr>
          <w:rFonts w:ascii="Times New Roman;Times;Serif" w:hAnsi="Times New Roman;Times;Serif"/>
          <w:b w:val="false"/>
          <w:i w:val="false"/>
          <w:caps w:val="false"/>
          <w:smallCaps w:val="false"/>
          <w:sz w:val="20"/>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Agents pursuant to this Agreement and (2) the net proceeds received by the Company from such sales or (B) prepare a prospectus supplement containing, or include in such other filing permitted by the Securities Act or Exchange Act (each an “</w:t>
      </w:r>
      <w:r>
        <w:rPr>
          <w:rFonts w:ascii="Times New Roman;Times;Serif" w:hAnsi="Times New Roman;Times;Serif"/>
          <w:b/>
          <w:i w:val="false"/>
          <w:caps w:val="false"/>
          <w:smallCaps w:val="false"/>
          <w:sz w:val="20"/>
        </w:rPr>
        <w:t>Interim Prospectus Supplement</w:t>
      </w:r>
      <w:r>
        <w:rPr>
          <w:rFonts w:ascii="Times New Roman;Times;Serif" w:hAnsi="Times New Roman;Times;Serif"/>
          <w:b w:val="false"/>
          <w:i w:val="false"/>
          <w:caps w:val="false"/>
          <w:smallCaps w:val="false"/>
          <w:sz w:val="20"/>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Securities Act Compliance</w:t>
      </w:r>
      <w:r>
        <w:rPr>
          <w:rFonts w:ascii="Times New Roman;Times;Serif" w:hAnsi="Times New Roman;Times;Serif"/>
          <w:b w:val="false"/>
          <w:i w:val="false"/>
          <w:caps w:val="false"/>
          <w:smallCaps w:val="false"/>
          <w:sz w:val="20"/>
        </w:rPr>
        <w:t>. After the date of this Agreement, the Company shall promptly advise the Agents in writing (i) of the receipt of any comments of, or requests for additional or supplemental information from, the Commission; (ii) of the time and date of any filing of any post-effective amendment to the Registration Statement or any amendment or supplement to the Prospectus, any Free Writing Prospectus; (iii) of the time and date that any post-effective amendment to the Registration Statement becomes effective; and (iv) of the issuance by the Commission of any stop order suspending the effectiveness of the Registration Statement or any post-effective amendment thereto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and Supplements to the Prospectus and Other Securities Act Matters</w:t>
      </w:r>
      <w:r>
        <w:rPr>
          <w:rFonts w:ascii="Times New Roman;Times;Serif" w:hAnsi="Times New Roman;Times;Serif"/>
          <w:b w:val="false"/>
          <w:i w:val="false"/>
          <w:caps w:val="false"/>
          <w:smallCaps w:val="false"/>
          <w:sz w:val="20"/>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Agents or their counsel it is otherwise necessary to amend or supplement the Prospectus to comply with applicable law, including the Securities Act, the Company agrees (subject to Section 4(d) and 4(f)) to promptly prepare, file with the Commission and furnish at its own expense to the Agents,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Agents’ Review of Proposed Amendments and Supplements</w:t>
      </w:r>
      <w:r>
        <w:rPr>
          <w:rFonts w:ascii="Times New Roman;Times;Serif" w:hAnsi="Times New Roman;Times;Serif"/>
          <w:b w:val="false"/>
          <w:i w:val="false"/>
          <w:caps w:val="false"/>
          <w:smallCaps w:val="false"/>
          <w:sz w:val="20"/>
        </w:rPr>
        <w:t>. Prior to amending or supplementing the Registration Statement or the Prospectus (excluding any amendment or supplement through incorporation of any report filed under the Exchange Act), the Company shall furnish to the Agents for review, a reasonable amount of time prior to the proposed time of filing or use thereof, a copy of each such proposed amendment or supplement, and, if such proposed amendment or supplement relates to the matters contemplated by this Agreement,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Use of Free Writing Prospectus</w:t>
      </w:r>
      <w:r>
        <w:rPr>
          <w:rFonts w:ascii="Times New Roman;Times;Serif" w:hAnsi="Times New Roman;Times;Serif"/>
          <w:b w:val="false"/>
          <w:i w:val="false"/>
          <w:caps w:val="false"/>
          <w:smallCaps w:val="false"/>
          <w:sz w:val="20"/>
        </w:rPr>
        <w:t>. Neither the Company nor either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Free Writing Prospectuses</w:t>
      </w:r>
      <w:r>
        <w:rPr>
          <w:rFonts w:ascii="Times New Roman;Times;Serif" w:hAnsi="Times New Roman;Times;Serif"/>
          <w:b w:val="false"/>
          <w:i w:val="false"/>
          <w:caps w:val="false"/>
          <w:smallCaps w:val="false"/>
          <w:sz w:val="20"/>
        </w:rPr>
        <w:t>. The Company shall furnish to the Agents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Agents, without charge, as many copies of any free writing prospectus prepared by or on behalf of, or used by the Company, as the Agents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Filing of Agent Free Writing Prospectuses</w:t>
      </w:r>
      <w:r>
        <w:rPr>
          <w:rFonts w:ascii="Times New Roman;Times;Serif" w:hAnsi="Times New Roman;Times;Serif"/>
          <w:b w:val="false"/>
          <w:i w:val="false"/>
          <w:caps w:val="false"/>
          <w:smallCaps w:val="false"/>
          <w:sz w:val="20"/>
        </w:rPr>
        <w:t>. The Company shall not take any action that would result in the Agents or the Company being required to file with the Commission pursuant to Rule 433(d) under the Securities Act a free writing prospectus prepared by or on behalf of the Agents that the Agents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Copies of Registration Statement and Prospectus</w:t>
      </w:r>
      <w:r>
        <w:rPr>
          <w:rFonts w:ascii="Times New Roman;Times;Serif" w:hAnsi="Times New Roman;Times;Serif"/>
          <w:b w:val="false"/>
          <w:i w:val="false"/>
          <w:caps w:val="false"/>
          <w:smallCaps w:val="false"/>
          <w:sz w:val="20"/>
        </w:rPr>
        <w:t>. After the date of this Agreement through the last time that a prospectus is required by the Securities Act (including, without limitation, pursuant to Rule 173(d)) to be delivered by the Designated Agent in connection with sales of the Shares, the Company agrees to furnish the Agents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Agents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Agents and to request that the Designated Agent suspend offers to sell Shares (and, if so notified, the Designated Agent shall cease such offers as soon as practicable); and if the Company decides to amend or supplement the Registration Statement or the Prospectus as then amended or supplemented, to advise the Designated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Designated Agent is required to deliver a prospectus in respect of transactions in the Shares, the Company shall promptly prepare and file with the Commission such an amendment or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Blue Sky Compliance</w:t>
      </w:r>
      <w:r>
        <w:rPr>
          <w:rFonts w:ascii="Times New Roman;Times;Serif" w:hAnsi="Times New Roman;Times;Serif"/>
          <w:b w:val="false"/>
          <w:i w:val="false"/>
          <w:caps w:val="false"/>
          <w:smallCaps w:val="false"/>
          <w:sz w:val="20"/>
        </w:rPr>
        <w:t>. The Company shall cooperate with the Agents and counsel for the Agents to qualify or register the Shares for sale under (or obtain exemptions from the application of) the state securities or blue sky laws or Canadian provincial securities laws of those jurisdictions designated by the Agents,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Agents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efforts to obtain the withdrawal thereof as soon as practicable.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As soon as practicable, the Company will make generally available to its security holders and to the Agents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Listing; Reservation of Shares</w:t>
      </w:r>
      <w:r>
        <w:rPr>
          <w:rFonts w:ascii="Times New Roman;Times;Serif" w:hAnsi="Times New Roman;Times;Serif"/>
          <w:b w:val="false"/>
          <w:i w:val="false"/>
          <w:caps w:val="false"/>
          <w:smallCaps w:val="false"/>
          <w:sz w:val="20"/>
        </w:rPr>
        <w:t>. (i) The Company will maintain the listing of the Shares on the Principal Market; and (ii) the Company will reserve and keep available at all times, free of preemptive rights, Shares for the purpose of enabling the Company to satisfy its obligations under this Agreement. At any time that the Company issues an Issuance Notice prior to effecting an amendment to its Amended and Restated Certificate of Incorporation to increase the authorized number of Common Shares, the Company shall advise the Agents of the number of Common Shares available for issuance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The Company shall engage and maintain, at its expense, a registrar and transfer agent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During the term of this Agreement, the Company will reasonably cooperate with any reasonable due diligence review conducted by the Agents in connection with the transactions contemplated hereby, including, without limitation, providing information and making available documents and senior corporate officers, during normal business hours and at the Company’s principal offices, as the Agents may reasonably request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Well-Known Seasoned Issuer Status</w:t>
      </w:r>
      <w:r>
        <w:rPr>
          <w:rFonts w:ascii="Times New Roman;Times;Serif" w:hAnsi="Times New Roman;Times;Serif"/>
          <w:b w:val="false"/>
          <w:i w:val="false"/>
          <w:caps w:val="false"/>
          <w:smallCaps w:val="false"/>
          <w:sz w:val="20"/>
        </w:rPr>
        <w:t>. The Company will promptly notify the Agents if the Company loses its status as a “well-known seasoned issuer” (as defined in Rule 405) as of the time the Company files with the Commission an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Filing Fees</w:t>
      </w:r>
      <w:r>
        <w:rPr>
          <w:rFonts w:ascii="Times New Roman;Times;Serif" w:hAnsi="Times New Roman;Times;Serif"/>
          <w:b w:val="false"/>
          <w:i w:val="false"/>
          <w:caps w:val="false"/>
          <w:smallCaps w:val="false"/>
          <w:sz w:val="20"/>
        </w:rPr>
        <w:t>. The Company will pay the required Commission filing fees relating to the Shares within the time required by Rule 456(b)(1) under the Securities Act without regard to the proviso therein and otherwise in accordance with Rule 456(b) and 457(r)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acknowledges that each delivery of an Issuance Notice and each delivery of Shares on a Settlement Date shall be deemed to be (i) an affirmation to the Designated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Designated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Deliverables at Triggering Event Dates; Certificates</w:t>
      </w:r>
      <w:r>
        <w:rPr>
          <w:rFonts w:ascii="Times New Roman;Times;Serif" w:hAnsi="Times New Roman;Times;Serif"/>
          <w:b w:val="false"/>
          <w:i w:val="false"/>
          <w:caps w:val="false"/>
          <w:smallCaps w:val="false"/>
          <w:sz w:val="20"/>
        </w:rPr>
        <w:t>. The Company agrees that on or prior to the date of the first Issuance Notice and, during the term of this Agreement after the date of the first Issuance Notice, upon:</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event, a “</w:t>
      </w:r>
      <w:r>
        <w:rPr>
          <w:rFonts w:ascii="Times New Roman;Times;Serif" w:hAnsi="Times New Roman;Times;Serif"/>
          <w:b/>
          <w:i w:val="false"/>
          <w:caps w:val="false"/>
          <w:smallCaps w:val="false"/>
          <w:sz w:val="20"/>
        </w:rPr>
        <w:t>Triggering Event Date</w:t>
      </w:r>
      <w:r>
        <w:rPr>
          <w:rFonts w:ascii="Times New Roman;Times;Serif" w:hAnsi="Times New Roman;Times;Serif"/>
          <w:b w:val="false"/>
          <w:i w:val="false"/>
          <w:caps w:val="false"/>
          <w:smallCaps w:val="false"/>
          <w:sz w:val="20"/>
        </w:rPr>
        <w:t>”), the Company shall furnish the Agents (but in the case of clause (C) above only if the Agents reasonably determine that the information contained in such current report on Form 8-K of the Company is material) with a certificate as of the Triggering Event Date, in the form and substance satisfactory to the Agents and their counsel, substantially similar to the form previously provided to the Agents and their counsel, modified, as necessary, to relate to the Registration Statement and the Prospectus as amended or supplemented, (x) confirming that the representations and warranties of the Company contained in this Agreement are true and correct, (y) confirming that the Company has performed all of its obligations hereunder to be performed on or prior to the date of such certificate and as to the matters set forth in Section 5(a)(iii) hereof, and (z) containing any other certification that the Agents shall reasonably request. The requirement to provide a certificate under this Section 4(q)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Agents with a certificate under this Section 4(q), then before the Company delivers the instructions for the sale of Shares or the Agents sell any Shares pursuant to such instructions, the Company shall provide the Agents with a certificate in conformity with this Section 4(q) dated as of the date that the instructions for the sale of Shares are issued.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On or prior to the date of the first Issuance Notice and on or prior to each Triggering Event Date with respect to which the Company is obligated to deliver a certificate pursuant to Section 4(q) for which no waiver is applicable and excluding the date of this Agreement, a negative assurance letter and the written legal opinion of Cooley LLP (the “</w:t>
      </w:r>
      <w:r>
        <w:rPr>
          <w:rFonts w:ascii="Times New Roman;Times;Serif" w:hAnsi="Times New Roman;Times;Serif"/>
          <w:b/>
          <w:i w:val="false"/>
          <w:caps w:val="false"/>
          <w:smallCaps w:val="false"/>
          <w:sz w:val="20"/>
        </w:rPr>
        <w:t>Corporate Opinion</w:t>
      </w:r>
      <w:r>
        <w:rPr>
          <w:rFonts w:ascii="Times New Roman;Times;Serif" w:hAnsi="Times New Roman;Times;Serif"/>
          <w:b w:val="false"/>
          <w:i w:val="false"/>
          <w:caps w:val="false"/>
          <w:smallCaps w:val="false"/>
          <w:sz w:val="20"/>
        </w:rPr>
        <w:t>”), counsel to the Company, and DLA Piper LLP, intellectual property counsel to the Company (the “</w:t>
      </w:r>
      <w:r>
        <w:rPr>
          <w:rFonts w:ascii="Times New Roman;Times;Serif" w:hAnsi="Times New Roman;Times;Serif"/>
          <w:b/>
          <w:i w:val="false"/>
          <w:caps w:val="false"/>
          <w:smallCaps w:val="false"/>
          <w:sz w:val="20"/>
        </w:rPr>
        <w:t>IP Opinion</w:t>
      </w:r>
      <w:r>
        <w:rPr>
          <w:rFonts w:ascii="Times New Roman;Times;Serif" w:hAnsi="Times New Roman;Times;Serif"/>
          <w:b w:val="false"/>
          <w:i w:val="false"/>
          <w:caps w:val="false"/>
          <w:smallCaps w:val="false"/>
          <w:sz w:val="20"/>
        </w:rPr>
        <w:t>”), each dated the date of delivery, in form and substance reasonably satisfactory to Agents and their counsel, substantially similar to the form previously provided to the Agents and their counsel, modified, as necessary, to relate to the Registration Statement and the Prospectus as then amended or supplemented shall be furnished to the Agents; provided, however, the Company shall be required to furnish no more than one Corporate Opinion hereunder per calendar year and shall otherwise be required to only furnish a negative assurance letter and one IP Opinion hereunder per calendar year, including on or prior to the first Issuance Notice hereunder. In lieu of such opinions for subsequent periodic filings, in the discretion of the Agents, the Company may furnish a reliance letter from such counsel to the Agents, permitting the Agents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Comfort Letter</w:t>
      </w:r>
      <w:r>
        <w:rPr>
          <w:rFonts w:ascii="Times New Roman;Times;Serif" w:hAnsi="Times New Roman;Times;Serif"/>
          <w:b w:val="false"/>
          <w:i w:val="false"/>
          <w:caps w:val="false"/>
          <w:smallCaps w:val="false"/>
          <w:sz w:val="20"/>
        </w:rPr>
        <w:t>. On or prior to the date of the first Issuance Notice and on or prior to each Triggering Event Date with respect to which the Company is obligated to deliver a certificate pursuant to Section 4(q)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Agents a comfort letter, dated the date of delivery, in form and substance reasonably satisfactory to the Agents and their counsel, substantially similar to the form previously provided to the Agents and their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Agents, the Company shall also cause a comfort letter to be furnished to the Agents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or prior to the date of the first Issuance Notice and on or prior to each Triggering Event Date, the Company shall furnish the Agents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Agents shall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Agents’ Own Account; Clients’ Account</w:t>
      </w:r>
      <w:r>
        <w:rPr>
          <w:rFonts w:ascii="Times New Roman;Times;Serif" w:hAnsi="Times New Roman;Times;Serif"/>
          <w:b w:val="false"/>
          <w:i w:val="false"/>
          <w:caps w:val="false"/>
          <w:smallCaps w:val="false"/>
          <w:sz w:val="20"/>
        </w:rPr>
        <w:t>. The Company consents to the Agents trading, in compliance with applicable law, in the Common Shares for the Agents’ own account and for the account of its clients at the same time as sales of the Shares occur pursuant to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Investment Limitation</w:t>
      </w:r>
      <w:r>
        <w:rPr>
          <w:rFonts w:ascii="Times New Roman;Times;Serif" w:hAnsi="Times New Roman;Times;Serif"/>
          <w:b w:val="false"/>
          <w:i w:val="false"/>
          <w:caps w:val="false"/>
          <w:smallCaps w:val="false"/>
          <w:sz w:val="20"/>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Times;Serif" w:hAnsi="Times New Roman;Times;Serif"/>
          <w:b/>
          <w:i w:val="false"/>
          <w:caps w:val="false"/>
          <w:smallCaps w:val="false"/>
          <w:sz w:val="20"/>
        </w:rPr>
        <w:t>Rule 102</w:t>
      </w:r>
      <w:r>
        <w:rPr>
          <w:rFonts w:ascii="Times New Roman;Times;Serif" w:hAnsi="Times New Roman;Times;Serif"/>
          <w:b w:val="false"/>
          <w:i w:val="false"/>
          <w:caps w:val="false"/>
          <w:smallCaps w:val="false"/>
          <w:sz w:val="20"/>
        </w:rPr>
        <w:t>”) do not apply with respect to the Shares or any other reference security pursuant to any exception set forth in Section (d) of Rule 102, then promptly upon notice from the Agents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Agents if it no longer meets the requirements set forth in Section (d) of Rule 102.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Notice of Other Sale</w:t>
      </w:r>
      <w:r>
        <w:rPr>
          <w:rFonts w:ascii="Times New Roman;Times;Serif" w:hAnsi="Times New Roman;Times;Serif"/>
          <w:b w:val="false"/>
          <w:i w:val="false"/>
          <w:caps w:val="false"/>
          <w:smallCaps w:val="false"/>
          <w:sz w:val="20"/>
        </w:rPr>
        <w:t>. Without the written consent of the Agents,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Designated Agent hereunder and ending on the third Trading Day immediately following the Settlement Date with respect to Shares sold pursuant to such Issuance Notice; and will not directly or indirectly enter into any other “at the market” or continuous equity transaction to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Stock Market LLC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(iii) issuance or sale of Common Shares or securities convertible into or exchangeable for Common Shares as consideration for mergers, acquisitions, other business combinations, joint ventures or strategic alliances (each a “</w:t>
      </w:r>
      <w:r>
        <w:rPr>
          <w:rFonts w:ascii="Times New Roman;Times;Serif" w:hAnsi="Times New Roman;Times;Serif"/>
          <w:b/>
          <w:i w:val="false"/>
          <w:caps w:val="false"/>
          <w:smallCaps w:val="false"/>
          <w:sz w:val="20"/>
        </w:rPr>
        <w:t>Business Transaction</w:t>
      </w:r>
      <w:r>
        <w:rPr>
          <w:rFonts w:ascii="Times New Roman;Times;Serif" w:hAnsi="Times New Roman;Times;Serif"/>
          <w:b w:val="false"/>
          <w:i w:val="false"/>
          <w:caps w:val="false"/>
          <w:smallCaps w:val="false"/>
          <w:sz w:val="20"/>
        </w:rPr>
        <w:t>”) occurring after the date of this Agreement which are not used for capital raising purposes; provided, that the aggregate number of Common Shares issued, or issuable pursuant to the conversion or exchange of securities convertible into or exchangeable for Common Shares, in connection with such Business Transaction does not exceed 5% of the aggregate number of Common Shares outstanding immediately prior to such Business Transaction and (iv) modification of any outstanding options, warrants of any rights to purchase or acquire Common Shares.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CONDITIONS TO DELIVERY OF ISSUANCE NOTICES AND TO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Conditions Precedent to the Right of the Company to Deliver an Issuance Notice and the Obligation of the Designated Agent to Sell Shares</w:t>
      </w:r>
      <w:r>
        <w:rPr>
          <w:rFonts w:ascii="Times New Roman;Times;Serif" w:hAnsi="Times New Roman;Times;Serif"/>
          <w:b w:val="false"/>
          <w:i w:val="false"/>
          <w:caps w:val="false"/>
          <w:smallCaps w:val="false"/>
          <w:sz w:val="20"/>
        </w:rPr>
        <w:t>. The right of the Company to deliver an Issuance Notice hereunder is subject to the satisfaction, on the date of delivery of such Issuance Notice, and the obligation of the Designated Agent to use its commercially reasonable efforts to place Shares during the applicable period set forth in the Issuance Notice is subject to the satisfaction, on each Trading Day during the applicable period set forth in the Issuance, of each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Accuracy of the Company’s Representations and Warranties; Performance by the Company</w:t>
      </w:r>
      <w:r>
        <w:rPr>
          <w:rFonts w:ascii="Times New Roman;Times;Serif" w:hAnsi="Times New Roman;Times;Serif"/>
          <w:b w:val="false"/>
          <w:i w:val="false"/>
          <w:caps w:val="false"/>
          <w:smallCaps w:val="false"/>
          <w:sz w:val="20"/>
        </w:rPr>
        <w:t>. The Company shall have delivered the certificate required to be delivered pursuant to Section 4(q) on or before the date on which delivery of such certificate is required pursuant to Section 4(q). The Company shall have performed, satisfied and complied with all covenants, agreements and conditions required by this Agreement to be performed, satisfied or complied with by the Company at or prior to such date, including, but not limited to, the covenants contained in Section 4(r), Section 4(s) and Section 4(t).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Material Adverse Changes</w:t>
      </w:r>
      <w:r>
        <w:rPr>
          <w:rFonts w:ascii="Times New Roman;Times;Serif" w:hAnsi="Times New Roman;Times;Serif"/>
          <w:b w:val="false"/>
          <w:i w:val="false"/>
          <w:caps w:val="false"/>
          <w:smallCaps w:val="false"/>
          <w:sz w:val="20"/>
        </w:rPr>
        <w:t>. Except as disclosed in the Prospectus and the Time of Sale Information, (x) in the judgment of the Agents there shall not have occurred any Material Adverse Change; and (y)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No Suspension of Trading in or Delisting of Common Shares; Other Events</w:t>
      </w:r>
      <w:r>
        <w:rPr>
          <w:rFonts w:ascii="Times New Roman;Times;Serif" w:hAnsi="Times New Roman;Times;Serif"/>
          <w:b w:val="false"/>
          <w:i w:val="false"/>
          <w:caps w:val="false"/>
          <w:smallCaps w:val="false"/>
          <w:sz w:val="20"/>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(x) and (y) below) any of the following: (x)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FINRA; (y) a general banking moratorium shall have been declared by any of federal or New York, authorities; or (z)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Agents is material and adverse and makes it impracticable to market the Shares in the manner and on the terms described in the Prospectus or to enforce contracts for the sale of securities.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Documents Required to be Delivered on each Issuance Notice Date</w:t>
      </w:r>
      <w:r>
        <w:rPr>
          <w:rFonts w:ascii="Times New Roman;Times;Serif" w:hAnsi="Times New Roman;Times;Serif"/>
          <w:b w:val="false"/>
          <w:i w:val="false"/>
          <w:caps w:val="false"/>
          <w:smallCaps w:val="false"/>
          <w:sz w:val="20"/>
        </w:rPr>
        <w:t>. The Designated Agent’s obligation to use its commercially reasonable efforts to place Shares hereunder shall additionally be conditioned upon the delivery to the Designated Agent on or before the Issuance Notice Date of a certificate in form and substance reasonably satisfactory to the Designated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Agents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of the Agents</w:t>
      </w:r>
      <w:r>
        <w:rPr>
          <w:rFonts w:ascii="Times New Roman;Times;Serif" w:hAnsi="Times New Roman;Times;Serif"/>
          <w:b w:val="false"/>
          <w:i w:val="false"/>
          <w:caps w:val="false"/>
          <w:smallCaps w:val="false"/>
          <w:sz w:val="20"/>
        </w:rPr>
        <w:t>. The Company agrees to indemnify and hold harmless each Agent, each of their officers and employees, and each person, if any, who controls the applicable Agent within the meaning of the Securities Act or the Exchange Act against any loss, claim, damage, liability or expense, as incurred, joint or several, to which the Agents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an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such Agent through its bad faith or willful misconduct, and to reimburse such Agent and each such officer, employee and controlling person for any and all documented expenses (including the fees and disbursements of counsel chosen by such Agent) as such expenses are reasonably incurred by such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such Agent expressly for use in the Registration Statement, any such Free Writing Prospectus or the Prospectus (or any amendment or supplement thereto), it being understood and agreed that the only such information furnished by such Agent to the Company consists solely of the name of such Agent and the last sentence of the eighth paragraph under the caption “Plan of Distribution” in the Prospectus (collectively, the “</w:t>
      </w:r>
      <w:r>
        <w:rPr>
          <w:rFonts w:ascii="Times New Roman;Times;Serif" w:hAnsi="Times New Roman;Times;Serif"/>
          <w:b/>
          <w:i w:val="false"/>
          <w:caps w:val="false"/>
          <w:smallCaps w:val="false"/>
          <w:sz w:val="20"/>
        </w:rPr>
        <w:t>Agents Information</w:t>
      </w:r>
      <w:r>
        <w:rPr>
          <w:rFonts w:ascii="Times New Roman;Times;Serif" w:hAnsi="Times New Roman;Times;Serif"/>
          <w:b w:val="false"/>
          <w:i w:val="false"/>
          <w:caps w:val="false"/>
          <w:smallCaps w:val="false"/>
          <w:sz w:val="20"/>
        </w:rPr>
        <w:t>”). The indemnity agreement set forth in this Section 6(a) shall be in addition to any liabilities that the Company may otherwise have.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of the Company, its Directors and Officers</w:t>
      </w:r>
      <w:r>
        <w:rPr>
          <w:rFonts w:ascii="Times New Roman;Times;Serif" w:hAnsi="Times New Roman;Times;Serif"/>
          <w:b w:val="false"/>
          <w:i w:val="false"/>
          <w:caps w:val="false"/>
          <w:smallCaps w:val="false"/>
          <w:sz w:val="20"/>
        </w:rPr>
        <w:t>. Each Agent, severally and not jointly,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only to the extent arising out of or based upon any untrue statement or alleged untrue statement or omission or alleged omission made in reliance upon and in conformity with written information furnished to the Company by the Agents expressly for use in the Registration Statement, any such Free Writing Prospectus or the Prospectus (or any amendment or supplement thereto), it being understood and agreed that the only such information furnished by the Agents to the Company consists solely of the Agents Information, and to reimburse the Company and each such director, officer and controlling person for any and all documented expenses (including the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Section 6(b) shall be in addition to any liabilities that the Agents may otherwise have.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Notifications and Other Indemnification Procedures</w:t>
      </w:r>
      <w:r>
        <w:rPr>
          <w:rFonts w:ascii="Times New Roman;Times;Serif" w:hAnsi="Times New Roman;Times;Serif"/>
          <w:b w:val="false"/>
          <w:i w:val="false"/>
          <w:caps w:val="false"/>
          <w:smallCaps w:val="false"/>
          <w:sz w:val="20"/>
        </w:rPr>
        <w:t>. Promptly after receipt by an indemnified party under this Section 6 of notice of the commencement of any action, such indemnified party will, if a claim in respect thereof is to be made against an indemnifying party under this Section 6,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6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(not to be unreasonably withheld, delayed or conditioned), the indemnifying party will not be liable to such indemnified party under this Section 6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Agents (in the case of counsel for the indemnified parties referred to in Section 6(a) above) or the Company (in the case of counsel for the indemnified parties referred to in Section 6(b)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Settlements</w:t>
      </w:r>
      <w:r>
        <w:rPr>
          <w:rFonts w:ascii="Times New Roman;Times;Serif" w:hAnsi="Times New Roman;Times;Serif"/>
          <w:b w:val="false"/>
          <w:i w:val="false"/>
          <w:caps w:val="false"/>
          <w:smallCaps w:val="false"/>
          <w:sz w:val="20"/>
        </w:rPr>
        <w:t>. The indemnifying party under this Section 6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6(c)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provided for in this Section 6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Agents,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such Agent, on the other hand, in connection with the statements or omissions which resulted in such losses, claims, damages, liabilities or expenses, as well as any other relevant equitable considerations. The relative benefits received by the Company, on the one hand, and such Agent, on the other hand, in connection with the offering of the Shares pursuant to this Agreement shall be deemed to be in the same respective proportions as the total gross proceeds from the offering of the Shares (before deducting expenses) received by the Company from the applicable Agent bear to the total commissions received by such Agent. The relative fault of the Company, on the one hand, and such Agent, on the other hand, shall be determined by reference to, among other things, whether any such untrue or alleged untrue statement of a material fact or omission or alleged omission to state a material fact relates to information supplied by the Company, on the one hand, or such Agent, on the other hand, and the parties’ relative intent, knowledge, access to information and opportunity to correct or prevent such statement or omission. The Agents’ respective obligations to contribute pursuant to this Section 6(e) are several in proportion to the respective number of Shares they have sold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or payable by a party as a result of the losses, claims, damages, liabilities and expenses referred to above shall be deemed to include, subject to the limitations set forth in Section 6(c), any documented legal or other fees or expenses reasonably incurred by such party in connection with investigating or defending any action or claim. The provisions set forth in Section 6(c) with respect to notice of commencement of any action shall apply if a claim for contribution is to be made under this Section 6(e); provided, however, that no additional notice shall be required with respect to any action for which notice has been given under Section 6(c) for purposes of indemnification.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Agents agree that it would not be just and equitable if contribution pursuant to this Section 6(e) were determined by pro rata allocation or by any other method of allocation which does not take account of the equitable considerations referred to in this Section 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6(e), an Agent shall not be required to contribute any amount in excess of the agent fees received by such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Section 6(e), each officer and employee of such Agent and each person, if any, who controls such Agent within the meaning of the Securities Act or the Exchange Act shall have the same rights to contribution as such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TERMINATION &amp; SURVIVAL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Subject to the provisions of this Section 7, the term of this Agreement shall continue from the date of this Agreement until the end of the Agency Period, unless earlier terminated by the parties to this Agreement pursuant to this Section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Survival Following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terminate this Agreement prior to the end of the Agency Period, by giving written notice as required by this Agreement, upon ten (10) Trading Days’ notice to the Agents; provided that (A) if the Company terminates this Agreement after the Designated Agent confirms to the Company any sale of Shares, the Company shall remain obligated to comply with Section 3(c)(v) with respect to such Shares and (B) Section 2, Section 6, Section 7 and Section 8 shall survive termination of this Agreement. If termination shall occur prior to the Settlement Date for any sale of Shares, such sale shall nevertheless settle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Agent may terminate its rights and obligations under this Agreement prior to the end of the Agency Period, by giving written notice as required by this Agreement, upon ten (10) Trading Days’ notice to the Company. If termination shall occur prior to the Settlement Date for any sale of Shares, such sale shall nevertheless settle in accordance with the terms of this Agreement. For avoidance of doubt, the termination by one Agent of its rights and obligations under this Agreement pursuant to this Section 7(b) shall not affect the rights and obligations of the other Agent under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addition to the survival provision of Section 7(b)(i), the respective indemnities, agreements, representations, warranties and other statements of the Company, of its officers and of the Agents set forth in or made pursuant to this Agreement will remain in full force and effect, regardless of any investigation made by or on behalf of the Agents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Press Releases and Disclosure</w:t>
      </w:r>
      <w:r>
        <w:rPr>
          <w:rFonts w:ascii="Times New Roman;Times;Serif" w:hAnsi="Times New Roman;Times;Serif"/>
          <w:b w:val="false"/>
          <w:i w:val="false"/>
          <w:caps w:val="false"/>
          <w:smallCaps w:val="false"/>
          <w:sz w:val="20"/>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Agents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parties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parties prior to making such disclosure, and the parties shall use all commercially reasonable efforts, acting in good faith, to agree upon a text for such disclosure that is reasonably satisfactory to all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Advisory or Fiduciary Relationship</w:t>
      </w:r>
      <w:r>
        <w:rPr>
          <w:rFonts w:ascii="Times New Roman;Times;Serif" w:hAnsi="Times New Roman;Times;Serif"/>
          <w:b w:val="false"/>
          <w:i w:val="false"/>
          <w:caps w:val="false"/>
          <w:smallCaps w:val="false"/>
          <w:sz w:val="20"/>
        </w:rPr>
        <w:t>. The Company acknowledges and agrees that (i) the transactions contemplated by this Agreement, including the determination of any fees, are arm’s-length commercial transactions between the Company and the Agents, (ii) when acting as a principal under this Agreement, each Agent is and has been acting solely as a principal is not the agent or fiduciary of the Company, or its stockholders, creditors, employees or any other party, (iii) such Agent has not assumed nor will assume an advisory or fiduciary responsibility in favor of the Company with respect to the transactions contemplated hereby or the process leading thereto (irrespective of whether such Agent has advised or is currently advising the Company on other matters) and such Agent does not have any obligation to the Company with respect to the transactions contemplated hereby except the obligations expressly set forth in this Agreement, (iv) such Agent and its respective affiliates may be engaged in a broad range of transactions that involve interests that differ from those of the Company, and (v) such Agent has not provided any legal, accounting, regulatory or tax advice with respect to the transactions contemplated hereby and the Company has consulted its own legal, accounting, regulatory and tax advisors to the extent it deemed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Research Analyst Independence</w:t>
      </w:r>
      <w:r>
        <w:rPr>
          <w:rFonts w:ascii="Times New Roman;Times;Serif" w:hAnsi="Times New Roman;Times;Serif"/>
          <w:b w:val="false"/>
          <w:i w:val="false"/>
          <w:caps w:val="false"/>
          <w:smallCaps w:val="false"/>
          <w:sz w:val="20"/>
        </w:rPr>
        <w:t>. The Company acknowledges that each Agent’s respective research analysts and research departments are required to and should be independent from their respective investment banking divisions and are subject to certain regulations and internal policies, and as such, such Agent’s research analysts may hold views and make statements or investment recommendations and/or publish research reports with respect to the Company or the offering that differ from the views of their respective investment banking divisions. The Company understands that each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shall be in writing and shall be mailed, hand delivered, e-mailed or telecopied and confirmed to the parties hereto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5th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Peter M. Fry</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Leerink Partners LLC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 5th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Legal Department</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 Park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Capital Markets</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307-3730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 Park Avenue</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(212) 307-3730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Covington &amp; Burling LLP</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Hudson Yards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Brian K. Rosenzweig</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Aclaris Therapeutics, Inc.</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 Lee Road, Suite 103</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Wayne, Pennsylvania 19087</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Matthew Rothman</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11951 Freedom Drive, 14th Floor</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Reston, Virginia 20190-5640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Facsimile: (703) 456-8100</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Mark Ballantyne, Esq.</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 in accordance with this Section 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to the benefit of the employees, officers and directors and controlling persons referred to in Section 6, and in each case their respective successors, and no other person will have any right or obligation hereunder. The term “successors” shall not include any purchaser of the Shares as such from the Agents merely by reason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Partial Unenforceability</w:t>
      </w:r>
      <w:r>
        <w:rPr>
          <w:rFonts w:ascii="Times New Roman;Times;Serif" w:hAnsi="Times New Roman;Times;Serif"/>
          <w:b w:val="false"/>
          <w:i w:val="false"/>
          <w:caps w:val="false"/>
          <w:smallCaps w:val="false"/>
          <w:sz w:val="20"/>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Governing Law Provisions</w:t>
      </w:r>
      <w:r>
        <w:rPr>
          <w:rFonts w:ascii="Times New Roman;Times;Serif" w:hAnsi="Times New Roman;Times;Serif"/>
          <w:b w:val="false"/>
          <w:i w:val="false"/>
          <w:caps w:val="false"/>
          <w:smallCaps w:val="false"/>
          <w:sz w:val="20"/>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Times;Serif" w:hAnsi="Times New Roman;Times;Serif"/>
          <w:b/>
          <w:i w:val="false"/>
          <w:caps w:val="false"/>
          <w:smallCaps w:val="false"/>
          <w:sz w:val="20"/>
        </w:rPr>
        <w:t>Specified Courts</w:t>
      </w:r>
      <w:r>
        <w:rPr>
          <w:rFonts w:ascii="Times New Roman;Times;Serif" w:hAnsi="Times New Roman;Times;Serif"/>
          <w:b w:val="false"/>
          <w:i w:val="false"/>
          <w:caps w:val="false"/>
          <w:smallCaps w:val="false"/>
          <w:sz w:val="20"/>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General Provisions</w:t>
      </w:r>
      <w:r>
        <w:rPr>
          <w:rFonts w:ascii="Times New Roman;Times;Serif" w:hAnsi="Times New Roman;Times;Serif"/>
          <w:b w:val="false"/>
          <w:i w:val="false"/>
          <w:caps w:val="false"/>
          <w:smallCaps w:val="false"/>
          <w:sz w:val="20"/>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Immediately Follows]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pStyle w:val="TextBody"/>
        <w:bidi w:val="0"/>
        <w:spacing w:before="0" w:after="0"/>
        <w:ind w:left="0" w:right="0" w:hanging="0"/>
        <w:jc w:val="left"/>
        <w:rPr>
          <w:caps w:val="false"/>
          <w:smallCaps w:val="false"/>
        </w:rPr>
      </w:pPr>
      <w:r>
        <w:rPr>
          <w:caps w:val="false"/>
          <w:smallCaps w:val="false"/>
        </w:rPr>
        <w:t> </w:t>
      </w:r>
    </w:p>
    <w:tbl>
      <w:tblPr>
        <w:tblW w:w="3019" w:type="dxa"/>
        <w:jc w:val="left"/>
        <w:tblInd w:w="0" w:type="dxa"/>
        <w:tblLayout w:type="fixed"/>
        <w:tblCellMar>
          <w:top w:w="0" w:type="dxa"/>
          <w:left w:w="0" w:type="dxa"/>
          <w:bottom w:w="0" w:type="dxa"/>
          <w:right w:w="0" w:type="dxa"/>
        </w:tblCellMar>
      </w:tblPr>
      <w:tblGrid>
        <w:gridCol w:w="75"/>
        <w:gridCol w:w="744"/>
        <w:gridCol w:w="2200"/>
      </w:tblGrid>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ACLARIS THERAPEUTICS, INC.</w:t>
            </w:r>
          </w:p>
        </w:tc>
      </w:tr>
      <w:tr>
        <w:trPr/>
        <w:tc>
          <w:tcPr>
            <w:tcW w:w="75" w:type="dxa"/>
            <w:tcBorders/>
            <w:vAlign w:val="center"/>
          </w:tcPr>
          <w:p>
            <w:pPr>
              <w:pStyle w:val="TableContents"/>
              <w:bidi w:val="0"/>
              <w:spacing w:before="0" w:after="283"/>
              <w:jc w:val="left"/>
              <w:rPr/>
            </w:pPr>
            <w:r>
              <w:rPr/>
              <w:t> </w:t>
            </w:r>
          </w:p>
        </w:tc>
        <w:tc>
          <w:tcPr>
            <w:tcW w:w="29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Neal Walker           </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Neal Walker</w:t>
            </w:r>
          </w:p>
        </w:tc>
      </w:tr>
      <w:tr>
        <w:trPr/>
        <w:tc>
          <w:tcPr>
            <w:tcW w:w="75" w:type="dxa"/>
            <w:tcBorders/>
            <w:vAlign w:val="center"/>
          </w:tcPr>
          <w:p>
            <w:pPr>
              <w:pStyle w:val="TableContents"/>
              <w:bidi w:val="0"/>
              <w:spacing w:before="0" w:after="283"/>
              <w:jc w:val="left"/>
              <w:rPr/>
            </w:pPr>
            <w:r>
              <w:rPr/>
              <w:t> </w:t>
            </w:r>
          </w:p>
        </w:tc>
        <w:tc>
          <w:tcPr>
            <w:tcW w:w="7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confirmed and accepted by the Agents in New York, New York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5232" w:type="dxa"/>
        <w:jc w:val="left"/>
        <w:tblInd w:w="0" w:type="dxa"/>
        <w:tblLayout w:type="fixed"/>
        <w:tblCellMar>
          <w:top w:w="0" w:type="dxa"/>
          <w:left w:w="0" w:type="dxa"/>
          <w:bottom w:w="0" w:type="dxa"/>
          <w:right w:w="0" w:type="dxa"/>
        </w:tblCellMar>
      </w:tblPr>
      <w:tblGrid>
        <w:gridCol w:w="623"/>
        <w:gridCol w:w="4372"/>
        <w:gridCol w:w="162"/>
        <w:gridCol w:w="75"/>
      </w:tblGrid>
      <w:tr>
        <w:trPr/>
        <w:tc>
          <w:tcPr>
            <w:tcW w:w="5157"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LEERINK PARTNERS LLC</w:t>
            </w:r>
          </w:p>
        </w:tc>
        <w:tc>
          <w:tcPr>
            <w:tcW w:w="75" w:type="dxa"/>
            <w:tcBorders/>
            <w:vAlign w:val="center"/>
          </w:tcPr>
          <w:p>
            <w:pPr>
              <w:pStyle w:val="TableContents"/>
              <w:bidi w:val="0"/>
              <w:spacing w:before="0" w:after="283"/>
              <w:jc w:val="left"/>
              <w:rPr/>
            </w:pPr>
            <w:r>
              <w:rPr/>
              <w:t> </w:t>
            </w:r>
          </w:p>
        </w:tc>
      </w:tr>
      <w:tr>
        <w:trPr/>
        <w:tc>
          <w:tcPr>
            <w:tcW w:w="5157"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Fry</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Fry</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Managing Director, Head of Alternative Equities</w:t>
            </w:r>
          </w:p>
        </w:tc>
        <w:tc>
          <w:tcPr>
            <w:tcW w:w="75" w:type="dxa"/>
            <w:tcBorders/>
            <w:vAlign w:val="center"/>
          </w:tcPr>
          <w:p>
            <w:pPr>
              <w:pStyle w:val="TableContents"/>
              <w:bidi w:val="0"/>
              <w:spacing w:before="0" w:after="283"/>
              <w:jc w:val="left"/>
              <w:rPr/>
            </w:pPr>
            <w:r>
              <w:rPr/>
              <w:t> </w:t>
            </w:r>
          </w:p>
        </w:tc>
      </w:tr>
      <w:tr>
        <w:trPr/>
        <w:tc>
          <w:tcPr>
            <w:tcW w:w="5157"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157"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CANTOR FITZGERALD &amp; CO.</w:t>
            </w:r>
          </w:p>
        </w:tc>
        <w:tc>
          <w:tcPr>
            <w:tcW w:w="75" w:type="dxa"/>
            <w:tcBorders/>
            <w:vAlign w:val="center"/>
          </w:tcPr>
          <w:p>
            <w:pPr>
              <w:pStyle w:val="TableContents"/>
              <w:bidi w:val="0"/>
              <w:spacing w:before="0" w:after="283"/>
              <w:jc w:val="left"/>
              <w:rPr/>
            </w:pPr>
            <w:r>
              <w:rPr/>
              <w:t> </w:t>
            </w:r>
          </w:p>
        </w:tc>
      </w:tr>
      <w:tr>
        <w:trPr/>
        <w:tc>
          <w:tcPr>
            <w:tcW w:w="5157"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3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Sameer Vasudev</w:t>
            </w:r>
          </w:p>
        </w:tc>
        <w:tc>
          <w:tcPr>
            <w:tcW w:w="162"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Sameer Vasudev</w:t>
            </w:r>
          </w:p>
        </w:tc>
        <w:tc>
          <w:tcPr>
            <w:tcW w:w="75" w:type="dxa"/>
            <w:tcBorders/>
            <w:vAlign w:val="center"/>
          </w:tcPr>
          <w:p>
            <w:pPr>
              <w:pStyle w:val="TableContents"/>
              <w:bidi w:val="0"/>
              <w:spacing w:before="0" w:after="283"/>
              <w:jc w:val="left"/>
              <w:rPr/>
            </w:pPr>
            <w:r>
              <w:rPr/>
              <w:t> </w:t>
            </w:r>
          </w:p>
        </w:tc>
      </w:tr>
      <w:tr>
        <w:trPr/>
        <w:tc>
          <w:tcPr>
            <w:tcW w:w="6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ISSUANCE NOTICE</w:t>
      </w:r>
    </w:p>
    <w:p>
      <w:pPr>
        <w:pStyle w:val="TextBody"/>
        <w:bidi w:val="0"/>
        <w:spacing w:before="0" w:after="0"/>
        <w:ind w:left="0" w:right="0" w:hanging="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515"/>
        <w:gridCol w:w="245"/>
      </w:tblGrid>
      <w:tr>
        <w:trPr/>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From:</w:t>
            </w:r>
          </w:p>
        </w:tc>
        <w:tc>
          <w:tcPr>
            <w:tcW w:w="245" w:type="dxa"/>
            <w:tcBorders/>
            <w:vAlign w:val="center"/>
          </w:tcPr>
          <w:p>
            <w:pPr>
              <w:pStyle w:val="TableContents"/>
              <w:bidi w:val="0"/>
              <w:spacing w:before="0" w:after="283"/>
              <w:jc w:val="both"/>
              <w:rPr/>
            </w:pPr>
            <w:r>
              <w:rPr/>
              <w:t>[ ]</w:t>
            </w:r>
          </w:p>
        </w:tc>
      </w:tr>
    </w:tbl>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Aclaris Therapeutics, Inc.</w:t>
      </w:r>
    </w:p>
    <w:tbl>
      <w:tblPr>
        <w:tblW w:w="5800" w:type="dxa"/>
        <w:jc w:val="left"/>
        <w:tblInd w:w="0" w:type="dxa"/>
        <w:tblLayout w:type="fixed"/>
        <w:tblCellMar>
          <w:top w:w="0" w:type="dxa"/>
          <w:left w:w="0" w:type="dxa"/>
          <w:bottom w:w="0" w:type="dxa"/>
          <w:right w:w="0" w:type="dxa"/>
        </w:tblCellMar>
      </w:tblPr>
      <w:tblGrid>
        <w:gridCol w:w="710"/>
        <w:gridCol w:w="5090"/>
      </w:tblGrid>
      <w:tr>
        <w:trPr/>
        <w:tc>
          <w:tcPr>
            <w:tcW w:w="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Cc:</w:t>
            </w:r>
          </w:p>
        </w:tc>
        <w:tc>
          <w:tcPr>
            <w:tcW w:w="5090" w:type="dxa"/>
            <w:tcBorders/>
            <w:vAlign w:val="center"/>
          </w:tcPr>
          <w:p>
            <w:pPr>
              <w:pStyle w:val="TableContents"/>
              <w:bidi w:val="0"/>
              <w:spacing w:before="0" w:after="283"/>
              <w:jc w:val="both"/>
              <w:rPr/>
            </w:pPr>
            <w:r>
              <w:rPr/>
              <w:t>[ ]</w:t>
            </w:r>
          </w:p>
        </w:tc>
      </w:tr>
      <w:tr>
        <w:trPr/>
        <w:tc>
          <w:tcPr>
            <w:tcW w:w="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w:t>
            </w:r>
          </w:p>
        </w:tc>
        <w:tc>
          <w:tcPr>
            <w:tcW w:w="5090" w:type="dxa"/>
            <w:tcBorders/>
            <w:vAlign w:val="center"/>
          </w:tcPr>
          <w:p>
            <w:pPr>
              <w:pStyle w:val="TableContents"/>
              <w:bidi w:val="0"/>
              <w:spacing w:before="0" w:after="283"/>
              <w:jc w:val="both"/>
              <w:rPr/>
            </w:pPr>
            <w:r>
              <w:rPr/>
              <w:t>[Designated Agent Name] (the “</w:t>
            </w:r>
            <w:r>
              <w:rPr>
                <w:b/>
              </w:rPr>
              <w:t>Designated Agent</w:t>
            </w:r>
            <w:r>
              <w:rPr/>
              <w:t>”)</w:t>
            </w:r>
          </w:p>
        </w:tc>
      </w:tr>
      <w:tr>
        <w:trPr/>
        <w:tc>
          <w:tcPr>
            <w:tcW w:w="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Subject:</w:t>
            </w:r>
          </w:p>
        </w:tc>
        <w:tc>
          <w:tcPr>
            <w:tcW w:w="5090" w:type="dxa"/>
            <w:tcBorders/>
            <w:vAlign w:val="center"/>
          </w:tcPr>
          <w:p>
            <w:pPr>
              <w:pStyle w:val="TableContents"/>
              <w:bidi w:val="0"/>
              <w:spacing w:before="0" w:after="283"/>
              <w:jc w:val="both"/>
              <w:rPr/>
            </w:pPr>
            <w:r>
              <w:rPr/>
              <w:t>At the Market Offering— Issuance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Second Amended and Restated Sales Agreement, dated August 6, 2026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by and among Aclaris Therapeutics,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Leerink Partners LLC and Cantor Fitzgerald &amp; Co. (collectively the “</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and each individually an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I hereby request on behalf of the Company that the Designated Agent sell up to [ ] shares of common stock, $0.00001 par value per share, of the Company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xml:space="preserve">”), at a minimum market price of $[ ] per share [;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more than [ ] Shares shall be sold in any one Trading Day (as such term is defined in the Agreement)]. Sales should begin [on the date of this Issuance Notice] and end on [DATE] [until all Shares that are the subject of this Issuance Notice are sold].</w:t>
      </w:r>
    </w:p>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Balthaser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Leerink Partners LLC</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Cantor Fitzgerald &amp; Co.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w:t>
      </w:r>
    </w:p>
    <w:p>
      <w:pPr>
        <w:pStyle w:val="TextBody"/>
        <w:bidi w:val="0"/>
        <w:spacing w:before="0" w:after="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75"/>
        <w:gridCol w:w="395"/>
        <w:gridCol w:w="7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center"/>
              <w:rPr/>
            </w:pPr>
            <w:r>
              <w:rPr/>
              <w:t>A-2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t> </w:t>
      </w:r>
    </w:p>
    <w:p>
      <w:pPr>
        <w:pStyle w:val="TextBody"/>
        <w:bidi w:val="0"/>
        <w:jc w:val="left"/>
        <w:rPr/>
      </w:pPr>
      <w:bookmarkStart w:id="34" w:name="tm2622183d2_ex4-2.htm"/>
      <w:bookmarkStart w:id="35" w:name="kstm2622183d2_ex42"/>
      <w:bookmarkEnd w:id="34"/>
      <w:bookmarkEnd w:id="35"/>
      <w:r>
        <w:rPr/>
        <w:t> </w:t>
      </w:r>
      <w:r>
        <w:br w:type="page"/>
      </w:r>
    </w:p>
    <w:p>
      <w:pPr>
        <w:pStyle w:val="TextBody"/>
        <w:bidi w:val="0"/>
        <w:jc w:val="right"/>
        <w:rPr>
          <w:b/>
        </w:rPr>
      </w:pPr>
      <w:r>
        <w:rPr>
          <w:b/>
        </w:rPr>
        <w:t>Exhibit 4.2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ACLARIS THERAPEUTICS, Inc.,</w:t>
        <w:br/>
      </w:r>
      <w:r>
        <w:rPr>
          <w:rFonts w:ascii="Times New Roman;Times;Serif" w:hAnsi="Times New Roman;Times;Serif"/>
          <w:b/>
          <w:i w:val="false"/>
          <w:caps w:val="false"/>
          <w:smallCaps w:val="false"/>
          <w:sz w:val="20"/>
        </w:rPr>
        <w:t>Iss</w:t>
      </w:r>
      <w:r>
        <w:rPr>
          <w:rFonts w:ascii="Times New Roman;Times;Serif" w:hAnsi="Times New Roman;Times;Serif"/>
          <w:b w:val="false"/>
          <w:i w:val="false"/>
          <w:caps w:val="false"/>
          <w:smallCaps w:val="false"/>
          <w:sz w:val="20"/>
        </w:rPr>
        <w:t>u</w:t>
      </w:r>
      <w:r>
        <w:rPr>
          <w:rFonts w:ascii="Times New Roman;Times;Serif" w:hAnsi="Times New Roman;Times;Serif"/>
          <w:b/>
          <w:i w:val="false"/>
          <w:caps w:val="false"/>
          <w:smallCaps w:val="false"/>
          <w:sz w:val="20"/>
        </w:rPr>
        <w: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center"/>
        <w:rPr>
          <w:caps w:val="false"/>
          <w:smallCaps w:val="false"/>
        </w:rPr>
      </w:pPr>
      <w:r>
        <w:rPr>
          <w:caps w:val="false"/>
          <w:smallCaps w:val="false"/>
        </w:rPr>
        <w:t> </w:t>
      </w:r>
    </w:p>
    <w:tbl>
      <w:tblPr>
        <w:tblW w:w="9548" w:type="dxa"/>
        <w:jc w:val="left"/>
        <w:tblInd w:w="0" w:type="dxa"/>
        <w:tblLayout w:type="fixed"/>
        <w:tblCellMar>
          <w:top w:w="0" w:type="dxa"/>
          <w:left w:w="0" w:type="dxa"/>
          <w:bottom w:w="0" w:type="dxa"/>
          <w:right w:w="0" w:type="dxa"/>
        </w:tblCellMar>
      </w:tblPr>
      <w:tblGrid>
        <w:gridCol w:w="1775"/>
        <w:gridCol w:w="100"/>
        <w:gridCol w:w="7428"/>
        <w:gridCol w:w="245"/>
      </w:tblGrid>
      <w:tr>
        <w:trPr/>
        <w:tc>
          <w:tcPr>
            <w:tcW w:w="930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 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 of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03"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ISSUE, DESCRIPTION, TERMS, EXECUTION, REGISTRATION AND EXCHANGE OF SECURITIES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and Terms of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Securities and Trustee’s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 Provisions for Payment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and Exchange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or Stolen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03"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REDEMPTION OF SECURITIES AND SINKING FUND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15</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Upon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Sinking Fund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of Sinking Fund Payments with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Securities for Sinking Fund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03"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COVENANTS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18</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Premium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1775"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100" w:type="dxa"/>
            <w:tcBorders/>
            <w:vAlign w:val="center"/>
          </w:tcPr>
          <w:p>
            <w:pPr>
              <w:pStyle w:val="TableContents"/>
              <w:bidi w:val="0"/>
              <w:spacing w:before="0" w:after="283"/>
              <w:jc w:val="left"/>
              <w:rPr/>
            </w:pPr>
            <w:r>
              <w:rPr/>
              <w:t> </w:t>
            </w:r>
          </w:p>
        </w:tc>
        <w:tc>
          <w:tcPr>
            <w:tcW w:w="7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to Fill Vacancy in Office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center"/>
        <w:rPr>
          <w:caps w:val="false"/>
          <w:smallCaps w:val="false"/>
        </w:rPr>
      </w:pPr>
      <w:r>
        <w:rPr>
          <w:caps w:val="false"/>
          <w:smallCaps w:val="false"/>
        </w:rPr>
        <w:t> </w:t>
      </w:r>
    </w:p>
    <w:tbl>
      <w:tblPr>
        <w:tblW w:w="313" w:type="dxa"/>
        <w:jc w:val="left"/>
        <w:tblInd w:w="0" w:type="dxa"/>
        <w:tblLayout w:type="fixed"/>
        <w:tblCellMar>
          <w:top w:w="0" w:type="dxa"/>
          <w:left w:w="0" w:type="dxa"/>
          <w:bottom w:w="0" w:type="dxa"/>
          <w:right w:w="0" w:type="dxa"/>
        </w:tblCellMar>
      </w:tblPr>
      <w:tblGrid>
        <w:gridCol w:w="75"/>
        <w:gridCol w:w="200"/>
        <w:gridCol w:w="38"/>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 </w:t>
            </w:r>
            <w:r>
              <w:rPr/>
              <w:t>i.</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right"/>
        <w:rPr>
          <w:rFonts w:ascii="Times New Roman;Times;Serif" w:hAnsi="Times New Roman;Times;Serif"/>
          <w:b/>
          <w:i w:val="false"/>
          <w:smallCaps/>
          <w:sz w:val="20"/>
        </w:rPr>
      </w:pPr>
      <w:r>
        <w:rPr>
          <w:rFonts w:ascii="Times New Roman;Times;Serif" w:hAnsi="Times New Roman;Times;Serif"/>
          <w:b/>
          <w:i w:val="false"/>
          <w:smallCaps/>
          <w:sz w:val="20"/>
        </w:rPr>
        <w:t>PAGE</w:t>
      </w:r>
    </w:p>
    <w:p>
      <w:pPr>
        <w:pStyle w:val="TextBody"/>
        <w:bidi w:val="0"/>
        <w:spacing w:before="0" w:after="0"/>
        <w:ind w:left="0" w:right="0" w:hanging="0"/>
        <w:jc w:val="left"/>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1304"/>
        <w:gridCol w:w="74"/>
        <w:gridCol w:w="6981"/>
        <w:gridCol w:w="245"/>
      </w:tblGrid>
      <w:tr>
        <w:trPr/>
        <w:tc>
          <w:tcPr>
            <w:tcW w:w="835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SECURITYHOLDERS’ LISTS AND REPORTS BY THE COMPANY AND THE 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20</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to Furnish Trustee Names and Addresses of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Communications With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35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REMEDIES OF THE TRUSTEE AND SECURITYHOLDERS ON EVENT OF DEFAULT</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22</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Moneys Collected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 Delay or Omission Not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to Pay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359"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CONCERNING THE 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27</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Duties and Responsibilities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Not Responsible for Recitals or Issuance or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Hold Securities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Moneys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Reimbursement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on Officer’s Certificate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Trustee Required; 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130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74" w:type="dxa"/>
            <w:tcBorders/>
            <w:vAlign w:val="center"/>
          </w:tcPr>
          <w:p>
            <w:pPr>
              <w:pStyle w:val="TableContents"/>
              <w:bidi w:val="0"/>
              <w:spacing w:before="0" w:after="283"/>
              <w:jc w:val="left"/>
              <w:rPr/>
            </w:pPr>
            <w:r>
              <w:rPr/>
              <w:t> </w:t>
            </w:r>
          </w:p>
        </w:tc>
        <w:tc>
          <w:tcPr>
            <w:tcW w:w="69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Conversion, Consolidation or Succession to Business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caps w:val="false"/>
          <w:smallCaps w:val="false"/>
        </w:rPr>
      </w:pPr>
      <w:r>
        <w:rPr>
          <w:caps w:val="false"/>
          <w:smallCaps w:val="false"/>
        </w:rPr>
        <w:t> </w:t>
      </w:r>
    </w:p>
    <w:tbl>
      <w:tblPr>
        <w:tblW w:w="373" w:type="dxa"/>
        <w:jc w:val="left"/>
        <w:tblInd w:w="0" w:type="dxa"/>
        <w:tblLayout w:type="fixed"/>
        <w:tblCellMar>
          <w:top w:w="0" w:type="dxa"/>
          <w:left w:w="0" w:type="dxa"/>
          <w:bottom w:w="0" w:type="dxa"/>
          <w:right w:w="0" w:type="dxa"/>
        </w:tblCellMar>
      </w:tblPr>
      <w:tblGrid>
        <w:gridCol w:w="75"/>
        <w:gridCol w:w="260"/>
        <w:gridCol w:w="38"/>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 </w:t>
            </w:r>
            <w:r>
              <w:rPr/>
              <w:t>ii.</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513" w:type="dxa"/>
        <w:jc w:val="left"/>
        <w:tblInd w:w="0" w:type="dxa"/>
        <w:tblLayout w:type="fixed"/>
        <w:tblCellMar>
          <w:top w:w="0" w:type="dxa"/>
          <w:left w:w="0" w:type="dxa"/>
          <w:bottom w:w="0" w:type="dxa"/>
          <w:right w:w="0" w:type="dxa"/>
        </w:tblCellMar>
      </w:tblPr>
      <w:tblGrid>
        <w:gridCol w:w="1467"/>
        <w:gridCol w:w="75"/>
        <w:gridCol w:w="6726"/>
        <w:gridCol w:w="245"/>
      </w:tblGrid>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7.14</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CONCERNING THE SECURITYHOLDERS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36</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Action by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 of Execution by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Who May be Deemed Owners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Securities Owned by Company Disregarded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Binding on Future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9 SUPPLEMENTAL INDENTURES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38</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the Consent of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Securityholders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Affected by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10 SUCCESSOR ENTITY</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41</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Consolidate,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11 SATISFACTION AND DISCHARGE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42</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Discharge of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Moneys to be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Moneys Held by Paying Agents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12 IMMUNITY OF INCORPORATORS, STOCKHOLDERS, OFFICERS AND DIRECTORS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43</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8" w:type="dxa"/>
            <w:gridSpan w:val="3"/>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13 MISCELLANEOUS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44</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on Successors and Assigns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by Successor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46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4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75" w:type="dxa"/>
            <w:tcBorders/>
            <w:vAlign w:val="center"/>
          </w:tcPr>
          <w:p>
            <w:pPr>
              <w:pStyle w:val="TableContents"/>
              <w:bidi w:val="0"/>
              <w:spacing w:before="0" w:after="283"/>
              <w:jc w:val="left"/>
              <w:rPr/>
            </w:pPr>
            <w:r>
              <w:rPr/>
              <w:t> </w:t>
            </w:r>
          </w:p>
        </w:tc>
        <w:tc>
          <w:tcPr>
            <w:tcW w:w="67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of Company Powers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bl>
    <w:p>
      <w:pPr>
        <w:pStyle w:val="TextBody"/>
        <w:bidi w:val="0"/>
        <w:spacing w:before="0" w:after="0"/>
        <w:ind w:left="0" w:right="0" w:hanging="0"/>
        <w:jc w:val="left"/>
        <w:rPr>
          <w:caps w:val="false"/>
          <w:smallCaps w:val="false"/>
        </w:rPr>
      </w:pPr>
      <w:r>
        <w:rPr>
          <w:caps w:val="false"/>
          <w:smallCaps w:val="false"/>
        </w:rPr>
        <w:t> </w:t>
      </w:r>
    </w:p>
    <w:tbl>
      <w:tblPr>
        <w:tblW w:w="433" w:type="dxa"/>
        <w:jc w:val="left"/>
        <w:tblInd w:w="0" w:type="dxa"/>
        <w:tblLayout w:type="fixed"/>
        <w:tblCellMar>
          <w:top w:w="0" w:type="dxa"/>
          <w:left w:w="0" w:type="dxa"/>
          <w:bottom w:w="0" w:type="dxa"/>
          <w:right w:w="0" w:type="dxa"/>
        </w:tblCellMar>
      </w:tblPr>
      <w:tblGrid>
        <w:gridCol w:w="75"/>
        <w:gridCol w:w="320"/>
        <w:gridCol w:w="38"/>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iii.</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right"/>
        <w:rPr>
          <w:rFonts w:ascii="Times New Roman;Times;Serif" w:hAnsi="Times New Roman;Times;Serif"/>
          <w:b/>
          <w:i w:val="false"/>
          <w:smallCaps/>
          <w:sz w:val="20"/>
        </w:rPr>
      </w:pPr>
      <w:r>
        <w:rPr>
          <w:rFonts w:ascii="Times New Roman;Times;Serif" w:hAnsi="Times New Roman;Times;Serif"/>
          <w:b/>
          <w:i w:val="false"/>
          <w:smallCaps/>
          <w:sz w:val="20"/>
        </w:rPr>
        <w:t>PAGE</w:t>
      </w:r>
    </w:p>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1160"/>
        <w:gridCol w:w="60"/>
        <w:gridCol w:w="4310"/>
        <w:gridCol w:w="2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Jury Trial Waiver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13.06</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Securities as Debt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13.07</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and Opinions as to Conditions Precedent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13.08</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Business Days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13.09</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 with Trust Indenture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13.10</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13.11</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13.12</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13.13</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Patriot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13.14</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13.15</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0"/>
        <w:ind w:left="0" w:right="0" w:hanging="0"/>
        <w:jc w:val="left"/>
        <w:rPr>
          <w:caps w:val="false"/>
          <w:smallCaps w:val="false"/>
        </w:rPr>
      </w:pPr>
      <w:r>
        <w:rPr>
          <w:caps w:val="false"/>
          <w:smallCaps w:val="false"/>
        </w:rPr>
        <w:t> </w:t>
      </w:r>
    </w:p>
    <w:tbl>
      <w:tblPr>
        <w:tblW w:w="433" w:type="dxa"/>
        <w:jc w:val="left"/>
        <w:tblInd w:w="0" w:type="dxa"/>
        <w:tblLayout w:type="fixed"/>
        <w:tblCellMar>
          <w:top w:w="0" w:type="dxa"/>
          <w:left w:w="0" w:type="dxa"/>
          <w:bottom w:w="0" w:type="dxa"/>
          <w:right w:w="0" w:type="dxa"/>
        </w:tblCellMar>
      </w:tblPr>
      <w:tblGrid>
        <w:gridCol w:w="75"/>
        <w:gridCol w:w="320"/>
        <w:gridCol w:w="38"/>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center"/>
              <w:rPr/>
            </w:pPr>
            <w:r>
              <w:rPr/>
              <w:t> </w:t>
            </w:r>
            <w:r>
              <w:rPr/>
              <w:t>iv.</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Indenture</w:t>
      </w:r>
      <w:r>
        <w:rPr>
          <w:rFonts w:ascii="Times New Roman;Times;Serif" w:hAnsi="Times New Roman;Times;Serif"/>
          <w:b w:val="false"/>
          <w:i w:val="false"/>
          <w:caps w:val="false"/>
          <w:smallCaps w:val="false"/>
          <w:sz w:val="20"/>
        </w:rPr>
        <w:t>, dated as of [•], 20__, among Aclaris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w:t>
      </w:r>
      <w:r>
        <w:rPr>
          <w:rFonts w:ascii="Times New Roman;Times;Serif" w:hAnsi="Times New Roman;Times;Serif"/>
          <w:b/>
          <w:i w:val="false"/>
          <w:smallCaps/>
          <w:sz w:val="20"/>
        </w:rPr>
        <w:t>Trustee</w:t>
      </w:r>
      <w:r>
        <w:rPr>
          <w:rFonts w:ascii="Times New Roman;Times;Serif" w:hAnsi="Times New Roman;Times;Serif"/>
          <w:b w:val="false"/>
          <w:i w:val="false"/>
          <w:caps w:val="false"/>
          <w:smallCaps w:val="false"/>
          <w:sz w:val="20"/>
        </w:rPr>
        <w:t>], as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all things necessary to make this Indenture a valid agreement of the Company,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Definitions of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the Trustee or an authenticating agent with respect to all or any of the series of Securities appointed by the Trustee pursuant to Section 2.10.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Aclaris Therapeutics, Inc., a corporation duly organized and existing under the laws of the State of Delaware, and, subject to the provisions of Article Ten, shall also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xml:space="preserve">” means the office of the Trustee at which, at any particular time, its corporate trust business shall be principally administered, which office at the date hereof is located at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has the meaning set forth in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United States Securities Exchange Act of 1934, as amended, and the rules and regulations promulgated by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given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mailed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notify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sent</w:t>
      </w:r>
      <w:r>
        <w:rPr>
          <w:rFonts w:ascii="Times New Roman;Times;Serif" w:hAnsi="Times New Roman;Times;Serif"/>
          <w:b w:val="false"/>
          <w:i w:val="false"/>
          <w:caps w:val="false"/>
          <w:smallCaps w:val="false"/>
          <w:sz w:val="20"/>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Officer. Each such certificate shall include the statements provided for in Section 13.07, if and to the extent required by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 of Securities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 holder</w:t>
      </w:r>
      <w:r>
        <w:rPr>
          <w:rFonts w:ascii="Times New Roman;Times;Serif" w:hAnsi="Times New Roman;Times;Serif"/>
          <w:b w:val="false"/>
          <w:i w:val="false"/>
          <w:caps w:val="false"/>
          <w:smallCaps w:val="false"/>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means _________________________,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xml:space="preserve"> means the Uniting and Strengthening America by Providing Appropriate Tools Required to Intercept and Obstruct Terrorism Act of 2001, Pub. L. 107-56, as amended and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ISSUE, DESCRIPTION, TERMS, EXECUTION, REGISTRATION AND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Designation and Terms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title of the Securities of the series (which shall distinguish the Securities of that series from all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the maturity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the form of the Securities of the series including the form of the certificate of authentication for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the applicability of any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val="false"/>
          <w:i w:val="false"/>
          <w:caps w:val="false"/>
          <w:smallCaps w:val="false"/>
          <w:sz w:val="20"/>
        </w:rPr>
        <w:t>whether or not the Securities will be secured or unsecured, and the terms of any 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val="false"/>
          <w:i w:val="false"/>
          <w:caps w:val="false"/>
          <w:smallCaps w:val="false"/>
          <w:sz w:val="20"/>
        </w:rPr>
        <w:t>whether the Securities rank as senior debt, senior subordinated debt, subordinated debt or any combination thereof, and the terms of any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val="false"/>
          <w:i w:val="false"/>
          <w:caps w:val="false"/>
          <w:smallCaps w:val="false"/>
          <w:sz w:val="20"/>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val="false"/>
          <w:i w:val="false"/>
          <w:caps w:val="false"/>
          <w:smallCaps w:val="false"/>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val="false"/>
          <w:i w:val="false"/>
          <w:caps w:val="false"/>
          <w:smallCaps w:val="false"/>
          <w:sz w:val="20"/>
        </w:rPr>
        <w:t>the Company’s right, if any, to defer the payment of interest and the maximum length of any such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val="false"/>
          <w:i w:val="false"/>
          <w:caps w:val="false"/>
          <w:smallCaps w:val="false"/>
          <w:sz w:val="20"/>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val="false"/>
          <w:i w:val="false"/>
          <w:caps w:val="false"/>
          <w:smallCaps w:val="false"/>
          <w:sz w:val="20"/>
        </w:rPr>
        <w:t>the denominations in which the Securities of the series shall be issuable, if other than denominations of one thousand U.S. dollars ($1,000) or any integral multiple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val="false"/>
          <w:i w:val="false"/>
          <w:caps w:val="false"/>
          <w:smallCaps w:val="false"/>
          <w:sz w:val="20"/>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val="false"/>
          <w:i w:val="false"/>
          <w:caps w:val="false"/>
          <w:smallCaps w:val="false"/>
          <w:sz w:val="20"/>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val="false"/>
          <w:i w:val="false"/>
          <w:caps w:val="false"/>
          <w:smallCaps w:val="false"/>
          <w:sz w:val="20"/>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val="false"/>
          <w:i w:val="false"/>
          <w:caps w:val="false"/>
          <w:smallCaps w:val="false"/>
          <w:sz w:val="20"/>
        </w:rPr>
        <w:t>if other than the full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val="false"/>
          <w:i w:val="false"/>
          <w:caps w:val="false"/>
          <w:smallCaps w:val="false"/>
          <w:sz w:val="20"/>
        </w:rPr>
        <w:t>additions to or changes in the covenants applicable to the series of Securities being issued, including, among others, the consolidation, merger or sale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val="false"/>
          <w:i w:val="false"/>
          <w:caps w:val="false"/>
          <w:smallCaps w:val="false"/>
          <w:sz w:val="20"/>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t>
      </w:r>
      <w:r>
        <w:rPr>
          <w:rFonts w:ascii="Times New Roman;Times;Serif" w:hAnsi="Times New Roman;Times;Serif"/>
          <w:b w:val="false"/>
          <w:i w:val="false"/>
          <w:caps w:val="false"/>
          <w:smallCaps w:val="false"/>
          <w:sz w:val="20"/>
        </w:rPr>
        <w:t>additions to or changes in or deletions of the provisions relating to covenant defeasance and 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val="false"/>
          <w:i w:val="false"/>
          <w:caps w:val="false"/>
          <w:smallCaps w:val="false"/>
          <w:sz w:val="20"/>
        </w:rPr>
        <w:t>additions to or changes in the provisions relating to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val="false"/>
          <w:i w:val="false"/>
          <w:caps w:val="false"/>
          <w:smallCaps w:val="false"/>
          <w:sz w:val="20"/>
        </w:rPr>
        <w:t>additions to or changes in the provisions relating to the modification of this Indenture both with and without the consent of Securityholders of Securities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val="false"/>
          <w:i w:val="false"/>
          <w:caps w:val="false"/>
          <w:smallCaps w:val="false"/>
          <w:sz w:val="20"/>
        </w:rPr>
        <w:t>the currency of payment of Securities if other than U.S. dollars and the manner of determining the equivalent amount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val="false"/>
          <w:i w:val="false"/>
          <w:caps w:val="false"/>
          <w:smallCaps w:val="false"/>
          <w:sz w:val="20"/>
        </w:rPr>
        <w:t>whether interest will be payable in cash or additional Securities at the Company’s or the Securityholders’ option and the terms and conditions upon which the election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val="false"/>
          <w:i w:val="false"/>
          <w:caps w:val="false"/>
          <w:smallCaps w:val="false"/>
          <w:sz w:val="20"/>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val="false"/>
          <w:i w:val="false"/>
          <w:caps w:val="false"/>
          <w:smallCaps w:val="false"/>
          <w:sz w:val="20"/>
        </w:rPr>
        <w:t>any restrictions on transfer, sale or assignment of the Securities of the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w:t>
      </w:r>
      <w:r>
        <w:rPr>
          <w:rFonts w:ascii="Times New Roman;Times;Serif" w:hAnsi="Times New Roman;Times;Serif"/>
          <w:b w:val="false"/>
          <w:i w:val="false"/>
          <w:caps w:val="false"/>
          <w:smallCaps w:val="false"/>
          <w:sz w:val="20"/>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may otherwise be provided in or pursuant to any such Board Resolution or in any indentures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Form of Securities and Trustee’s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            Denominations: Provisions for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Execution and Authentications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Registration of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Security Registrar for each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Mutilated, Destroyed, Lost or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            Cancellation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Benefits of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Authenticating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CUSIP Numbers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REDEMPTION OF SECURITIES AND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            Payment Upon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Sinking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            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Payment of Principal, Premium and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Maintenance of Office or Agency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Paying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that it will perform all other duties of paying agent as set forth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Appointment to Fill Vacancy in Office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SECURITYHOLDERS’ LISTS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Company to Furnish Trustee Names and Addresses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Preservation Of Information; Communications With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may destroy any list furnished to it as provided in Section 5.01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            Reports by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            Reports by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shall comply with Section 313(b) and 313(c)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REMEDIES OF THE TRUSTEE AND SECURITYHOLDERS ON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            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Whenever used herein with respect to Securities of a particular series, “Event of Default” means any one or more of the following events that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            Application of Moneys Collected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of collection and of all amounts payable to the Trustee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Company or any other Person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Rights and Remedies Cumulative; 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6.06            Control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6.07            Undertaking to Pay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            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The Trustee shall not be required to give any bond or surety in respect of the performance of its powers or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The permissive right of the Trustee to do things enumerated in this Indenture shall not be construed as a duty of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No Trustee shall have any duty or responsibility for any act or omission of any other Trustee appointed with respect to a series of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            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Trustee Not Responsible for Recitals or Issuance or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makes no representations as to the validity or sufficiency of this Indenture or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            May Hold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            Moneys Held in Trust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            Compensation and Reimbursement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            Reliance on 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            Disqualification; Conflicting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            Corporate Trustee Required; Eligibility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at any time any one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            Merger, Conversion, Consolidation or Succession to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7.13            Preferential Collection of Claims Against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7.14            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            Evidence of Action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            Proof of Execution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Who May be Deemed Owners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Certain Securities Owned by Company Disregarded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Actions Binding on Future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Supplemental Indentures Without the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to cure any ambiguity, defect, or inconsistency herein or in the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to comply with Article 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to provide for uncertificated Securities in addition to or in place of 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to make any change that does not adversely affect the rights of any Securityholder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to evidence and provide for the acceptance of appointment hereunder by a successor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comply with any requirements of the Commission or any successor in connection with the qualification of this Indenture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Supplemental Indentures With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Effect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Securities Affected by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Execution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Company May Consolidate,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            Successor Entity Substituted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Satisfaction and Discharge of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Discharge of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Sections 7.06 and 11.05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Deposited Moneys to be Held in Trust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11.04            Payment of Moneys Held by Paying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11.05            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12.01            No Recourse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13.01            Effect on 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13.02            Actions by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13.03            Surrender of Company Powers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13.04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Aclaris Therapeutics, Inc., Attn: Corporate Secretary, 701 Lee Road, Suite 103, Wayne, Pennsylvania 19087.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13.05            Governing Law; Jury Trial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governed by, and construed in accordance with, the internal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13.06            Treatment of Securities as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13.07            Certificates and Opinions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13.08            Payments on Business Days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13.09            Conflict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 318(c) of the Trust Indenture Act, such imposed duties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13.10            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13.11            Separability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13.12            Compliance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13.13            U.S.A. Patriot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13.14            Force Majeure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13.15            Table of Contents; Headings.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intended to be considered a part hereof, and will not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674" w:type="dxa"/>
        <w:jc w:val="left"/>
        <w:tblInd w:w="0" w:type="dxa"/>
        <w:tblLayout w:type="fixed"/>
        <w:tblCellMar>
          <w:top w:w="0" w:type="dxa"/>
          <w:left w:w="0" w:type="dxa"/>
          <w:bottom w:w="0" w:type="dxa"/>
          <w:right w:w="0" w:type="dxa"/>
        </w:tblCellMar>
      </w:tblPr>
      <w:tblGrid>
        <w:gridCol w:w="75"/>
        <w:gridCol w:w="2251"/>
        <w:gridCol w:w="348"/>
      </w:tblGrid>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Aclaris Therapeutics, Inc.</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i w:val="false"/>
                <w:smallCaps/>
                <w:sz w:val="20"/>
              </w:rPr>
              <w:t>[Trustee]</w:t>
            </w:r>
            <w:r>
              <w:rPr>
                <w:rFonts w:ascii="Times New Roman;Times;Serif" w:hAnsi="Times New Roman;Times;Serif"/>
                <w:b w:val="false"/>
                <w:i w:val="false"/>
                <w:smallCaps/>
                <w:sz w:val="20"/>
              </w:rPr>
              <w:t xml:space="preserve">, </w:t>
            </w:r>
            <w:r>
              <w:rPr>
                <w:rFonts w:ascii="Times New Roman;Times;Serif" w:hAnsi="Times New Roman;Times;Serif"/>
                <w:b w:val="false"/>
                <w:i w:val="false"/>
                <w:caps w:val="false"/>
                <w:smallCaps w:val="false"/>
                <w:sz w:val="20"/>
              </w:rPr>
              <w:t>as Trustee</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5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4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4355"/>
        <w:gridCol w:w="60"/>
        <w:gridCol w:w="1730"/>
      </w:tblGrid>
      <w:tr>
        <w:trPr/>
        <w:tc>
          <w:tcPr>
            <w:tcW w:w="43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Trust Indenture Act of 1939, as Amended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7.09</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7.08</w:t>
            </w:r>
          </w:p>
        </w:tc>
      </w:tr>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7.10</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5.01</w:t>
            </w:r>
          </w:p>
        </w:tc>
      </w:tr>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5.02(a)</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5.02(c)</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5.02(c)</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5.04(a)</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5.04(a)</w:t>
            </w:r>
          </w:p>
        </w:tc>
      </w:tr>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5.04(c)</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5.03</w:t>
            </w:r>
          </w:p>
        </w:tc>
      </w:tr>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13.12</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13.07(a)</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13.07(b)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314(f)</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7.01(a)</w:t>
            </w:r>
          </w:p>
        </w:tc>
      </w:tr>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7.14</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6.07</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6.06</w:t>
            </w:r>
          </w:p>
        </w:tc>
      </w:tr>
      <w:tr>
        <w:trPr/>
        <w:tc>
          <w:tcPr>
            <w:tcW w:w="43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8.04</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6.04</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8.01</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6.02</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4.03</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318(a)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7"/>
        <w:gridCol w:w="263"/>
        <w:gridCol w:w="9905"/>
      </w:tblGrid>
      <w:tr>
        <w:trPr/>
        <w:tc>
          <w:tcPr>
            <w:tcW w:w="3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(1)</w:t>
            </w:r>
          </w:p>
        </w:tc>
        <w:tc>
          <w:tcPr>
            <w:tcW w:w="9905" w:type="dxa"/>
            <w:tcBorders/>
            <w:vAlign w:val="center"/>
          </w:tcPr>
          <w:p>
            <w:pPr>
              <w:pStyle w:val="TableContents"/>
              <w:bidi w:val="0"/>
              <w:spacing w:before="0" w:after="283"/>
              <w:jc w:val="both"/>
              <w:rPr/>
            </w:pPr>
            <w:r>
              <w:rPr/>
              <w:t>This Cross-Reference Table does not constitute part of the Indenture and shall not have any bearing on the interpretation of any of its terms or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tm2622183d2_ex4-4.htm"/>
      <w:bookmarkStart w:id="37" w:name="kstm2622183d2_ex44"/>
      <w:bookmarkEnd w:id="36"/>
      <w:bookmarkEnd w:id="37"/>
      <w:r>
        <w:rPr/>
        <w:t> </w:t>
      </w:r>
      <w:r>
        <w:br w:type="page"/>
      </w:r>
    </w:p>
    <w:p>
      <w:pPr>
        <w:pStyle w:val="TextBody"/>
        <w:bidi w:val="0"/>
        <w:jc w:val="right"/>
        <w:rPr>
          <w:b/>
        </w:rPr>
      </w:pPr>
      <w:r>
        <w:rPr>
          <w:b/>
        </w:rPr>
        <w:t>Exhibit 4.4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Aclaris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_____________, As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Common Stock</w:t>
        <w:br/>
        <w:t>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Aclaris Therapeutics, Inc. Form of Common Stock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Common Stock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smallCaps/>
          <w:sz w:val="20"/>
        </w:rPr>
        <w:t>Aclaris Therapeutics,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[If Warrants are sold with other securities —[title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Common Stock of the Company, par value  $0.000001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ISSUANCE OF WARRANTS AND EXECUTION AND</w:t>
        <w:br/>
        <w:t>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with the Other Securities and each Warrant Certificate will evidence [●] Warrants for each [$[●] principal amount] [[●] shares] of Other Securities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Execution and Delivery of Warrant Certificates.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WARRANT PRICE, DURATION AND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 RELATING TO RIGHTS OF HOLDERS OF</w:t>
        <w:br/>
        <w:t>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Warrant Securityholder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Holder of Warrant Certificate May Enforce Rights. </w:t>
      </w:r>
      <w:r>
        <w:rPr>
          <w:rFonts w:ascii="Times New Roman;Times;Serif" w:hAnsi="Times New Roman;Times;Serif"/>
          <w:b w:val="false"/>
          <w:i w:val="false"/>
          <w:caps w:val="false"/>
          <w:smallCaps w:val="false"/>
          <w:sz w:val="20"/>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the Company shall at any time subdivide its outstanding shares of Common Stock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Common Stock of the Company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at any time or from time to time the holders of Common Stock (or any shares of stock or other securities at the time receivable upon the exercise of the Warrants) shall have received or become entitled to receive, without payment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Common Stock or any shares of stock or other securities which are at any time directly or indirectly convertible into or exchangeable for Common Stock, or any rights or options to subscribe for, purchase or otherwise acquire any of the foregoing by way of dividend or other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cash paid or payable otherwise than as a cash dividend paid or payable out of the Company’s current or retained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evidence of the Company’s indebtedness or rights to subscribe for or purchase the Company’s indebtedness;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Common Stock or additional stock or other securities or property (including cash) by way of spinoff, split-up, reclassification, combination of shares or similar corporate rearrangement (other than shares of Common Stock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Common Stock received or became entitled to receive such shares or all other additional stock and other securities and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of (i) any reclassification, capital reorganization, or change in the Common Stock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Common Stock other than the issuance of additional shares of Common Stock) or (iii)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herein otherwise expressly provided, no adjustment in the Warrant Price shall be made by reason of the issuance of shares of Common Stock, or securities convertible into or exchangeable for shares of Common Stock, or securities carrying the right to purchase any of the foregoing or for any other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Times;Serif" w:hAnsi="Times New Roman;Times;Serif"/>
          <w:b/>
          <w:i/>
          <w:caps w:val="false"/>
          <w:smallCaps w:val="false"/>
          <w:sz w:val="20"/>
        </w:rPr>
        <w:t>OTC Bulletin Board</w:t>
      </w:r>
      <w:r>
        <w:rPr>
          <w:rFonts w:ascii="Times New Roman;Times;Serif" w:hAnsi="Times New Roman;Times;Serif"/>
          <w:b w:val="false"/>
          <w:i w:val="false"/>
          <w:caps w:val="false"/>
          <w:smallCaps w:val="false"/>
          <w:sz w:val="20"/>
        </w:rPr>
        <w:t>”) operated by the Financial Industry Regulatory Authority, Inc.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Notwithstanding anything to the contrary herein, in no event shall the Warrant Price, as adjusted in accordance with the terms hereof, be less than the par value per share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dividend or distribution described in Section 3.4(b), (b) effect any Reorganization Event, (c) make any distribution on or in respect of the Common Stock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Common Stock that will be entitled to such dividend or distribution are to be determined, (y) the date on which such Reorganization Event, dissolution, liquidation or winding up is expected to become effective, and the date as of which it is expected that holders of Common Stock of record shall be entitled to exchange their shares of Common Stock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w:t>
      </w:r>
      <w:r>
        <w:rPr>
          <w:rFonts w:ascii="Times New Roman;Times;Serif" w:hAnsi="Times New Roman;Times;Serif"/>
          <w:b w:val="false"/>
          <w:i w:val="false"/>
          <w:caps w:val="false"/>
          <w:smallCaps w:val="false"/>
          <w:sz w:val="20"/>
        </w:rPr>
        <w:t>[If the Warrants are Subject to Acceleration by the Company, Insert — Acceleration of Warrants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any time on or after [●], the Company shall have the right to accelerate any or all Warrants at any time by causing them to expire at the close of business on the day next preceding a specified date (the “</w:t>
      </w:r>
      <w:r>
        <w:rPr>
          <w:rFonts w:ascii="Times New Roman;Times;Serif" w:hAnsi="Times New Roman;Times;Serif"/>
          <w:b/>
          <w:i/>
          <w:caps w:val="false"/>
          <w:smallCaps w:val="false"/>
          <w:sz w:val="20"/>
        </w:rPr>
        <w:t>Acceleration Date</w:t>
      </w:r>
      <w:r>
        <w:rPr>
          <w:rFonts w:ascii="Times New Roman;Times;Serif" w:hAnsi="Times New Roman;Times;Serif"/>
          <w:b w:val="false"/>
          <w:i w:val="false"/>
          <w:caps w:val="false"/>
          <w:smallCaps w:val="false"/>
          <w:sz w:val="20"/>
        </w:rPr>
        <w:t>”), if the Market Price (as hereinafter defined) of the Common Stock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(b)            (b)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for each Trading Day shall be, if the Common Stock is listed or admitted to trading on any registered national securities exchange, the last reported sale price, regular way (or, if no such price is reported, the average of the reported closing bid and asked prices, regular way) of Common Stock, in either case as reported on the principal registered national securities exchange on which the Common Stock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Common Stock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Common Stock,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Warrant accelerated may be exercised until [●] p.m., [City] time, on the business day next preceding the Acceleration Date. The Warrant Price shall be payable as provided in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EXCHANGE AND TRANSFER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Aclaris Therapeutics, Inc., 701 Lee Road, Suite 103, Wayne, Pennsylvania 19087, Attention: [●] (or such other address as shall be specified in writing by the Warrant Agent 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1893"/>
        <w:gridCol w:w="1411"/>
      </w:tblGrid>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Aclaris Therapeutics, Inc.,</w:t>
            </w:r>
            <w:r>
              <w:rPr>
                <w:rFonts w:ascii="Times New Roman;Times;Serif" w:hAnsi="Times New Roman;Times;Serif"/>
                <w:b w:val="false"/>
                <w:i w:val="false"/>
                <w:caps w:val="false"/>
                <w:smallCaps w:val="false"/>
                <w:sz w:val="20"/>
              </w:rPr>
              <w:t xml:space="preserve"> as Company</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Attest:</w:t>
            </w:r>
          </w:p>
        </w:tc>
        <w:tc>
          <w:tcPr>
            <w:tcW w:w="1411"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caps w:val="false"/>
                <w:smallCaps w:val="false"/>
              </w:rPr>
            </w:pPr>
            <w:r>
              <w:rPr>
                <w:caps w:val="false"/>
                <w:smallCaps w:val="false"/>
              </w:rPr>
              <w:t> </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Countersigned</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Warrant Agent</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Attest:</w:t>
            </w:r>
          </w:p>
        </w:tc>
        <w:tc>
          <w:tcPr>
            <w:tcW w:w="1411"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left"/>
              <w:rPr>
                <w:caps w:val="false"/>
                <w:smallCaps w:val="false"/>
              </w:rPr>
            </w:pPr>
            <w:r>
              <w:rPr>
                <w:caps w:val="false"/>
                <w:smallCaps w:val="false"/>
              </w:rPr>
              <w:t> </w:t>
            </w:r>
          </w:p>
        </w:tc>
        <w:tc>
          <w:tcPr>
            <w:tcW w:w="141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ACLARIS THERAPEUTICS, INC. COMMON STOCK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OF WARRANT CERTIFICATE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3"/>
        <w:gridCol w:w="5692"/>
      </w:tblGrid>
      <w:tr>
        <w:trPr/>
        <w:tc>
          <w:tcPr>
            <w:tcW w:w="4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Form of Legend if Warrants are not immediately exercisable.</w:t>
            </w:r>
            <w:r>
              <w:rPr>
                <w:rFonts w:ascii="Times New Roman;Times;Serif" w:hAnsi="Times New Roman;Times;Serif"/>
                <w:sz w:val="20"/>
              </w:rPr>
              <w:t>]</w:t>
            </w:r>
          </w:p>
        </w:tc>
        <w:tc>
          <w:tcPr>
            <w:tcW w:w="56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 Warrants evidenced by this Warrant Certificate cannot be exercised.]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ACLARIS THERAPEUTICS, INC.</w:t>
        <w:br/>
        <w:t>WARRANT CERTIFICATE REPRESENTING</w:t>
        <w:br/>
        <w:t>WARRANTS TO PURCHASE</w:t>
        <w:br/>
        <w:t>COMMON STOCK, PAR VALUE  $0.000001 PER SHARE</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5"/>
        <w:gridCol w:w="1250"/>
      </w:tblGrid>
      <w:tr>
        <w:trPr/>
        <w:tc>
          <w:tcPr>
            <w:tcW w:w="755" w:type="dxa"/>
            <w:tcBorders/>
            <w:vAlign w:val="center"/>
          </w:tcPr>
          <w:p>
            <w:pPr>
              <w:pStyle w:val="TableContents"/>
              <w:bidi w:val="0"/>
              <w:spacing w:before="0" w:after="283"/>
              <w:jc w:val="left"/>
              <w:rPr/>
            </w:pPr>
            <w:r>
              <w:rPr/>
              <w:t>No. [●]</w:t>
            </w:r>
          </w:p>
        </w:tc>
        <w:tc>
          <w:tcPr>
            <w:tcW w:w="1250" w:type="dxa"/>
            <w:tcBorders/>
            <w:vAlign w:val="center"/>
          </w:tcPr>
          <w:p>
            <w:pPr>
              <w:pStyle w:val="TableContents"/>
              <w:bidi w:val="0"/>
              <w:spacing w:before="0" w:after="283"/>
              <w:jc w:val="right"/>
              <w:rPr/>
            </w:pPr>
            <w:r>
              <w:rPr/>
              <w:t>[●]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shares of Common Stock, par value  $0.000001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Aclaris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on the following basis: during the period from [●], through and including [●], the exercise price per Warrant Security will be $[●], subject to adjustment as provided in the Warrant Agreement (as hereinafter defined)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1790"/>
        <w:gridCol w:w="1514"/>
        <w:gridCol w:w="75"/>
      </w:tblGrid>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514" w:type="dxa"/>
            <w:tcBorders/>
            <w:vAlign w:val="center"/>
          </w:tcPr>
          <w:p>
            <w:pPr>
              <w:pStyle w:val="TableContents"/>
              <w:bidi w:val="0"/>
              <w:spacing w:before="0" w:after="283"/>
              <w:jc w:val="left"/>
              <w:rPr/>
            </w:pPr>
            <w:r>
              <w:rPr/>
              <w:t>______</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Aclaris Therapeutics, Inc.</w:t>
            </w:r>
            <w:r>
              <w:rPr>
                <w:rFonts w:ascii="Times New Roman;Times;Serif" w:hAnsi="Times New Roman;Times;Serif"/>
                <w:sz w:val="20"/>
              </w:rPr>
              <w:t>, as Company</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b/>
              </w:rPr>
              <w:t>COUNTERSIGNED</w:t>
            </w: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b/>
              </w:rPr>
              <w:t>[●]</w:t>
            </w:r>
            <w:r>
              <w:rPr/>
              <w:t>, as Warrant Agent</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51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shares of the Common Stock, par value  $0.000001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Aclaris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Aclaris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665"/>
        <w:gridCol w:w="60"/>
        <w:gridCol w:w="60"/>
        <w:gridCol w:w="650"/>
        <w:gridCol w:w="1145"/>
      </w:tblGrid>
      <w:tr>
        <w:trPr/>
        <w:tc>
          <w:tcPr>
            <w:tcW w:w="665" w:type="dxa"/>
            <w:tcBorders/>
            <w:vAlign w:val="center"/>
          </w:tcPr>
          <w:p>
            <w:pPr>
              <w:pStyle w:val="TableContents"/>
              <w:bidi w:val="0"/>
              <w:spacing w:before="0" w:after="283"/>
              <w:jc w:val="left"/>
              <w:rPr/>
            </w:pPr>
            <w:r>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114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1145" w:type="dxa"/>
            <w:tcBorders/>
            <w:vAlign w:val="center"/>
          </w:tcPr>
          <w:p>
            <w:pPr>
              <w:pStyle w:val="TableContents"/>
              <w:bidi w:val="0"/>
              <w:spacing w:before="0" w:after="283"/>
              <w:jc w:val="center"/>
              <w:rPr/>
            </w:pPr>
            <w:r>
              <w:rPr/>
              <w:t>Please Print</w:t>
            </w:r>
          </w:p>
        </w:tc>
      </w:tr>
    </w:tbl>
    <w:p>
      <w:pPr>
        <w:pStyle w:val="TextBody"/>
        <w:bidi w:val="0"/>
        <w:spacing w:before="0" w:after="0"/>
        <w:ind w:left="0" w:right="0" w:hanging="0"/>
        <w:jc w:val="left"/>
        <w:rPr>
          <w:caps w:val="false"/>
          <w:smallCaps w:val="false"/>
        </w:rPr>
      </w:pPr>
      <w:r>
        <w:rPr>
          <w:caps w:val="false"/>
          <w:smallCaps w:val="false"/>
        </w:rPr>
        <w:t> </w:t>
      </w:r>
    </w:p>
    <w:tbl>
      <w:tblPr>
        <w:tblW w:w="5179" w:type="dxa"/>
        <w:jc w:val="left"/>
        <w:tblInd w:w="0" w:type="dxa"/>
        <w:tblLayout w:type="fixed"/>
        <w:tblCellMar>
          <w:top w:w="0" w:type="dxa"/>
          <w:left w:w="0" w:type="dxa"/>
          <w:bottom w:w="0" w:type="dxa"/>
          <w:right w:w="0" w:type="dxa"/>
        </w:tblCellMar>
      </w:tblPr>
      <w:tblGrid>
        <w:gridCol w:w="3521"/>
        <w:gridCol w:w="1523"/>
        <w:gridCol w:w="60"/>
        <w:gridCol w:w="75"/>
      </w:tblGrid>
      <w:tr>
        <w:trPr/>
        <w:tc>
          <w:tcPr>
            <w:tcW w:w="504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Social Security or Other Identifying Number of Holder)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Guaranteed:</w:t>
            </w:r>
          </w:p>
        </w:tc>
        <w:tc>
          <w:tcPr>
            <w:tcW w:w="1523"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21" w:type="dxa"/>
            <w:tcBorders/>
            <w:vAlign w:val="center"/>
          </w:tcPr>
          <w:p>
            <w:pPr>
              <w:pStyle w:val="TableContents"/>
              <w:bidi w:val="0"/>
              <w:spacing w:before="0" w:after="283"/>
              <w:jc w:val="both"/>
              <w:rPr/>
            </w:pPr>
            <w:r>
              <w:rPr/>
              <w:t> </w:t>
            </w:r>
          </w:p>
        </w:tc>
        <w:tc>
          <w:tcPr>
            <w:tcW w:w="15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4145"/>
        <w:gridCol w:w="60"/>
        <w:gridCol w:w="4550"/>
      </w:tblGrid>
      <w:tr>
        <w:trPr/>
        <w:tc>
          <w:tcPr>
            <w:tcW w:w="4145" w:type="dxa"/>
            <w:tcBorders>
              <w:bottom w:val="single" w:sz="8" w:space="0" w:color="000000"/>
            </w:tcBorders>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550" w:type="dxa"/>
            <w:tcBorders>
              <w:bottom w:val="single" w:sz="8" w:space="0" w:color="000000"/>
            </w:tcBorders>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Social Security or other identifying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represented by the within Warrant to purchase _______________ shares of [Title of Warrant Securities] of Aclaris Therapeutics, Inc. to which the within Warrant relates and appoints ____________________ attorney to transfer such right on the books of the Warrant Agent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left"/>
              <w:rPr/>
            </w:pPr>
            <w:r>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93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center"/>
              <w:rPr/>
            </w:pPr>
            <w:r>
              <w:rPr/>
              <w:t>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8" w:name="tm2622183d2_ex4-5.htm"/>
      <w:bookmarkStart w:id="39" w:name="kstm2622183d2_ex45"/>
      <w:bookmarkEnd w:id="38"/>
      <w:bookmarkEnd w:id="3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Aclaris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_____________, As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Preferred Stock</w:t>
        <w:br/>
        <w:t>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Aclaris Therapeutics, Inc. Form of Preferred Stock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Preferred Stock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 between Aclaris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w:t>
      </w:r>
      <w:r>
        <w:rPr>
          <w:rFonts w:ascii="Times New Roman;Times;Serif" w:hAnsi="Times New Roman;Times;Serif"/>
          <w:b/>
          <w:i/>
          <w:caps w:val="false"/>
          <w:smallCaps w:val="false"/>
          <w:sz w:val="20"/>
        </w:rPr>
        <w:t xml:space="preserve">If Warrants are sold with other securities — </w:t>
      </w:r>
      <w:r>
        <w:rPr>
          <w:rFonts w:ascii="Times New Roman;Times;Serif" w:hAnsi="Times New Roman;Times;Serif"/>
          <w:b w:val="false"/>
          <w:i w:val="false"/>
          <w:caps w:val="false"/>
          <w:smallCaps w:val="false"/>
          <w:sz w:val="20"/>
        </w:rPr>
        <w:t>[title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[title of Preferred Stock purchasable through exercise of Warrants] of the Company, par value  $0.000001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ISSUANCE OF WARRANTS AND EXECUTION AND</w:t>
        <w:br/>
        <w:t>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with the Other Securities and each Warrant Certificate will evidence [●] Warrants for each [$[●] principal amount] [[●] shares] of Other Securities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Execution and Delivery of Warrant Certificates.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WARRANT PRICE, DURATION AND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 RELATING TO RIGHTS OF HOLDERS OF</w:t>
        <w:br/>
        <w:t>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Warrant Securityholder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Holder of Warrant Certificate May Enforce Rights. </w:t>
      </w:r>
      <w:r>
        <w:rPr>
          <w:rFonts w:ascii="Times New Roman;Times;Serif" w:hAnsi="Times New Roman;Times;Serif"/>
          <w:b w:val="false"/>
          <w:i w:val="false"/>
          <w:caps w:val="false"/>
          <w:smallCaps w:val="false"/>
          <w:sz w:val="20"/>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the Company shall at any time subdivide its outstanding shares of [title of Preferred Stock purchasable through exercise of Warrants] into a greater number of shares, the Warrant Price in effect immediately prior to such subdivision shall be proportionately reduced and the number of Warrant Securities purchasable under the Warrants shall be proportionately increased. Conversely, in case the outstanding shares of [title of Preferred Stock purchasable through exercise of Warrants] shall be combined into a smaller number of shares, the Warrant Price in effect immediately prior to such combination shall be proportionately increased and the number of Warrant Securities purchasable under the Warrants shall be proportionately decreased.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at any time or from time to time the holders of [title of Preferred Stock purchasable through exercise of Warrants] (or any shares of stock or other securities at the time receivable upon the exercise of the Warrants) shall have received or become entitled to receive, without payment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[title of Preferred Stock purchasable through exercise of Warrants] or any shares of stock or other securities which are at any time directly or indirectly convertible into or exchangeable for [title of Preferred Stock purchasable through exercise of Warrants], or any rights or options to subscribe for, purchase or otherwise acquire any of the foregoing by way of dividend or other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cash paid or payable otherwise than in accordance with the terms of [title of Preferred Stock purchasable through exercise of Warrants] or as a cash dividend paid or payable out of the Company’s current or retained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evidence of the Company’s indebtedness or rights to subscribe for or purchase the Company’s indebtedness;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[title of Preferred Stock purchasable through exercise of Warrants] or additional stock or other securities or property (including cash) by way of spinoff, split-up, reclassification, combination of shares or similar corporate rearrangement (other than shares of [title of Preferred Stock purchasable through exercise of Warrants] issued as a stock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stock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[title of Preferred Stock purchasable through exercise of Warrants] received or became entitled to receive such shares or all other additional stock and other securities and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of (i) any reclassification, capital reorganization, or change in the [title of Preferred Stock purchasable through exercise of Warrants] of the Company (other than as a result of a subdivision, combination, or stock dividend provided for in Section 3.4(a) or Section 3.4(b) above), (ii) share exchange, merger or similar transaction of the Company with or into another person or entity (other than a share exchange, merger or similar transaction in which the Company is the acquiring or surviving corporation and which does not result in any change in the [title of Preferred Stock purchasable through exercise of Warrants] other than the issuance of additional shares of [title of Preferred Stock purchasable through exercise of Warrants]) or (iii)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then, as a condition of such Reorganization Event, lawful provisions shall be made, and duly executed documents evidencing the same from the Company or its successor shall be delivered to the holders of the Warrants, so that the holders of the Warrants shall have the right at any time prior to the expiration of the Warrants to purchase, at a total price equal to that payable upon the exercise of the Warrants, the kind and amount of shares of stock and other securities and property receivable in connection with such Reorganization Event by a holder of the same number of shares of [title of Preferred Stock purchasable through exercise of Warrants]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of stock or other securities and property deliverable upon exercise the Warrants, and appropriate adjustments shall be made to the Warrant Price payable hereunder provided the aggregate purchase price shall remain the same. In the case of any transaction described in clauses (ii) and (iii) above,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may, at its option, at any time until the Expiration Date, reduce the then current Warrant Price to any amount deemed appropriate by the Board of Directors of the Company for any period not exceeding twenty consecutive days (as evidenced in a resolution adopted by such Board of Directors), but only upon giving the notices required by Section 3.5 at least ten days prior to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herein otherwise expressly provided, no adjustment in the Warrant Price shall be made by reason of the issuance of </w:t>
      </w:r>
      <w:r>
        <w:rPr>
          <w:rFonts w:ascii="Times New Roman;Times;Serif" w:hAnsi="Times New Roman;Times;Serif"/>
          <w:b w:val="false"/>
          <w:i w:val="false"/>
          <w:caps w:val="false"/>
          <w:smallCaps w:val="false"/>
          <w:sz w:val="20"/>
          <w:shd w:fill="FFFFFF" w:val="clear"/>
        </w:rPr>
        <w:t>any securities of the Company or for any other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fractional Warrant Securities shall be issued upon the exercise of Warrants. If more than one Warrant shall be exercised at one time by the same holder, the number of full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Times;Serif" w:hAnsi="Times New Roman;Times;Serif"/>
          <w:b/>
          <w:i/>
          <w:caps w:val="false"/>
          <w:smallCaps w:val="false"/>
          <w:sz w:val="20"/>
        </w:rPr>
        <w:t>OTC Bulletin Board</w:t>
      </w:r>
      <w:r>
        <w:rPr>
          <w:rFonts w:ascii="Times New Roman;Times;Serif" w:hAnsi="Times New Roman;Times;Serif"/>
          <w:b w:val="false"/>
          <w:i w:val="false"/>
          <w:caps w:val="false"/>
          <w:smallCaps w:val="false"/>
          <w:sz w:val="20"/>
        </w:rPr>
        <w:t>”) operated by the Financial Industry Regulatory Authority, Inc.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Notwithstanding anything to the contrary herein, in no event shall the Warrant Price, as adjusted in accordance with the terms hereof, be less than the par value per share of [title of Preferred Stock purchasable through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dividend or distribution described in Section 3.4(b), (b) effect any Reorganization Event, (c) make any distribution on or in respect of the [title of Preferred Stock purchasable through exercise of Warrants]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[title of Preferred Stock purchasable through exercise of Warrants] that will be entitled to such dividend or distribution are to be determined, (y) the date on which such Reorganization Event, dissolution, liquidation or winding up is expected to become effective, and the date as of which it is expected that holders of [title of Preferred Stock purchasable through exercise of Warrants] of record shall be entitled to exchange their shares of [title of Preferred Stock purchasable through exercise of Warrants]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w:t>
      </w:r>
      <w:r>
        <w:rPr>
          <w:rFonts w:ascii="Times New Roman;Times;Serif" w:hAnsi="Times New Roman;Times;Serif"/>
          <w:b w:val="false"/>
          <w:i w:val="false"/>
          <w:caps w:val="false"/>
          <w:smallCaps w:val="false"/>
          <w:sz w:val="20"/>
        </w:rPr>
        <w:t>[If the Warrants are Subject to Acceleration by the Company, Insert — Acceleration of Warrants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any time on or after [●], the Company shall have the right to accelerate any or all Warrants at any time by causing them to expire at the close of business on the day next preceding a specified date (the “</w:t>
      </w:r>
      <w:r>
        <w:rPr>
          <w:rFonts w:ascii="Times New Roman;Times;Serif" w:hAnsi="Times New Roman;Times;Serif"/>
          <w:b/>
          <w:i/>
          <w:caps w:val="false"/>
          <w:smallCaps w:val="false"/>
          <w:sz w:val="20"/>
        </w:rPr>
        <w:t>Acceleration Date</w:t>
      </w:r>
      <w:r>
        <w:rPr>
          <w:rFonts w:ascii="Times New Roman;Times;Serif" w:hAnsi="Times New Roman;Times;Serif"/>
          <w:b w:val="false"/>
          <w:i w:val="false"/>
          <w:caps w:val="false"/>
          <w:smallCaps w:val="false"/>
          <w:sz w:val="20"/>
        </w:rPr>
        <w:t>”), if the Market Price (as hereinafter defined) of the [title of Preferred Stock purchasable through exercise of Warrants]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for each Trading Day shall be, if the [title of Preferred Stock purchasable through exercise of Warrants] is listed or admitted to trading on any registered national securities exchange, the last reported sale price, regular way (or, if no such price is reported, the average of the reported closing bid and asked prices, regular way) of [title of Preferred Stock purchasable through exercise of Warrants], in either case as reported on the principal registered national securities exchange on which the [title of Preferred Stock purchasable through exercise of Warrants]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shares of [title of Preferred Stock purchasable through exercise of Warrants]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[title of Preferred Stock purchasable through exercise of Warrants], as determined by the Board of Directors of the Company.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Warrant accelerated may be exercised until [●] p.m., [City] time, on the business day next preceding the Acceleration Date. The Warrant Price shall be payable as provided in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EXCHANGE AND TRANSFER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Aclaris Therapeutics, Inc., 701 Lee Road, Suite 103, Wayne, Pennsylvania 19087, Attention: [●] (or such other address as shall be specified in writing by the Warrant Agent 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1029"/>
        <w:gridCol w:w="2275"/>
      </w:tblGrid>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Aclaris Therapeutics, Inc.,</w:t>
            </w:r>
            <w:r>
              <w:rPr>
                <w:rFonts w:ascii="Times New Roman;Times;Serif" w:hAnsi="Times New Roman;Times;Serif"/>
                <w:b w:val="false"/>
                <w:i w:val="false"/>
                <w:caps w:val="false"/>
                <w:smallCaps w:val="false"/>
                <w:sz w:val="20"/>
              </w:rPr>
              <w:t xml:space="preserve"> as Company</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75" w:type="dxa"/>
        <w:jc w:val="left"/>
        <w:tblInd w:w="0" w:type="dxa"/>
        <w:tblLayout w:type="fixed"/>
        <w:tblCellMar>
          <w:top w:w="0" w:type="dxa"/>
          <w:left w:w="0" w:type="dxa"/>
          <w:bottom w:w="0" w:type="dxa"/>
          <w:right w:w="0" w:type="dxa"/>
        </w:tblCellMar>
      </w:tblPr>
      <w:tblGrid>
        <w:gridCol w:w="75"/>
        <w:gridCol w:w="72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Attest:</w:t>
            </w:r>
          </w:p>
        </w:tc>
        <w:tc>
          <w:tcPr>
            <w:tcW w:w="75"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834" w:type="dxa"/>
        <w:jc w:val="left"/>
        <w:tblInd w:w="0" w:type="dxa"/>
        <w:tblLayout w:type="fixed"/>
        <w:tblCellMar>
          <w:top w:w="0" w:type="dxa"/>
          <w:left w:w="0" w:type="dxa"/>
          <w:bottom w:w="0" w:type="dxa"/>
          <w:right w:w="0" w:type="dxa"/>
        </w:tblCellMar>
      </w:tblPr>
      <w:tblGrid>
        <w:gridCol w:w="75"/>
        <w:gridCol w:w="610"/>
        <w:gridCol w:w="1149"/>
      </w:tblGrid>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Countersigned</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as Warrant Agent</w:t>
            </w:r>
          </w:p>
        </w:tc>
      </w:tr>
      <w:tr>
        <w:trPr/>
        <w:tc>
          <w:tcPr>
            <w:tcW w:w="75" w:type="dxa"/>
            <w:tcBorders/>
            <w:vAlign w:val="center"/>
          </w:tcPr>
          <w:p>
            <w:pPr>
              <w:pStyle w:val="TableContents"/>
              <w:bidi w:val="0"/>
              <w:spacing w:before="0" w:after="283"/>
              <w:jc w:val="left"/>
              <w:rPr/>
            </w:pPr>
            <w:r>
              <w:rPr/>
              <w:t> </w:t>
            </w:r>
          </w:p>
        </w:tc>
        <w:tc>
          <w:tcPr>
            <w:tcW w:w="17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14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4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4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75" w:type="dxa"/>
        <w:jc w:val="left"/>
        <w:tblInd w:w="0" w:type="dxa"/>
        <w:tblLayout w:type="fixed"/>
        <w:tblCellMar>
          <w:top w:w="0" w:type="dxa"/>
          <w:left w:w="0" w:type="dxa"/>
          <w:bottom w:w="0" w:type="dxa"/>
          <w:right w:w="0" w:type="dxa"/>
        </w:tblCellMar>
      </w:tblPr>
      <w:tblGrid>
        <w:gridCol w:w="75"/>
        <w:gridCol w:w="725"/>
        <w:gridCol w:w="75"/>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b/>
                <w:i w:val="false"/>
                <w:smallCaps/>
                <w:sz w:val="20"/>
              </w:rPr>
            </w:pPr>
            <w:r>
              <w:rPr>
                <w:rFonts w:ascii="Times New Roman;Times;Serif" w:hAnsi="Times New Roman;Times;Serif"/>
                <w:b/>
                <w:i w:val="false"/>
                <w:smallCaps/>
                <w:sz w:val="20"/>
              </w:rPr>
              <w:t>Attest:</w:t>
            </w:r>
          </w:p>
        </w:tc>
        <w:tc>
          <w:tcPr>
            <w:tcW w:w="75" w:type="dxa"/>
            <w:tcBorders>
              <w:bottom w:val="single" w:sz="8" w:space="0" w:color="000000"/>
            </w:tcBorders>
            <w:tcMar>
              <w:bottom w:w="28" w:type="dxa"/>
            </w:tcMar>
            <w:vAlign w:val="center"/>
          </w:tcPr>
          <w:p>
            <w:pPr>
              <w:pStyle w:val="TableContents"/>
              <w:bidi w:val="0"/>
              <w:spacing w:before="0" w:after="283"/>
              <w:jc w:val="left"/>
              <w:rPr>
                <w:smallCaps/>
              </w:rPr>
            </w:pPr>
            <w:r>
              <w:rPr>
                <w:smallCaps/>
              </w:rPr>
              <w:t> </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3"/>
        <w:gridCol w:w="5692"/>
      </w:tblGrid>
      <w:tr>
        <w:trPr/>
        <w:tc>
          <w:tcPr>
            <w:tcW w:w="45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Form of Legend if Warrants are not immediately exercisable.</w:t>
            </w:r>
            <w:r>
              <w:rPr>
                <w:rFonts w:ascii="Times New Roman;Times;Serif" w:hAnsi="Times New Roman;Times;Serif"/>
                <w:sz w:val="20"/>
              </w:rPr>
              <w:t>]</w:t>
            </w:r>
          </w:p>
        </w:tc>
        <w:tc>
          <w:tcPr>
            <w:tcW w:w="56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 Warrants evidenced by this Warrant Certificate cannot be exercised.]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ACLARIS THERAPEUTICS, INC.</w:t>
        <w:br/>
        <w:t>WARRANT CERTIFICATE REPRESENTING</w:t>
        <w:br/>
        <w:t>WARRANTS TO PURCHASE</w:t>
        <w:br/>
        <w:t>[TITLE OF WARRANT SECURITIES]</w:t>
      </w:r>
    </w:p>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605"/>
        <w:gridCol w:w="1040"/>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t>
            </w:r>
          </w:p>
        </w:tc>
        <w:tc>
          <w:tcPr>
            <w:tcW w:w="10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shares of [TITLE OF WARRANT SECURITIES], par value  $0.000001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Aclaris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on the following basis: during the period from [●], through and including [●], the exercise price per Warrant Security will be $[●], subject to adjustment as provided in the Warrant Agreement (as hereinafter defined)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770" w:type="dxa"/>
        <w:jc w:val="left"/>
        <w:tblInd w:w="0" w:type="dxa"/>
        <w:tblLayout w:type="fixed"/>
        <w:tblCellMar>
          <w:top w:w="0" w:type="dxa"/>
          <w:left w:w="0" w:type="dxa"/>
          <w:bottom w:w="0" w:type="dxa"/>
          <w:right w:w="0" w:type="dxa"/>
        </w:tblCellMar>
      </w:tblPr>
      <w:tblGrid>
        <w:gridCol w:w="575"/>
        <w:gridCol w:w="60"/>
        <w:gridCol w:w="60"/>
        <w:gridCol w:w="75"/>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379" w:type="dxa"/>
        <w:jc w:val="left"/>
        <w:tblInd w:w="0" w:type="dxa"/>
        <w:tblLayout w:type="fixed"/>
        <w:tblCellMar>
          <w:top w:w="0" w:type="dxa"/>
          <w:left w:w="0" w:type="dxa"/>
          <w:bottom w:w="0" w:type="dxa"/>
          <w:right w:w="0" w:type="dxa"/>
        </w:tblCellMar>
      </w:tblPr>
      <w:tblGrid>
        <w:gridCol w:w="1498"/>
        <w:gridCol w:w="1806"/>
        <w:gridCol w:w="75"/>
      </w:tblGrid>
      <w:tr>
        <w:trPr/>
        <w:tc>
          <w:tcPr>
            <w:tcW w:w="33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Aclaris Therapeutics, Inc.</w:t>
            </w:r>
            <w:r>
              <w:rPr>
                <w:rFonts w:ascii="Times New Roman;Times;Serif" w:hAnsi="Times New Roman;Times;Serif"/>
                <w:sz w:val="20"/>
              </w:rPr>
              <w:t>, as Company</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pPr>
            <w:r>
              <w:rPr/>
              <w:t> </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COUNTERSIGNED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as Warrant Agent</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8" w:type="dxa"/>
            <w:tcBorders/>
            <w:vAlign w:val="center"/>
          </w:tcPr>
          <w:p>
            <w:pPr>
              <w:pStyle w:val="TableContents"/>
              <w:bidi w:val="0"/>
              <w:spacing w:before="0" w:after="283"/>
              <w:jc w:val="left"/>
              <w:rPr/>
            </w:pPr>
            <w:r>
              <w:rPr/>
              <w:t> </w:t>
            </w:r>
          </w:p>
        </w:tc>
        <w:tc>
          <w:tcPr>
            <w:tcW w:w="1806"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shares of the [TITLE OF WARRANT SECURITIES], par value  $0.000001 per share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of Aclaris Therapeutics, Inc.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Aclaris Therapeutics,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before="0" w:after="0"/>
        <w:ind w:left="0" w:right="0" w:hanging="0"/>
        <w:jc w:val="left"/>
        <w:rPr>
          <w:caps w:val="false"/>
          <w:smallCaps w:val="false"/>
        </w:rPr>
      </w:pPr>
      <w:r>
        <w:rPr>
          <w:caps w:val="false"/>
          <w:smallCaps w:val="false"/>
        </w:rPr>
        <w:t> </w:t>
      </w:r>
    </w:p>
    <w:tbl>
      <w:tblPr>
        <w:tblW w:w="2220" w:type="dxa"/>
        <w:jc w:val="left"/>
        <w:tblInd w:w="0" w:type="dxa"/>
        <w:tblLayout w:type="fixed"/>
        <w:tblCellMar>
          <w:top w:w="0" w:type="dxa"/>
          <w:left w:w="0" w:type="dxa"/>
          <w:bottom w:w="0" w:type="dxa"/>
          <w:right w:w="0" w:type="dxa"/>
        </w:tblCellMar>
      </w:tblPr>
      <w:tblGrid>
        <w:gridCol w:w="575"/>
        <w:gridCol w:w="60"/>
        <w:gridCol w:w="60"/>
        <w:gridCol w:w="545"/>
        <w:gridCol w:w="98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tbl>
      <w:tblPr>
        <w:tblW w:w="4909" w:type="dxa"/>
        <w:jc w:val="left"/>
        <w:tblInd w:w="0" w:type="dxa"/>
        <w:tblLayout w:type="fixed"/>
        <w:tblCellMar>
          <w:top w:w="0" w:type="dxa"/>
          <w:left w:w="0" w:type="dxa"/>
          <w:bottom w:w="28" w:type="dxa"/>
          <w:right w:w="0" w:type="dxa"/>
        </w:tblCellMar>
      </w:tblPr>
      <w:tblGrid>
        <w:gridCol w:w="2914"/>
        <w:gridCol w:w="1260"/>
        <w:gridCol w:w="60"/>
        <w:gridCol w:w="675"/>
      </w:tblGrid>
      <w:tr>
        <w:trPr/>
        <w:tc>
          <w:tcPr>
            <w:tcW w:w="4174" w:type="dxa"/>
            <w:gridSpan w:val="2"/>
            <w:tcBorders>
              <w:bottom w:val="single" w:sz="8" w:space="0" w:color="000000"/>
            </w:tcBorders>
            <w:vAlign w:val="center"/>
          </w:tcPr>
          <w:p>
            <w:pPr>
              <w:pStyle w:val="TableContents"/>
              <w:bidi w:val="0"/>
              <w:spacing w:before="0" w:after="283"/>
              <w:ind w:left="0" w:right="0" w:hanging="200"/>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5" w:type="dxa"/>
            <w:tcBorders/>
            <w:tcMar>
              <w:bottom w:w="0" w:type="dxa"/>
            </w:tcMar>
            <w:vAlign w:val="center"/>
          </w:tcPr>
          <w:p>
            <w:pPr>
              <w:pStyle w:val="TableContents"/>
              <w:bidi w:val="0"/>
              <w:spacing w:before="0" w:after="283"/>
              <w:jc w:val="center"/>
              <w:rPr/>
            </w:pPr>
            <w:r>
              <w:rPr/>
              <w:t> </w:t>
            </w:r>
          </w:p>
        </w:tc>
      </w:tr>
      <w:tr>
        <w:trPr/>
        <w:tc>
          <w:tcPr>
            <w:tcW w:w="4174"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Social Security or Other Identifying Number</w:t>
            </w:r>
          </w:p>
        </w:tc>
        <w:tc>
          <w:tcPr>
            <w:tcW w:w="60" w:type="dxa"/>
            <w:tcBorders/>
            <w:tcMar>
              <w:bottom w:w="0" w:type="dxa"/>
            </w:tcMar>
            <w:vAlign w:val="center"/>
          </w:tcPr>
          <w:p>
            <w:pPr>
              <w:pStyle w:val="TableContents"/>
              <w:bidi w:val="0"/>
              <w:spacing w:before="0" w:after="283"/>
              <w:jc w:val="left"/>
              <w:rPr/>
            </w:pPr>
            <w:r>
              <w:rPr/>
              <w:t> </w:t>
            </w:r>
          </w:p>
        </w:tc>
        <w:tc>
          <w:tcPr>
            <w:tcW w:w="675" w:type="dxa"/>
            <w:tcBorders/>
            <w:tcMar>
              <w:bottom w:w="0" w:type="dxa"/>
            </w:tcMar>
            <w:vAlign w:val="center"/>
          </w:tcPr>
          <w:p>
            <w:pPr>
              <w:pStyle w:val="TableContents"/>
              <w:bidi w:val="0"/>
              <w:spacing w:before="0" w:after="283"/>
              <w:jc w:val="center"/>
              <w:rPr/>
            </w:pPr>
            <w:r>
              <w:rPr/>
              <w:t> </w:t>
            </w:r>
          </w:p>
        </w:tc>
      </w:tr>
      <w:tr>
        <w:trPr/>
        <w:tc>
          <w:tcPr>
            <w:tcW w:w="4174"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 Holder)</w:t>
            </w:r>
          </w:p>
        </w:tc>
        <w:tc>
          <w:tcPr>
            <w:tcW w:w="60" w:type="dxa"/>
            <w:tcBorders/>
            <w:tcMar>
              <w:bottom w:w="0" w:type="dxa"/>
            </w:tcMar>
            <w:vAlign w:val="center"/>
          </w:tcPr>
          <w:p>
            <w:pPr>
              <w:pStyle w:val="TableContents"/>
              <w:bidi w:val="0"/>
              <w:spacing w:before="0" w:after="283"/>
              <w:jc w:val="left"/>
              <w:rPr/>
            </w:pPr>
            <w:r>
              <w:rPr/>
              <w:t> </w:t>
            </w:r>
          </w:p>
        </w:tc>
        <w:tc>
          <w:tcPr>
            <w:tcW w:w="675" w:type="dxa"/>
            <w:tcBorders/>
            <w:tcMar>
              <w:bottom w:w="0" w:type="dxa"/>
            </w:tcMar>
            <w:vAlign w:val="center"/>
          </w:tcPr>
          <w:p>
            <w:pPr>
              <w:pStyle w:val="TableContents"/>
              <w:bidi w:val="0"/>
              <w:spacing w:before="0" w:after="283"/>
              <w:jc w:val="center"/>
              <w:rPr/>
            </w:pPr>
            <w:r>
              <w:rPr/>
              <w:t> </w:t>
            </w:r>
          </w:p>
        </w:tc>
      </w:tr>
      <w:tr>
        <w:trPr/>
        <w:tc>
          <w:tcPr>
            <w:tcW w:w="417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5" w:type="dxa"/>
            <w:tcBorders/>
            <w:tcMar>
              <w:bottom w:w="0" w:type="dxa"/>
            </w:tcMar>
            <w:vAlign w:val="center"/>
          </w:tcPr>
          <w:p>
            <w:pPr>
              <w:pStyle w:val="TableContents"/>
              <w:bidi w:val="0"/>
              <w:spacing w:before="0" w:after="283"/>
              <w:jc w:val="center"/>
              <w:rPr/>
            </w:pPr>
            <w:r>
              <w:rPr/>
              <w:t>           </w:t>
            </w:r>
          </w:p>
        </w:tc>
      </w:tr>
      <w:tr>
        <w:trPr/>
        <w:tc>
          <w:tcPr>
            <w:tcW w:w="2914"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w:t>
            </w:r>
          </w:p>
        </w:tc>
        <w:tc>
          <w:tcPr>
            <w:tcW w:w="12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75" w:type="dxa"/>
            <w:tcBorders/>
            <w:tcMar>
              <w:bottom w:w="0" w:type="dxa"/>
            </w:tcMar>
            <w:vAlign w:val="center"/>
          </w:tcPr>
          <w:p>
            <w:pPr>
              <w:pStyle w:val="TableContents"/>
              <w:bidi w:val="0"/>
              <w:spacing w:before="0" w:after="283"/>
              <w:jc w:val="center"/>
              <w:rPr/>
            </w:pPr>
            <w:r>
              <w:rPr/>
              <w:t> </w:t>
            </w:r>
          </w:p>
        </w:tc>
      </w:tr>
      <w:tr>
        <w:trPr/>
        <w:tc>
          <w:tcPr>
            <w:tcW w:w="2914" w:type="dxa"/>
            <w:tcBorders/>
            <w:tcMar>
              <w:bottom w:w="0" w:type="dxa"/>
            </w:tcMar>
            <w:vAlign w:val="center"/>
          </w:tcPr>
          <w:p>
            <w:pPr>
              <w:pStyle w:val="TableContents"/>
              <w:bidi w:val="0"/>
              <w:spacing w:before="0" w:after="283"/>
              <w:jc w:val="left"/>
              <w:rPr/>
            </w:pPr>
            <w:r>
              <w:rPr/>
              <w:t> </w:t>
            </w:r>
          </w:p>
        </w:tc>
        <w:tc>
          <w:tcPr>
            <w:tcW w:w="12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c>
          <w:tcPr>
            <w:tcW w:w="60" w:type="dxa"/>
            <w:tcBorders/>
            <w:tcMar>
              <w:bottom w:w="0" w:type="dxa"/>
            </w:tcMar>
            <w:vAlign w:val="center"/>
          </w:tcPr>
          <w:p>
            <w:pPr>
              <w:pStyle w:val="TableContents"/>
              <w:bidi w:val="0"/>
              <w:spacing w:before="0" w:after="283"/>
              <w:jc w:val="left"/>
              <w:rPr/>
            </w:pPr>
            <w:r>
              <w:rPr/>
              <w:t> </w:t>
            </w:r>
          </w:p>
        </w:tc>
        <w:tc>
          <w:tcPr>
            <w:tcW w:w="67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4145"/>
        <w:gridCol w:w="60"/>
        <w:gridCol w:w="4550"/>
      </w:tblGrid>
      <w:tr>
        <w:trPr/>
        <w:tc>
          <w:tcPr>
            <w:tcW w:w="41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0" w:type="dxa"/>
            <w:tcBorders>
              <w:bottom w:val="single" w:sz="8" w:space="0" w:color="000000"/>
            </w:tcBorders>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Social Security or other identifying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represented by the within Warrant to purchase __________ shares of [Title of Warrant Securities] of Aclaris Therapeutics, Inc. to which the within Warrant relates and appoints ____________________ attorney to transfer such right on the books of the Warrant Agent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2055" w:type="dxa"/>
        <w:jc w:val="left"/>
        <w:tblInd w:w="0" w:type="dxa"/>
        <w:tblLayout w:type="fixed"/>
        <w:tblCellMar>
          <w:top w:w="0" w:type="dxa"/>
          <w:left w:w="0" w:type="dxa"/>
          <w:bottom w:w="0" w:type="dxa"/>
          <w:right w:w="0" w:type="dxa"/>
        </w:tblCellMar>
      </w:tblPr>
      <w:tblGrid>
        <w:gridCol w:w="575"/>
        <w:gridCol w:w="60"/>
        <w:gridCol w:w="60"/>
        <w:gridCol w:w="545"/>
        <w:gridCol w:w="815"/>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tbl>
      <w:tblPr>
        <w:tblW w:w="2165" w:type="dxa"/>
        <w:jc w:val="left"/>
        <w:tblInd w:w="0" w:type="dxa"/>
        <w:tblLayout w:type="fixed"/>
        <w:tblCellMar>
          <w:top w:w="0" w:type="dxa"/>
          <w:left w:w="0" w:type="dxa"/>
          <w:bottom w:w="0" w:type="dxa"/>
          <w:right w:w="0" w:type="dxa"/>
        </w:tblCellMar>
      </w:tblPr>
      <w:tblGrid>
        <w:gridCol w:w="1790"/>
        <w:gridCol w:w="375"/>
      </w:tblGrid>
      <w:tr>
        <w:trPr/>
        <w:tc>
          <w:tcPr>
            <w:tcW w:w="1790"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Signature Guaranteed</w:t>
            </w:r>
          </w:p>
        </w:tc>
        <w:tc>
          <w:tcPr>
            <w:tcW w:w="375" w:type="dxa"/>
            <w:tcBorders/>
            <w:vAlign w:val="center"/>
          </w:tcPr>
          <w:p>
            <w:pPr>
              <w:pStyle w:val="TableContents"/>
              <w:bidi w:val="0"/>
              <w:spacing w:before="0" w:after="283"/>
              <w:ind w:left="0" w:right="0" w:hanging="200"/>
              <w:jc w:val="center"/>
              <w:rPr/>
            </w:pPr>
            <w:r>
              <w:rPr/>
              <w:t> </w:t>
            </w:r>
          </w:p>
        </w:tc>
      </w:tr>
      <w:tr>
        <w:trPr/>
        <w:tc>
          <w:tcPr>
            <w:tcW w:w="1790" w:type="dxa"/>
            <w:tcBorders/>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ind w:left="0" w:right="0" w:hanging="200"/>
              <w:jc w:val="center"/>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pPr>
            <w:r>
              <w:rPr/>
              <w:t> </w:t>
            </w:r>
          </w:p>
        </w:tc>
        <w:tc>
          <w:tcPr>
            <w:tcW w:w="3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0" w:name="tm2622183d2_ex4-6.htm"/>
      <w:bookmarkStart w:id="41" w:name="kstm2622183d2_ex46"/>
      <w:bookmarkEnd w:id="40"/>
      <w:bookmarkEnd w:id="41"/>
      <w:r>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Aclaris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_____________, As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Debt Securities</w:t>
        <w:br/>
        <w:t>Warrant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Aclaris Therapeutics, Inc. Form of Debt Securities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Debt Securities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caps w:val="false"/>
          <w:smallCaps w:val="false"/>
          <w:sz w:val="20"/>
        </w:rPr>
        <w:t>Aclaris Therapeutics, Inc.</w:t>
      </w:r>
      <w:r>
        <w:rPr>
          <w:rFonts w:ascii="Times New Roman;Times;Serif" w:hAnsi="Times New Roman;Times;Serif"/>
          <w:b w:val="false"/>
          <w:i w:val="false"/>
          <w:caps w:val="false"/>
          <w:smallCaps w:val="false"/>
          <w:sz w:val="20"/>
        </w:rPr>
        <w:t>,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entered into an indenture dated as of [●]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with [●], as trustee (such trustee, and any successors to such trustee, herein called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providing for the issuance from time to time of its debt securities, to be issued in one or more series as provided in the Indenture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w:t>
      </w:r>
      <w:r>
        <w:rPr>
          <w:rFonts w:ascii="Times New Roman;Times;Serif" w:hAnsi="Times New Roman;Times;Serif"/>
          <w:b/>
          <w:i/>
          <w:caps w:val="false"/>
          <w:smallCaps w:val="false"/>
          <w:sz w:val="20"/>
        </w:rPr>
        <w:t xml:space="preserve">If Warrants are sold with other securities </w:t>
      </w:r>
      <w:r>
        <w:rPr>
          <w:rFonts w:ascii="Times New Roman;Times;Serif" w:hAnsi="Times New Roman;Times;Serif"/>
          <w:b w:val="false"/>
          <w:i w:val="false"/>
          <w:caps w:val="false"/>
          <w:smallCaps w:val="false"/>
          <w:sz w:val="20"/>
        </w:rPr>
        <w:t>—[title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[title of Debt Securities purchasable through exercise of Warrants]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ISSUANCE OF WARRANTS AND EXECUTION AND</w:t>
        <w:br/>
        <w:t>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 Warrant Certificates will be issued with the Other Securities and each Warrant Certificate will evidence [●] Warrants for each [$[●] principal amount] [[●] shares] of Other Securities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Execution and Delivery of Warrant Certificates.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under its corporate seal reproduced thereon. Such signatures may be manual or facsimile signatures of such authorized officers and may be imprinted or otherwise reproduced on the Warrant Certificates. The seal of the Company may be in the form of a facsimile thereof and may be impressed, affixed, imprinted or otherwise reproduced on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WARRANT PRICE, DURATION AND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Times;Serif" w:hAnsi="Times New Roman;Times;Serif"/>
          <w:b/>
          <w:i/>
          <w:caps w:val="false"/>
          <w:smallCaps w:val="false"/>
          <w:sz w:val="20"/>
        </w:rPr>
        <w:t>Warrant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as aforesaid,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 RELATING TO RIGHTS OF HOLDERS OF</w:t>
        <w:br/>
        <w:t>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Holder of Warrant Debt Securities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Holder of Warrant Certificate May Enforce Rights.</w:t>
      </w:r>
      <w:r>
        <w:rPr>
          <w:rFonts w:ascii="Times New Roman;Times;Serif" w:hAnsi="Times New Roman;Times;Serif"/>
          <w:b w:val="false"/>
          <w:i w:val="false"/>
          <w:caps w:val="false"/>
          <w:smallCaps w:val="false"/>
          <w:sz w:val="20"/>
        </w:rPr>
        <w:t xml:space="preserve"> 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Merger, Sale, Conveyance or Lease.</w:t>
      </w:r>
      <w:r>
        <w:rPr>
          <w:rFonts w:ascii="Times New Roman;Times;Serif" w:hAnsi="Times New Roman;Times;Serif"/>
          <w:b w:val="false"/>
          <w:i w:val="false"/>
          <w:caps w:val="false"/>
          <w:smallCaps w:val="false"/>
          <w:sz w:val="20"/>
        </w:rPr>
        <w:t xml:space="preserve"> In case of (a) any share exchange,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then, as a condition of such Reorganization Event, lawful provisions shall be made, and duly executed documents evidencing the same from the Company’s successor shall be delivered to the holders of the Warrants, so that such successor shall succeed to and be substituted for the Company, and assume all the Company’s obligations under, this Agreement and the Warrants.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shares of [title of Warrant Debt Securities] for securities or other property deliverable upon such Reorganization Event, dissolution, liquidation or winding up. No failure to mail such notice nor any defect therein or in the mailing thereof shall affect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EXCHANGE AND TRANSFER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corporation into which the Warrant Agent hereunder may be merged or converted or any corporation with which the Warrant Agent may be consolidated, or any corporation resulting from any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Aclaris Therapeutics, Inc., 701 Lee Road, Suite 103, Wayne, Pennsylvania 19087, Attention: [●] (or such other address as shall be specified in writing by the Warrant Agent 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379" w:type="dxa"/>
        <w:jc w:val="left"/>
        <w:tblInd w:w="0" w:type="dxa"/>
        <w:tblLayout w:type="fixed"/>
        <w:tblCellMar>
          <w:top w:w="0" w:type="dxa"/>
          <w:left w:w="0" w:type="dxa"/>
          <w:bottom w:w="0" w:type="dxa"/>
          <w:right w:w="0" w:type="dxa"/>
        </w:tblCellMar>
      </w:tblPr>
      <w:tblGrid>
        <w:gridCol w:w="75"/>
        <w:gridCol w:w="1281"/>
        <w:gridCol w:w="2023"/>
      </w:tblGrid>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Aclaris Therapeutics, Inc.</w:t>
            </w:r>
            <w:r>
              <w:rPr>
                <w:rFonts w:ascii="Times New Roman;Times;Serif" w:hAnsi="Times New Roman;Times;Serif"/>
                <w:sz w:val="20"/>
              </w:rPr>
              <w:t>, as Company</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sz w:val="20"/>
              </w:rPr>
            </w:pPr>
            <w:r>
              <w:rPr>
                <w:rFonts w:ascii="Times New Roman;Times;Serif" w:hAnsi="Times New Roman;Times;Serif"/>
                <w:b/>
                <w:smallCaps/>
                <w:sz w:val="20"/>
              </w:rPr>
              <w:t>Attest</w:t>
            </w:r>
            <w:r>
              <w:rPr>
                <w:rFonts w:ascii="Times New Roman;Times;Serif" w:hAnsi="Times New Roman;Times;Serif"/>
                <w:b/>
                <w:sz w:val="20"/>
              </w:rPr>
              <w:t>:</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pPr>
            <w:r>
              <w:rPr/>
              <w:t> </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rFonts w:ascii="Times New Roman;Times;Serif" w:hAnsi="Times New Roman;Times;Serif"/>
                <w:b/>
                <w:smallCaps/>
                <w:sz w:val="20"/>
              </w:rPr>
            </w:pPr>
            <w:r>
              <w:rPr>
                <w:rFonts w:ascii="Times New Roman;Times;Serif" w:hAnsi="Times New Roman;Times;Serif"/>
                <w:b/>
                <w:smallCaps/>
                <w:sz w:val="20"/>
              </w:rPr>
              <w:t>Countersigned</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sz w:val="20"/>
              </w:rPr>
            </w:pPr>
            <w:r>
              <w:rPr>
                <w:rFonts w:ascii="Times New Roman;Times;Serif" w:hAnsi="Times New Roman;Times;Serif"/>
                <w:b/>
                <w:smallCaps/>
                <w:sz w:val="20"/>
              </w:rPr>
              <w:t>[●]</w:t>
            </w:r>
            <w:r>
              <w:rPr>
                <w:rFonts w:ascii="Times New Roman;Times;Serif" w:hAnsi="Times New Roman;Times;Serif"/>
                <w:sz w:val="20"/>
              </w:rPr>
              <w:t>, as Warrant Agent</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30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sz w:val="20"/>
              </w:rPr>
            </w:pPr>
            <w:r>
              <w:rPr>
                <w:rFonts w:ascii="Times New Roman;Times;Serif" w:hAnsi="Times New Roman;Times;Serif"/>
                <w:b/>
                <w:smallCaps/>
                <w:sz w:val="20"/>
              </w:rPr>
              <w:t>Attest</w:t>
            </w:r>
            <w:r>
              <w:rPr>
                <w:rFonts w:ascii="Times New Roman;Times;Serif" w:hAnsi="Times New Roman;Times;Serif"/>
                <w:b/>
                <w:sz w:val="20"/>
              </w:rPr>
              <w:t>:</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81" w:type="dxa"/>
            <w:tcBorders/>
            <w:vAlign w:val="center"/>
          </w:tcPr>
          <w:p>
            <w:pPr>
              <w:pStyle w:val="TableContents"/>
              <w:bidi w:val="0"/>
              <w:spacing w:before="0" w:after="283"/>
              <w:jc w:val="both"/>
              <w:rPr/>
            </w:pPr>
            <w:r>
              <w:rPr/>
              <w:t> </w:t>
            </w:r>
          </w:p>
        </w:tc>
        <w:tc>
          <w:tcPr>
            <w:tcW w:w="2023"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Aclaris Therapeutics, Inc. Debt Securities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3"/>
        <w:gridCol w:w="5692"/>
      </w:tblGrid>
      <w:tr>
        <w:trPr/>
        <w:tc>
          <w:tcPr>
            <w:tcW w:w="45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Form of Legend if Warrants are not immediately exercisable.</w:t>
            </w:r>
            <w:r>
              <w:rPr>
                <w:rFonts w:ascii="Times New Roman;Times;Serif" w:hAnsi="Times New Roman;Times;Serif"/>
                <w:sz w:val="20"/>
              </w:rPr>
              <w:t>]</w:t>
            </w:r>
          </w:p>
        </w:tc>
        <w:tc>
          <w:tcPr>
            <w:tcW w:w="56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 Warrants evidenced by this Warrant Certificate cannot be exercised.]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ACLARIS THERAPEUTICS, INC.</w:t>
        <w:br/>
        <w:t>WARRANT CERTIFICATE REPRESENTING</w:t>
        <w:br/>
        <w:t>WARRANTS TO PURCHASE</w:t>
        <w:br/>
        <w:t>[TITLE OF WARRANT DEBT SECURITIES]</w:t>
      </w:r>
    </w:p>
    <w:p>
      <w:pPr>
        <w:pStyle w:val="TextBody"/>
        <w:bidi w:val="0"/>
        <w:spacing w:before="0" w:after="0"/>
        <w:ind w:left="0" w:right="0" w:hanging="0"/>
        <w:jc w:val="left"/>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605"/>
        <w:gridCol w:w="1085"/>
      </w:tblGrid>
      <w:tr>
        <w:trPr/>
        <w:tc>
          <w:tcPr>
            <w:tcW w:w="605" w:type="dxa"/>
            <w:tcBorders/>
            <w:vAlign w:val="center"/>
          </w:tcPr>
          <w:p>
            <w:pPr>
              <w:pStyle w:val="TableContents"/>
              <w:bidi w:val="0"/>
              <w:spacing w:before="0" w:after="283"/>
              <w:jc w:val="both"/>
              <w:rPr>
                <w:sz w:val="20"/>
              </w:rPr>
            </w:pPr>
            <w:r>
              <w:rPr>
                <w:sz w:val="20"/>
              </w:rPr>
              <w:t>No. [●]</w:t>
            </w:r>
          </w:p>
        </w:tc>
        <w:tc>
          <w:tcPr>
            <w:tcW w:w="1085" w:type="dxa"/>
            <w:tcBorders/>
            <w:vAlign w:val="center"/>
          </w:tcPr>
          <w:p>
            <w:pPr>
              <w:pStyle w:val="TableContents"/>
              <w:bidi w:val="0"/>
              <w:spacing w:before="0" w:after="283"/>
              <w:jc w:val="right"/>
              <w:rPr>
                <w:sz w:val="20"/>
              </w:rPr>
            </w:pPr>
            <w:r>
              <w:rPr>
                <w:sz w:val="20"/>
              </w:rPr>
              <w:t xml:space="preserve">[●] Warrants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of Aclaris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of [●]% of the principal amount thereof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Debt Securities to be issued and delivered upon the exercise of Warrants evidenced by this Warrant Certificate will be issued under and in accordance with an Indenture, dated as of [●]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between the Company and [●], as trustee (such trustee, and any successors to such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and will be subject to the terms and provisions contained in the Warrant Debt Securities and in the Indenture. Copies of the Indenture, including the form of the Warrant Debt Securities, are on file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710" w:type="dxa"/>
        <w:jc w:val="left"/>
        <w:tblInd w:w="0" w:type="dxa"/>
        <w:tblLayout w:type="fixed"/>
        <w:tblCellMar>
          <w:top w:w="0" w:type="dxa"/>
          <w:left w:w="0" w:type="dxa"/>
          <w:bottom w:w="0" w:type="dxa"/>
          <w:right w:w="0" w:type="dxa"/>
        </w:tblCellMar>
      </w:tblPr>
      <w:tblGrid>
        <w:gridCol w:w="575"/>
        <w:gridCol w:w="60"/>
        <w:gridCol w:w="75"/>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379" w:type="dxa"/>
        <w:jc w:val="left"/>
        <w:tblInd w:w="0" w:type="dxa"/>
        <w:tblLayout w:type="fixed"/>
        <w:tblCellMar>
          <w:top w:w="0" w:type="dxa"/>
          <w:left w:w="0" w:type="dxa"/>
          <w:bottom w:w="0" w:type="dxa"/>
          <w:right w:w="0" w:type="dxa"/>
        </w:tblCellMar>
      </w:tblPr>
      <w:tblGrid>
        <w:gridCol w:w="1442"/>
        <w:gridCol w:w="1862"/>
        <w:gridCol w:w="75"/>
      </w:tblGrid>
      <w:tr>
        <w:trPr/>
        <w:tc>
          <w:tcPr>
            <w:tcW w:w="33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Aclaris Therapeutics, Inc.</w:t>
            </w:r>
            <w:r>
              <w:rPr>
                <w:rFonts w:ascii="Times New Roman;Times;Serif" w:hAnsi="Times New Roman;Times;Serif"/>
                <w:sz w:val="20"/>
              </w:rPr>
              <w:t>, as Company</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pPr>
            <w:r>
              <w:rPr/>
              <w:t> </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b/>
              </w:rPr>
            </w:pPr>
            <w:r>
              <w:rPr>
                <w:b/>
              </w:rPr>
              <w:t>COUNTERSIGNED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as Warrant Agent</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2" w:type="dxa"/>
            <w:tcBorders/>
            <w:vAlign w:val="center"/>
          </w:tcPr>
          <w:p>
            <w:pPr>
              <w:pStyle w:val="TableContents"/>
              <w:bidi w:val="0"/>
              <w:spacing w:before="0" w:after="283"/>
              <w:jc w:val="left"/>
              <w:rPr/>
            </w:pPr>
            <w:r>
              <w:rPr/>
              <w:t> </w:t>
            </w:r>
          </w:p>
        </w:tc>
        <w:tc>
          <w:tcPr>
            <w:tcW w:w="186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 principal amount of the [TITLE OF WARRANT DEBT SECURITIES]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of Aclaris Therapeutics,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Aclaris Therapeutics,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665"/>
        <w:gridCol w:w="60"/>
        <w:gridCol w:w="60"/>
        <w:gridCol w:w="650"/>
        <w:gridCol w:w="1145"/>
      </w:tblGrid>
      <w:tr>
        <w:trPr/>
        <w:tc>
          <w:tcPr>
            <w:tcW w:w="665" w:type="dxa"/>
            <w:tcBorders/>
            <w:vAlign w:val="center"/>
          </w:tcPr>
          <w:p>
            <w:pPr>
              <w:pStyle w:val="TableContents"/>
              <w:bidi w:val="0"/>
              <w:spacing w:before="0" w:after="283"/>
              <w:jc w:val="left"/>
              <w:rPr/>
            </w:pPr>
            <w:r>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114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1145" w:type="dxa"/>
            <w:tcBorders/>
            <w:vAlign w:val="center"/>
          </w:tcPr>
          <w:p>
            <w:pPr>
              <w:pStyle w:val="TableContents"/>
              <w:bidi w:val="0"/>
              <w:spacing w:before="0" w:after="283"/>
              <w:jc w:val="center"/>
              <w:rPr/>
            </w:pPr>
            <w:r>
              <w:rPr/>
              <w:t>Please Print</w:t>
            </w:r>
          </w:p>
        </w:tc>
      </w:tr>
    </w:tbl>
    <w:p>
      <w:pPr>
        <w:pStyle w:val="TextBody"/>
        <w:bidi w:val="0"/>
        <w:spacing w:before="0" w:after="0"/>
        <w:ind w:left="0" w:right="0" w:hanging="0"/>
        <w:jc w:val="left"/>
        <w:rPr>
          <w:caps w:val="false"/>
          <w:smallCaps w:val="false"/>
        </w:rPr>
      </w:pPr>
      <w:r>
        <w:rPr>
          <w:caps w:val="false"/>
          <w:smallCaps w:val="false"/>
        </w:rPr>
        <w:t> </w:t>
      </w:r>
    </w:p>
    <w:tbl>
      <w:tblPr>
        <w:tblW w:w="5179" w:type="dxa"/>
        <w:jc w:val="left"/>
        <w:tblInd w:w="0" w:type="dxa"/>
        <w:tblLayout w:type="fixed"/>
        <w:tblCellMar>
          <w:top w:w="0" w:type="dxa"/>
          <w:left w:w="0" w:type="dxa"/>
          <w:bottom w:w="0" w:type="dxa"/>
          <w:right w:w="0" w:type="dxa"/>
        </w:tblCellMar>
      </w:tblPr>
      <w:tblGrid>
        <w:gridCol w:w="3521"/>
        <w:gridCol w:w="1523"/>
        <w:gridCol w:w="60"/>
        <w:gridCol w:w="75"/>
      </w:tblGrid>
      <w:tr>
        <w:trPr/>
        <w:tc>
          <w:tcPr>
            <w:tcW w:w="504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Social Security or Other Identifying Number of Holder)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Guaranteed:</w:t>
            </w:r>
          </w:p>
        </w:tc>
        <w:tc>
          <w:tcPr>
            <w:tcW w:w="1523"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21" w:type="dxa"/>
            <w:tcBorders/>
            <w:vAlign w:val="center"/>
          </w:tcPr>
          <w:p>
            <w:pPr>
              <w:pStyle w:val="TableContents"/>
              <w:bidi w:val="0"/>
              <w:spacing w:before="0" w:after="283"/>
              <w:jc w:val="both"/>
              <w:rPr/>
            </w:pPr>
            <w:r>
              <w:rPr/>
              <w:t> </w:t>
            </w:r>
          </w:p>
        </w:tc>
        <w:tc>
          <w:tcPr>
            <w:tcW w:w="15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Debt Securities and, if applicable, Warrant Certificates evidencing Warrants for the number of Warrant Debt Securities remaining unexercised—complete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jc w:val="left"/>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4145"/>
        <w:gridCol w:w="60"/>
        <w:gridCol w:w="4550"/>
      </w:tblGrid>
      <w:tr>
        <w:trPr/>
        <w:tc>
          <w:tcPr>
            <w:tcW w:w="4145" w:type="dxa"/>
            <w:tcBorders>
              <w:bottom w:val="single" w:sz="8" w:space="0" w:color="000000"/>
            </w:tcBorders>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4550" w:type="dxa"/>
            <w:tcBorders>
              <w:bottom w:val="single" w:sz="8" w:space="0" w:color="000000"/>
            </w:tcBorders>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Social Security or other identifying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represented by the within Warrant to purchase ________ aggregate principal amount of [Title of Warrant Debt Securities] of Aclaris Therapeutics, Inc. to which the within Warrant relates and appoints ____________________ attorney to transfer such right on the books of the Warrant Agent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left"/>
              <w:rPr/>
            </w:pPr>
            <w:r>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Name:</w:t>
            </w:r>
          </w:p>
        </w:tc>
        <w:tc>
          <w:tcPr>
            <w:tcW w:w="93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both"/>
              <w:rPr/>
            </w:pPr>
            <w:r>
              <w:rPr/>
              <w:t> </w:t>
            </w:r>
          </w:p>
        </w:tc>
        <w:tc>
          <w:tcPr>
            <w:tcW w:w="935" w:type="dxa"/>
            <w:tcBorders/>
            <w:vAlign w:val="center"/>
          </w:tcPr>
          <w:p>
            <w:pPr>
              <w:pStyle w:val="TableContents"/>
              <w:bidi w:val="0"/>
              <w:spacing w:before="0" w:after="283"/>
              <w:jc w:val="center"/>
              <w:rPr/>
            </w:pPr>
            <w:r>
              <w:rPr/>
              <w:t>Signature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42" w:name="tm2622183d2_ex5-1.htm"/>
      <w:bookmarkStart w:id="43" w:name="kstm2622183d2_ex51"/>
      <w:bookmarkEnd w:id="42"/>
      <w:bookmarkEnd w:id="43"/>
      <w:r>
        <w:rPr/>
        <w:t> </w:t>
      </w:r>
      <w:r>
        <w:br w:type="page"/>
      </w:r>
    </w:p>
    <w:p>
      <w:pPr>
        <w:pStyle w:val="TextBody"/>
        <w:bidi w:val="0"/>
        <w:jc w:val="right"/>
        <w:rPr>
          <w:b/>
        </w:rPr>
      </w:pPr>
      <w:r>
        <w:rPr>
          <w:b/>
        </w:rPr>
        <w:t>Exhibit 5.1</w:t>
      </w:r>
    </w:p>
    <w:p>
      <w:pPr>
        <w:pStyle w:val="TextBody"/>
        <w:bidi w:val="0"/>
        <w:spacing w:before="0" w:after="283"/>
        <w:jc w:val="left"/>
        <w:rPr/>
      </w:pPr>
      <w:r>
        <w:rPr/>
        <w:t> </w:t>
      </w:r>
    </w:p>
    <w:p>
      <w:pPr>
        <w:pStyle w:val="TextBody"/>
        <w:bidi w:val="0"/>
        <w:spacing w:before="0" w:after="283"/>
        <w:jc w:val="left"/>
        <w:rPr/>
      </w:pPr>
      <w:r>
        <w:rPr/>
        <w:drawing>
          <wp:inline distT="0" distB="0" distL="0" distR="0">
            <wp:extent cx="1362075" cy="476250"/>
            <wp:effectExtent l="0" t="0" r="0" b="0"/>
            <wp:docPr id="2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5" descr=""/>
                    <pic:cNvPicPr>
                      <a:picLocks noChangeAspect="1" noChangeArrowheads="1"/>
                    </pic:cNvPicPr>
                  </pic:nvPicPr>
                  <pic:blipFill>
                    <a:blip r:embed="rId25"/>
                    <a:stretch>
                      <a:fillRect/>
                    </a:stretch>
                  </pic:blipFill>
                  <pic:spPr bwMode="auto">
                    <a:xfrm>
                      <a:off x="0" y="0"/>
                      <a:ext cx="1362075" cy="476250"/>
                    </a:xfrm>
                    <a:prstGeom prst="rect">
                      <a:avLst/>
                    </a:prstGeom>
                  </pic:spPr>
                </pic:pic>
              </a:graphicData>
            </a:graphic>
          </wp:inline>
        </w:drawing>
      </w:r>
    </w:p>
    <w:p>
      <w:pPr>
        <w:pStyle w:val="TextBody"/>
        <w:bidi w:val="0"/>
        <w:spacing w:before="0" w:after="283"/>
        <w:jc w:val="left"/>
        <w:rPr/>
      </w:pPr>
      <w:r>
        <w:rPr/>
        <w:t> </w:t>
      </w:r>
    </w:p>
    <w:tbl>
      <w:tblPr>
        <w:tblW w:w="2255" w:type="dxa"/>
        <w:jc w:val="left"/>
        <w:tblInd w:w="0" w:type="dxa"/>
        <w:tblLayout w:type="fixed"/>
        <w:tblCellMar>
          <w:top w:w="0" w:type="dxa"/>
          <w:left w:w="0" w:type="dxa"/>
          <w:bottom w:w="0" w:type="dxa"/>
          <w:right w:w="0" w:type="dxa"/>
        </w:tblCellMar>
      </w:tblPr>
      <w:tblGrid>
        <w:gridCol w:w="2180"/>
        <w:gridCol w:w="75"/>
      </w:tblGrid>
      <w:tr>
        <w:trPr/>
        <w:tc>
          <w:tcPr>
            <w:tcW w:w="21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Ballantyne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+1 703 456 8084</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mballantyne@cooley.com</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Aclaris Therapeutics,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 Lee Road, Suite 103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Wayne, PA 19087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Aclaris Therapeutics,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filing by the Company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of a Registration Statement on Form S-3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The Registration Statement includes two prospectuses: (i) a base prospectus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(ii) a sales agreement prospectus (the “</w:t>
      </w:r>
      <w:r>
        <w:rPr>
          <w:rFonts w:ascii="Times New Roman;Times;Serif" w:hAnsi="Times New Roman;Times;Serif"/>
          <w:b/>
          <w:i/>
          <w:caps w:val="false"/>
          <w:smallCaps w:val="false"/>
          <w:sz w:val="20"/>
        </w:rPr>
        <w:t>ATM Prospectus</w:t>
      </w:r>
      <w:r>
        <w:rPr>
          <w:rFonts w:ascii="Times New Roman;Times;Serif" w:hAnsi="Times New Roman;Times;Serif"/>
          <w:b w:val="false"/>
          <w:i w:val="false"/>
          <w:caps w:val="false"/>
          <w:smallCaps w:val="false"/>
          <w:sz w:val="20"/>
        </w:rPr>
        <w:t>”), covering up to $150,000,000 of shares (the “</w:t>
      </w:r>
      <w:r>
        <w:rPr>
          <w:rFonts w:ascii="Times New Roman;Times;Serif" w:hAnsi="Times New Roman;Times;Serif"/>
          <w:b/>
          <w:i/>
          <w:caps w:val="false"/>
          <w:smallCaps w:val="false"/>
          <w:sz w:val="20"/>
        </w:rPr>
        <w:t>ATM Shares</w:t>
      </w:r>
      <w:r>
        <w:rPr>
          <w:rFonts w:ascii="Times New Roman;Times;Serif" w:hAnsi="Times New Roman;Times;Serif"/>
          <w:b w:val="false"/>
          <w:i w:val="false"/>
          <w:caps w:val="false"/>
          <w:smallCaps w:val="false"/>
          <w:sz w:val="20"/>
        </w:rPr>
        <w:t>”) of common stock, par value $0.00001 per share, of the Company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that may be sold under the Second Amended and Restated Sales Agreement, dated August 6, 2026, between the Company and Leerink Partners LLC and Cantor Fitzgerald &amp; Co. (the “</w:t>
      </w:r>
      <w:r>
        <w:rPr>
          <w:rFonts w:ascii="Times New Roman;Times;Serif" w:hAnsi="Times New Roman;Times;Serif"/>
          <w:b/>
          <w:i/>
          <w:caps w:val="false"/>
          <w:smallCaps w:val="false"/>
          <w:sz w:val="20"/>
        </w:rPr>
        <w:t>Sales Agreement</w:t>
      </w:r>
      <w:r>
        <w:rPr>
          <w:rFonts w:ascii="Times New Roman;Times;Serif" w:hAnsi="Times New Roman;Times;Serif"/>
          <w:b w:val="false"/>
          <w:i w:val="false"/>
          <w:caps w:val="false"/>
          <w:smallCaps w:val="false"/>
          <w:sz w:val="20"/>
        </w:rPr>
        <w:t>”). The Base Prospectus provides it will be supplemented in the future by one or more prospectus supplements (each, a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The Registration Statement, including the Base Prospectus (as supplemented from time to time by one or more Prospectus Supplements) and the ATM Prospectus, will provide for the registration by the Company of the sale of the following securities: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22"/>
        <w:gridCol w:w="9916"/>
      </w:tblGrid>
      <w:tr>
        <w:trPr/>
        <w:tc>
          <w:tcPr>
            <w:tcW w:w="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Symbol" w:hAnsi="Symbol"/>
              </w:rPr>
            </w:pPr>
            <w:r>
              <w:rPr>
                <w:rFonts w:ascii="Symbol" w:hAnsi="Symbol"/>
              </w:rPr>
              <w:t>·</w:t>
            </w:r>
          </w:p>
        </w:tc>
        <w:tc>
          <w:tcPr>
            <w:tcW w:w="99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(the “</w:t>
            </w:r>
            <w:r>
              <w:rPr>
                <w:rFonts w:ascii="Times New Roman;Times;Serif" w:hAnsi="Times New Roman;Times;Serif"/>
                <w:b/>
                <w:i/>
              </w:rPr>
              <w:t>Base Prospectus Shares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preferred stock, par value $0.00001 per share, of the Company (the “</w:t>
            </w:r>
            <w:r>
              <w:rPr>
                <w:rFonts w:ascii="Times New Roman;Times;Serif" w:hAnsi="Times New Roman;Times;Serif"/>
                <w:b/>
                <w:i/>
              </w:rPr>
              <w:t>Preferred Stock</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debt securities in one or more series (the “</w:t>
            </w:r>
            <w:r>
              <w:rPr>
                <w:rFonts w:ascii="Times New Roman;Times;Serif" w:hAnsi="Times New Roman;Times;Serif"/>
                <w:b/>
                <w:i/>
              </w:rPr>
              <w:t>Debt Securities</w:t>
            </w:r>
            <w:r>
              <w:rPr>
                <w:rFonts w:ascii="Times New Roman;Times;Serif" w:hAnsi="Times New Roman;Times;Serif"/>
              </w:rPr>
              <w:t>”), which may be issued pursuant to an indenture to be dated on or about the date of the first issuance of Debt Securities thereunder, by and between a trustee to be selected by the Company (the “</w:t>
            </w:r>
            <w:r>
              <w:rPr>
                <w:rFonts w:ascii="Times New Roman;Times;Serif" w:hAnsi="Times New Roman;Times;Serif"/>
                <w:b/>
                <w:i/>
              </w:rPr>
              <w:t>Trustee</w:t>
            </w:r>
            <w:r>
              <w:rPr>
                <w:rFonts w:ascii="Times New Roman;Times;Serif" w:hAnsi="Times New Roman;Times;Serif"/>
              </w:rPr>
              <w:t>”) and the Company, in the form filed as Exhibit 4.2 to the Registration Statement and one or more indentures supplemental thereto with respect to any particular series of Debt Securities (the “</w:t>
            </w:r>
            <w:r>
              <w:rPr>
                <w:rFonts w:ascii="Times New Roman;Times;Serif" w:hAnsi="Times New Roman;Times;Serif"/>
                <w:b/>
                <w:i/>
              </w:rPr>
              <w:t>Indenture</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to purchase Common Stock, Preferred Stock or Debt Securities (the “</w:t>
            </w:r>
            <w:r>
              <w:rPr>
                <w:rFonts w:ascii="Times New Roman;Times;Serif" w:hAnsi="Times New Roman;Times;Serif"/>
                <w:b/>
                <w:i/>
              </w:rPr>
              <w:t>Warrants</w:t>
            </w:r>
            <w:r>
              <w:rPr>
                <w:rFonts w:ascii="Times New Roman;Times;Serif" w:hAnsi="Times New Roman;Times;Serif"/>
              </w:rPr>
              <w:t>”), which may be issued under one or more warrant agreements, to be dated on or about the date of the first issuance of the Warrants thereunder, by and between a warrant agent to be selected by the Company (the “</w:t>
            </w:r>
            <w:r>
              <w:rPr>
                <w:rFonts w:ascii="Times New Roman;Times;Serif" w:hAnsi="Times New Roman;Times;Serif"/>
                <w:b/>
                <w:i/>
              </w:rPr>
              <w:t>Warrant Agent</w:t>
            </w:r>
            <w:r>
              <w:rPr>
                <w:rFonts w:ascii="Times New Roman;Times;Serif" w:hAnsi="Times New Roman;Times;Serif"/>
              </w:rPr>
              <w:t>”) and the Company, in the forms filed as Exhibits 4.4, 4.5 and 4.6, respectively, to the Registration Statement (each, a “</w:t>
            </w:r>
            <w:r>
              <w:rPr>
                <w:rFonts w:ascii="Times New Roman;Times;Serif" w:hAnsi="Times New Roman;Times;Serif"/>
                <w:b/>
                <w:i/>
              </w:rPr>
              <w:t>Warrant Agreement</w:t>
            </w:r>
            <w:r>
              <w:rPr>
                <w:rFonts w:ascii="Times New Roman;Times;Serif" w:hAnsi="Times New Roman;Times;Serif"/>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696"/>
        <w:gridCol w:w="9298"/>
      </w:tblGrid>
      <w:tr>
        <w:trPr/>
        <w:tc>
          <w:tcPr>
            <w:tcW w:w="21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rFonts w:ascii="Symbol" w:hAnsi="Symbol"/>
              </w:rPr>
            </w:pPr>
            <w:r>
              <w:rPr>
                <w:rFonts w:ascii="Symbol" w:hAnsi="Symbol"/>
              </w:rPr>
              <w:t>·</w:t>
            </w:r>
          </w:p>
        </w:tc>
        <w:tc>
          <w:tcPr>
            <w:tcW w:w="92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ATM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Prospectus Shares, the Preferred Stock, the Debt Securities, the Warrants and the ATM Shares are collectively referred to herein as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The Securities are being registered for offer and sale from time to time pursuant to Rule 415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1299 Pennsylvania Ave NW, Suite 700   Washington, DC   20004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(202) 842-7800  f: (202) 842-7899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62075" cy="476250"/>
            <wp:effectExtent l="0" t="0" r="0" b="0"/>
            <wp:docPr id="2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6" descr=""/>
                    <pic:cNvPicPr>
                      <a:picLocks noChangeAspect="1" noChangeArrowheads="1"/>
                    </pic:cNvPicPr>
                  </pic:nvPicPr>
                  <pic:blipFill>
                    <a:blip r:embed="rId26"/>
                    <a:stretch>
                      <a:fillRect/>
                    </a:stretch>
                  </pic:blipFill>
                  <pic:spPr bwMode="auto">
                    <a:xfrm>
                      <a:off x="0" y="0"/>
                      <a:ext cx="1362075"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Company’s certificate of incorporation and bylaws, each as currently in effect, the Sales Agreement and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opinion as to the Base Prospectus Shares, we have assumed that, at the time of issuance and sale, a sufficient number of shares of Common Stock will be authorized and available for issuance and that the consideration for the issuance and sale of the Base Prospectus Shares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ATM Shares, we have assumed that: (i) each sale of the ATM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(ii) no more than 100,000,000 ATM Shares will be sold for a consideration not less than the par value of the Common Stock. With respect to the ATM Shares, we express no opinion to the extent that future issuances of securities of the Company, anti-dilution adjustments to outstanding securities of the Company or other matters cause the number of shares of Common Stock issuable under the Sales Agreement to exceed the number of shares available for issuance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expressed solely with respect to the DGCL and, as to the Debt Securities and the Warrants constituting binding obligations of the Company, the laws of the State of New York. Our opinion is based on these laws as in effect on the date hereof.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1299 Pennsylvania Ave NW, Suite 700   Washington, DC   20004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(202) 842-7800  f: (202) 842-7899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62075" cy="476250"/>
            <wp:effectExtent l="0" t="0" r="0" b="0"/>
            <wp:docPr id="2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7" descr=""/>
                    <pic:cNvPicPr>
                      <a:picLocks noChangeAspect="1" noChangeArrowheads="1"/>
                    </pic:cNvPicPr>
                  </pic:nvPicPr>
                  <pic:blipFill>
                    <a:blip r:embed="rId27"/>
                    <a:stretch>
                      <a:fillRect/>
                    </a:stretch>
                  </pic:blipFill>
                  <pic:spPr bwMode="auto">
                    <a:xfrm>
                      <a:off x="0" y="0"/>
                      <a:ext cx="1362075"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in reliance thereon and subject to the assumptions, exceptions, limitations and qualifications set forth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With respect to the Base Prospectus Shares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Base Prospectus Shares has been duly authorized by all necessary corporate action on the part of the Company; (c) the issuance and sale of the Base Prospectus Shares do not violate any applicable law, are in conformity with the Company’s then operative certificate of incorporation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and bylaws (the “</w:t>
      </w:r>
      <w:r>
        <w:rPr>
          <w:rFonts w:ascii="Times New Roman;Times;Serif" w:hAnsi="Times New Roman;Times;Serif"/>
          <w:b/>
          <w:i/>
          <w:caps w:val="false"/>
          <w:smallCaps w:val="false"/>
          <w:sz w:val="20"/>
        </w:rPr>
        <w:t>Bylaws</w:t>
      </w:r>
      <w:r>
        <w:rPr>
          <w:rFonts w:ascii="Times New Roman;Times;Serif" w:hAnsi="Times New Roman;Times;Serif"/>
          <w:b w:val="false"/>
          <w:i w:val="false"/>
          <w:caps w:val="false"/>
          <w:smallCaps w:val="false"/>
          <w:sz w:val="20"/>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Base Prospectus Shares have been duly executed by the Company, countersigned by the transfer agent therefor and duly delivered to the purchasers thereof against payment therefor, then the Base Prospectus Shares,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issuance and terms of the Debt Securities have been duly authorized by the Company by all necessary corporate action; (e) the terms of the Debt Securities and of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1299 Pennsylvania Ave NW, Suite 700   Washington, DC  20004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(202) 842-7800  f: (202) 842-7899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62075" cy="476250"/>
            <wp:effectExtent l="0" t="0" r="0" b="0"/>
            <wp:docPr id="24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8" descr=""/>
                    <pic:cNvPicPr>
                      <a:picLocks noChangeAspect="1" noChangeArrowheads="1"/>
                    </pic:cNvPicPr>
                  </pic:nvPicPr>
                  <pic:blipFill>
                    <a:blip r:embed="rId28"/>
                    <a:stretch>
                      <a:fillRect/>
                    </a:stretch>
                  </pic:blipFill>
                  <pic:spPr bwMode="auto">
                    <a:xfrm>
                      <a:off x="0" y="0"/>
                      <a:ext cx="1362075"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Four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The ATM Shares, when sold and issued against payment therefor in accordance with the Sales Agreement, the Registration Statement and the ATM Prospectus,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caption “Legal Matters” in the Base Prospectus and the ATM Prospectus. In giving such consents,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335"/>
        <w:gridCol w:w="1640"/>
        <w:gridCol w:w="60"/>
        <w:gridCol w:w="75"/>
      </w:tblGrid>
      <w:tr>
        <w:trPr/>
        <w:tc>
          <w:tcPr>
            <w:tcW w:w="2035" w:type="dxa"/>
            <w:gridSpan w:val="3"/>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Very truly yours,</w:t>
            </w:r>
          </w:p>
        </w:tc>
        <w:tc>
          <w:tcPr>
            <w:tcW w:w="75" w:type="dxa"/>
            <w:tcBorders/>
            <w:vAlign w:val="center"/>
          </w:tcPr>
          <w:p>
            <w:pPr>
              <w:pStyle w:val="TableContents"/>
              <w:bidi w:val="0"/>
              <w:spacing w:before="0" w:after="283"/>
              <w:jc w:val="left"/>
              <w:rPr/>
            </w:pPr>
            <w:r>
              <w:rPr/>
              <w:t> </w:t>
            </w:r>
          </w:p>
        </w:tc>
      </w:tr>
      <w:tr>
        <w:trPr/>
        <w:tc>
          <w:tcPr>
            <w:tcW w:w="203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3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Cooley LLP</w:t>
            </w:r>
          </w:p>
        </w:tc>
        <w:tc>
          <w:tcPr>
            <w:tcW w:w="75" w:type="dxa"/>
            <w:tcBorders/>
            <w:vAlign w:val="center"/>
          </w:tcPr>
          <w:p>
            <w:pPr>
              <w:pStyle w:val="TableContents"/>
              <w:bidi w:val="0"/>
              <w:spacing w:before="0" w:after="283"/>
              <w:jc w:val="left"/>
              <w:rPr/>
            </w:pPr>
            <w:r>
              <w:rPr/>
              <w:t> </w:t>
            </w:r>
          </w:p>
        </w:tc>
      </w:tr>
      <w:tr>
        <w:trPr/>
        <w:tc>
          <w:tcPr>
            <w:tcW w:w="2035"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Mark Ballantyne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both"/>
              <w:rPr/>
            </w:pPr>
            <w:r>
              <w:rPr/>
              <w:t> </w:t>
            </w:r>
          </w:p>
        </w:tc>
        <w:tc>
          <w:tcPr>
            <w:tcW w:w="1700" w:type="dxa"/>
            <w:gridSpan w:val="2"/>
            <w:tcBorders/>
            <w:vAlign w:val="center"/>
          </w:tcPr>
          <w:p>
            <w:pPr>
              <w:pStyle w:val="TableContents"/>
              <w:bidi w:val="0"/>
              <w:spacing w:before="0" w:after="283"/>
              <w:jc w:val="both"/>
              <w:rPr/>
            </w:pPr>
            <w:r>
              <w:rPr/>
              <w:t>  </w:t>
            </w:r>
            <w:r>
              <w:rPr>
                <w:rFonts w:ascii="Times New Roman;Times;Serif" w:hAnsi="Times New Roman;Times;Serif"/>
                <w:sz w:val="20"/>
              </w:rPr>
              <w:t>Mark Ballantyne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Cooley LLP   1299 Pennsylvania Ave NW, Suite 700   Washington, DC   20004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(202) 842-7800  f: (202) 842-7899  cooley.com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bookmarkStart w:id="44" w:name="tm2622183d2_ex23-1.htm"/>
      <w:bookmarkStart w:id="45" w:name="kstm2622183d2_ex231"/>
      <w:bookmarkEnd w:id="44"/>
      <w:bookmarkEnd w:id="45"/>
      <w:r>
        <w:rPr/>
        <w:t> </w:t>
      </w:r>
      <w:r>
        <w:br w:type="page"/>
      </w:r>
    </w:p>
    <w:p>
      <w:pPr>
        <w:pStyle w:val="TextBody"/>
        <w:bidi w:val="0"/>
        <w:spacing w:before="0" w:after="0"/>
        <w:ind w:left="0" w:right="0" w:hanging="0"/>
        <w:jc w:val="right"/>
        <w:rPr>
          <w:b/>
        </w:rPr>
      </w:pPr>
      <w:r>
        <w:rPr>
          <w:b/>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Aclaris Therapeutics, Inc. of our report dated February 26, 2026 relating to the financial statements, which appears in Aclaris Therapeutics, Inc.’s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Philadelphia, Pennsylvania</w:t>
        <w:b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46" w:name="tm2622183d1_ex-filingfees.htm"/>
      <w:bookmarkStart w:id="47" w:name="kstm2622183d1_exfilingfees"/>
      <w:bookmarkStart w:id="48" w:name="tm2622183d1_ex-filingfees.htm"/>
      <w:bookmarkStart w:id="49" w:name="kstm2622183d1_exfilingfees"/>
      <w:bookmarkEnd w:id="48"/>
      <w:bookmarkEnd w:id="49"/>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Aclaris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89" w:type="dxa"/>
        <w:jc w:val="left"/>
        <w:tblInd w:w="0" w:type="dxa"/>
        <w:tblLayout w:type="fixed"/>
        <w:tblCellMar>
          <w:top w:w="28" w:type="dxa"/>
          <w:left w:w="28" w:type="dxa"/>
          <w:bottom w:w="28" w:type="dxa"/>
          <w:right w:w="28" w:type="dxa"/>
        </w:tblCellMar>
      </w:tblPr>
      <w:tblGrid>
        <w:gridCol w:w="1126"/>
        <w:gridCol w:w="226"/>
        <w:gridCol w:w="946"/>
        <w:gridCol w:w="112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Common Stock, par value $0.000001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Preferred Stock, par value $0.000001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126"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26"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Common Stock, par value $0.000001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$ 150,000,000.00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$ 20,715.00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50" w:name="MaxAggtOfferingPrice"/>
            <w:bookmarkEnd w:id="50"/>
            <w:r>
              <w:rPr/>
              <w:t xml:space="preserve">$ 150,000,000.00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1" w:name="TotalFeeAmt"/>
            <w:bookmarkEnd w:id="51"/>
            <w:r>
              <w:rPr/>
              <w:t xml:space="preserve">$ 20,715.00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2" w:name="TotalPreviouslyPaidAmt"/>
            <w:bookmarkEnd w:id="5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3" w:name="TotalOffsetAmt"/>
            <w:bookmarkEnd w:id="5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4" w:name="NetFeeAmt"/>
            <w:bookmarkEnd w:id="54"/>
            <w:r>
              <w:rPr/>
              <w:t xml:space="preserve">$ 20,715.00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3"/>
        <w:gridCol w:w="8714"/>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may be sold from time to time by the Registrant. The securities registered hereunder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or the Securities Act, the shares being registered hereunder include such indeterminate number of shares of common stock and preferred stock as may be issuable with respect to the shares being registered hereunder as a result of stock splits, stock dividends or similar transactions. The proposed maximum offering price per unit and maximum aggregate offering prices per class of securities will be determined from time to time by the Registrant in connection with the issuance by the Registrant of the securities registered hereunder and is not specified as to each class of security pursuant to General Instruction I.D. and Instruction 2.A.iii.c. to the Calculation of Filing Fee Tables and Related Disclosure under Item 16(b) of Form S-3 under the Securities Act. Separate consideration may or may not be received for securities that are issuable on exercise, conversion or exchange of other securities. The Registrant is relying on Rules 456(b) and 457(r) under the Securities Act to defer payment of the entire registration fee other than the registration fee due in connection with $150,000,000 of shares of common stock that may be issued and sold from time to time under the sales agreement prospectus contained in this registration statement. The Registrant will pay any subsequent registration fees in connection with the securities offered hereby on a pay-as-you-go basis in accordance with Rule 456(b) under the Securities Act. The Registrant will calculate the registration fee applicable to an offer of securities pursuant to this registration statement based on the fee rate in effect on the date of such fee payment. </w:t>
            </w:r>
          </w:p>
        </w:tc>
      </w:tr>
      <w:tr>
        <w:trPr/>
        <w:tc>
          <w:tcPr>
            <w:tcW w:w="1491" w:type="dxa"/>
            <w:gridSpan w:val="2"/>
            <w:tcBorders/>
            <w:vAlign w:val="center"/>
          </w:tcPr>
          <w:p>
            <w:pPr>
              <w:pStyle w:val="HorizontalLine"/>
              <w:pBdr>
                <w:bottom w:val="double" w:sz="2" w:space="0" w:color="808080"/>
              </w:pBdr>
              <w:bidi w:val="0"/>
              <w:spacing w:before="0" w:after="283"/>
              <w:jc w:val="left"/>
              <w:rPr/>
            </w:pPr>
            <w:r>
              <w:rPr/>
            </w:r>
          </w:p>
        </w:tc>
        <w:tc>
          <w:tcPr>
            <w:tcW w:w="8714"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1" w:type="dxa"/>
            <w:gridSpan w:val="2"/>
            <w:tcBorders/>
            <w:vAlign w:val="center"/>
          </w:tcPr>
          <w:p>
            <w:pPr>
              <w:pStyle w:val="HorizontalLine"/>
              <w:pBdr>
                <w:bottom w:val="double" w:sz="2" w:space="0" w:color="808080"/>
              </w:pBdr>
              <w:bidi w:val="0"/>
              <w:spacing w:before="0" w:after="283"/>
              <w:jc w:val="left"/>
              <w:rPr/>
            </w:pPr>
            <w:r>
              <w:rPr/>
            </w:r>
          </w:p>
        </w:tc>
        <w:tc>
          <w:tcPr>
            <w:tcW w:w="8714"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1" w:type="dxa"/>
            <w:gridSpan w:val="2"/>
            <w:tcBorders/>
            <w:vAlign w:val="center"/>
          </w:tcPr>
          <w:p>
            <w:pPr>
              <w:pStyle w:val="HorizontalLine"/>
              <w:pBdr>
                <w:bottom w:val="double" w:sz="2" w:space="0" w:color="808080"/>
              </w:pBdr>
              <w:bidi w:val="0"/>
              <w:spacing w:before="0" w:after="283"/>
              <w:jc w:val="left"/>
              <w:rPr/>
            </w:pPr>
            <w:r>
              <w:rPr/>
            </w:r>
          </w:p>
        </w:tc>
        <w:tc>
          <w:tcPr>
            <w:tcW w:w="8714"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1" w:type="dxa"/>
            <w:gridSpan w:val="2"/>
            <w:tcBorders/>
            <w:vAlign w:val="center"/>
          </w:tcPr>
          <w:p>
            <w:pPr>
              <w:pStyle w:val="HorizontalLine"/>
              <w:pBdr>
                <w:bottom w:val="double" w:sz="2" w:space="0" w:color="808080"/>
              </w:pBdr>
              <w:bidi w:val="0"/>
              <w:spacing w:before="0" w:after="283"/>
              <w:jc w:val="left"/>
              <w:rPr/>
            </w:pPr>
            <w:r>
              <w:rPr/>
            </w:r>
          </w:p>
        </w:tc>
        <w:tc>
          <w:tcPr>
            <w:tcW w:w="8714"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7" w:type="dxa"/>
            <w:gridSpan w:val="2"/>
            <w:tcBorders/>
            <w:vAlign w:val="center"/>
          </w:tcPr>
          <w:p>
            <w:pPr>
              <w:pStyle w:val="TableContents"/>
              <w:bidi w:val="0"/>
              <w:spacing w:before="0" w:after="283"/>
              <w:jc w:val="left"/>
              <w:rPr/>
            </w:pPr>
            <w:r>
              <w:rPr/>
              <w:t xml:space="preserve">See Offering Note 1. </w:t>
            </w:r>
          </w:p>
        </w:tc>
      </w:tr>
      <w:tr>
        <w:trPr/>
        <w:tc>
          <w:tcPr>
            <w:tcW w:w="1491" w:type="dxa"/>
            <w:gridSpan w:val="2"/>
            <w:tcBorders/>
            <w:vAlign w:val="center"/>
          </w:tcPr>
          <w:p>
            <w:pPr>
              <w:pStyle w:val="HorizontalLine"/>
              <w:pBdr>
                <w:bottom w:val="double" w:sz="2" w:space="0" w:color="808080"/>
              </w:pBdr>
              <w:bidi w:val="0"/>
              <w:spacing w:before="0" w:after="283"/>
              <w:jc w:val="left"/>
              <w:rPr/>
            </w:pPr>
            <w:r>
              <w:rPr/>
            </w:r>
          </w:p>
        </w:tc>
        <w:tc>
          <w:tcPr>
            <w:tcW w:w="8714" w:type="dxa"/>
            <w:tcBorders/>
          </w:tcPr>
          <w:p>
            <w:pPr>
              <w:pStyle w:val="TableContents"/>
              <w:bidi w:val="0"/>
              <w:spacing w:before="0" w:after="283"/>
              <w:jc w:val="left"/>
              <w:rPr>
                <w:sz w:val="4"/>
                <w:szCs w:val="4"/>
              </w:rPr>
            </w:pPr>
            <w:r>
              <w:rPr>
                <w:sz w:val="4"/>
                <w:szCs w:val="4"/>
              </w:rPr>
            </w:r>
          </w:p>
        </w:tc>
      </w:tr>
      <w:tr>
        <w:trPr/>
        <w:tc>
          <w:tcPr>
            <w:tcW w:w="198"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7" w:type="dxa"/>
            <w:gridSpan w:val="2"/>
            <w:tcBorders/>
            <w:vAlign w:val="center"/>
          </w:tcPr>
          <w:p>
            <w:pPr>
              <w:pStyle w:val="TableContents"/>
              <w:bidi w:val="0"/>
              <w:spacing w:before="0" w:after="283"/>
              <w:jc w:val="left"/>
              <w:rPr/>
            </w:pPr>
            <w:r>
              <w:rPr/>
              <w:t xml:space="preserve">The registration fee is calculated in accordance with Rule 457(o) under the Securities Act based on the proposed maximum aggregate offering price for the shares of common stock that may be issued and sold from time to time under the sales agreement prospectus contained in this registration statement. </w:t>
            </w:r>
          </w:p>
        </w:tc>
      </w:tr>
      <w:tr>
        <w:trPr/>
        <w:tc>
          <w:tcPr>
            <w:tcW w:w="1491" w:type="dxa"/>
            <w:gridSpan w:val="2"/>
            <w:tcBorders/>
            <w:vAlign w:val="center"/>
          </w:tcPr>
          <w:p>
            <w:pPr>
              <w:pStyle w:val="HorizontalLine"/>
              <w:pBdr>
                <w:bottom w:val="double" w:sz="2" w:space="0" w:color="808080"/>
              </w:pBdr>
              <w:bidi w:val="0"/>
              <w:spacing w:before="0" w:after="283"/>
              <w:jc w:val="left"/>
              <w:rPr/>
            </w:pPr>
            <w:r>
              <w:rPr/>
            </w:r>
          </w:p>
        </w:tc>
        <w:tc>
          <w:tcPr>
            <w:tcW w:w="871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557746/000110465926020540/acrs-20251231x10k.htm" TargetMode="External"/><Relationship Id="rId4" Type="http://schemas.openxmlformats.org/officeDocument/2006/relationships/hyperlink" Target="https://www.sec.gov/ix?doc=/Archives/edgar/data/1557746/000110465926020540/acrs-20251231x10k.htm" TargetMode="External"/><Relationship Id="rId5" Type="http://schemas.openxmlformats.org/officeDocument/2006/relationships/hyperlink" Target="https://www.sec.gov/ix?doc=/Archives/edgar/data/1557746/000110465926057202/acrs-20260331x10q.htm" TargetMode="External"/><Relationship Id="rId6" Type="http://schemas.openxmlformats.org/officeDocument/2006/relationships/hyperlink" Target="https://www.sec.gov/ix?doc=/Archives/edgar/data/1557746/000110465926092065/acrs-20260630x10q.htm" TargetMode="External"/><Relationship Id="rId7" Type="http://schemas.openxmlformats.org/officeDocument/2006/relationships/hyperlink" Target="https://www.sec.gov/ix?doc=/Archives/edgar/data/1557746/000110465926001076/acrs-20260106x8k.htm" TargetMode="External"/><Relationship Id="rId8" Type="http://schemas.openxmlformats.org/officeDocument/2006/relationships/hyperlink" Target="https://www.sec.gov/ix?doc=/Archives/edgar/data/1557746/000110465926049733/acrs-20260428x8k.htm" TargetMode="External"/><Relationship Id="rId9" Type="http://schemas.openxmlformats.org/officeDocument/2006/relationships/hyperlink" Target="https://www.sec.gov/ix?doc=/Archives/edgar/data/1557746/000110465926070494/acrs-20260604x8k.htm" TargetMode="External"/><Relationship Id="rId10" Type="http://schemas.openxmlformats.org/officeDocument/2006/relationships/hyperlink" Target="https://www.sec.gov/Archives/edgar/data/1557746/000110465926020540/acrs-20251231xex4d1.htm"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hyperlink" Target="https://www.sec.gov/ix?doc=/Archives/edgar/data/1557746/000110465926020540/acrs-20251231x10k.htm" TargetMode="External"/><Relationship Id="rId14" Type="http://schemas.openxmlformats.org/officeDocument/2006/relationships/hyperlink" Target="https://www.sec.gov/ix?doc=/Archives/edgar/data/1557746/000110465926057202/acrs-20260331x10q.htm" TargetMode="External"/><Relationship Id="rId15" Type="http://schemas.openxmlformats.org/officeDocument/2006/relationships/hyperlink" Target="https://www.sec.gov/ix?doc=/Archives/edgar/data/1557746/000110465926092065/acrs-20260630x10q.htm" TargetMode="External"/><Relationship Id="rId16" Type="http://schemas.openxmlformats.org/officeDocument/2006/relationships/hyperlink" Target="https://www.sec.gov/ix?doc=/Archives/edgar/data/1557746/000110465926001076/acrs-20260106x8k.htm" TargetMode="External"/><Relationship Id="rId17" Type="http://schemas.openxmlformats.org/officeDocument/2006/relationships/hyperlink" Target="https://www.sec.gov/ix?doc=/Archives/edgar/data/1557746/000110465926049733/acrs-20260428x8k.htm" TargetMode="External"/><Relationship Id="rId18" Type="http://schemas.openxmlformats.org/officeDocument/2006/relationships/hyperlink" Target="https://www.sec.gov/ix?doc=/Archives/edgar/data/1557746/000110465926070494/acrs-20260604x8k.htm" TargetMode="External"/><Relationship Id="rId19" Type="http://schemas.openxmlformats.org/officeDocument/2006/relationships/hyperlink" Target="https://www.sec.gov/Archives/edgar/data/1557746/000110465926020540/acrs-20251231xex4d1.htm" TargetMode="External"/><Relationship Id="rId20" Type="http://schemas.openxmlformats.org/officeDocument/2006/relationships/hyperlink" Target="https://www.sec.gov/ix?doc=/Archives/edgar/data/1557746/000110465926020540/acrs-20251231x10k.htm" TargetMode="External"/><Relationship Id="rId21" Type="http://schemas.openxmlformats.org/officeDocument/2006/relationships/image" Target="media/image1.jpeg"/><Relationship Id="rId22" Type="http://schemas.openxmlformats.org/officeDocument/2006/relationships/hyperlink" Target="https://www.sec.gov/Archives/edgar/data/1557746/000110465915070341/a15-21034_1ex3d1.htm" TargetMode="External"/><Relationship Id="rId23" Type="http://schemas.openxmlformats.org/officeDocument/2006/relationships/hyperlink" Target="https://www.sec.gov/Archives/edgar/data/1557746/000155837025008430/acrs-20250605xex3d1.htm" TargetMode="External"/><Relationship Id="rId24" Type="http://schemas.openxmlformats.org/officeDocument/2006/relationships/hyperlink" Target="https://www.sec.gov/Archives/edgar/data/1557746/000155837020007743/tmb-20200623xex3d1.htm" TargetMode="External"/><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103951</Words>
  <Characters>540617</Characters>
  <CharactersWithSpaces>652247</CharactersWithSpaces>
  <Paragraphs>6095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