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46">
        <w:r>
          <w:rPr>
            <w:rFonts w:ascii="Arial" w:cs="Arial" w:eastAsia="Arial" w:hAnsi="Arial"/>
            <w:sz w:val="21"/>
            <w:szCs w:val="21"/>
            <w:u w:val="single" w:color="auto"/>
            <w:color w:val="0000EE"/>
          </w:rPr>
          <w:t>INDEX TO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May 14, 2015</w:t>
      </w:r>
    </w:p>
    <w:p>
      <w:pPr>
        <w:spacing w:after="0" w:line="206" w:lineRule="exact"/>
        <w:rPr>
          <w:sz w:val="24"/>
          <w:szCs w:val="24"/>
          <w:color w:val="auto"/>
        </w:rPr>
      </w:pPr>
    </w:p>
    <w:p>
      <w:pPr>
        <w:ind w:left="94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UNITED STATES</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S-1</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4"/>
          <w:szCs w:val="14"/>
          <w:b w:val="1"/>
          <w:bCs w:val="1"/>
          <w:color w:val="auto"/>
        </w:rPr>
        <w:t>UNDER</w:t>
      </w:r>
    </w:p>
    <w:p>
      <w:pPr>
        <w:jc w:val="center"/>
        <w:ind w:right="-9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Aclaris Therapeutics,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2800" w:type="dxa"/>
        <w:tblCellMar>
          <w:top w:w="0" w:type="dxa"/>
          <w:left w:w="0" w:type="dxa"/>
          <w:bottom w:w="0" w:type="dxa"/>
          <w:right w:w="0" w:type="dxa"/>
        </w:tblCellMar>
      </w:tblPr>
      <w:tr>
        <w:trPr>
          <w:trHeight w:val="173"/>
        </w:trPr>
        <w:tc>
          <w:tcPr>
            <w:tcW w:w="1900" w:type="dxa"/>
            <w:vAlign w:val="bottom"/>
          </w:tcPr>
          <w:p>
            <w:pPr>
              <w:jc w:val="center"/>
              <w:ind w:right="70"/>
              <w:spacing w:after="0"/>
              <w:rPr>
                <w:sz w:val="20"/>
                <w:szCs w:val="20"/>
                <w:color w:val="auto"/>
              </w:rPr>
            </w:pPr>
            <w:r>
              <w:rPr>
                <w:rFonts w:ascii="Arial" w:cs="Arial" w:eastAsia="Arial" w:hAnsi="Arial"/>
                <w:sz w:val="14"/>
                <w:szCs w:val="14"/>
                <w:b w:val="1"/>
                <w:bCs w:val="1"/>
                <w:color w:val="auto"/>
                <w:w w:val="97"/>
              </w:rPr>
              <w:t>Delaware</w:t>
            </w:r>
          </w:p>
        </w:tc>
        <w:tc>
          <w:tcPr>
            <w:tcW w:w="2140" w:type="dxa"/>
            <w:vAlign w:val="bottom"/>
          </w:tcPr>
          <w:p>
            <w:pPr>
              <w:jc w:val="center"/>
              <w:ind w:right="50"/>
              <w:spacing w:after="0"/>
              <w:rPr>
                <w:sz w:val="20"/>
                <w:szCs w:val="20"/>
                <w:color w:val="auto"/>
              </w:rPr>
            </w:pPr>
            <w:r>
              <w:rPr>
                <w:rFonts w:ascii="Arial" w:cs="Arial" w:eastAsia="Arial" w:hAnsi="Arial"/>
                <w:sz w:val="14"/>
                <w:szCs w:val="14"/>
                <w:b w:val="1"/>
                <w:bCs w:val="1"/>
                <w:color w:val="auto"/>
                <w:w w:val="96"/>
              </w:rPr>
              <w:t>2834</w:t>
            </w:r>
          </w:p>
        </w:tc>
        <w:tc>
          <w:tcPr>
            <w:tcW w:w="158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46-0571712</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rPr>
              <w:t>(State or other jurisdiction of</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(Primary Standard Industrial</w:t>
            </w:r>
          </w:p>
        </w:tc>
        <w:tc>
          <w:tcPr>
            <w:tcW w:w="1580" w:type="dxa"/>
            <w:vAlign w:val="bottom"/>
          </w:tcPr>
          <w:p>
            <w:pPr>
              <w:jc w:val="center"/>
              <w:ind w:left="170"/>
              <w:spacing w:after="0" w:line="157" w:lineRule="exact"/>
              <w:rPr>
                <w:sz w:val="20"/>
                <w:szCs w:val="20"/>
                <w:color w:val="auto"/>
              </w:rPr>
            </w:pPr>
            <w:r>
              <w:rPr>
                <w:rFonts w:ascii="Arial" w:cs="Arial" w:eastAsia="Arial" w:hAnsi="Arial"/>
                <w:sz w:val="14"/>
                <w:szCs w:val="14"/>
                <w:color w:val="auto"/>
                <w:w w:val="99"/>
              </w:rPr>
              <w:t>(I.R.S. Employer</w:t>
            </w:r>
          </w:p>
        </w:tc>
      </w:tr>
      <w:tr>
        <w:trPr>
          <w:trHeight w:val="157"/>
        </w:trPr>
        <w:tc>
          <w:tcPr>
            <w:tcW w:w="1900" w:type="dxa"/>
            <w:vAlign w:val="bottom"/>
          </w:tcPr>
          <w:p>
            <w:pPr>
              <w:jc w:val="center"/>
              <w:ind w:right="70"/>
              <w:spacing w:after="0" w:line="157" w:lineRule="exact"/>
              <w:rPr>
                <w:sz w:val="20"/>
                <w:szCs w:val="20"/>
                <w:color w:val="auto"/>
              </w:rPr>
            </w:pPr>
            <w:r>
              <w:rPr>
                <w:rFonts w:ascii="Arial" w:cs="Arial" w:eastAsia="Arial" w:hAnsi="Arial"/>
                <w:sz w:val="14"/>
                <w:szCs w:val="14"/>
                <w:color w:val="auto"/>
                <w:w w:val="98"/>
              </w:rPr>
              <w:t>incorporation or</w:t>
            </w:r>
          </w:p>
        </w:tc>
        <w:tc>
          <w:tcPr>
            <w:tcW w:w="2140" w:type="dxa"/>
            <w:vAlign w:val="bottom"/>
          </w:tcPr>
          <w:p>
            <w:pPr>
              <w:jc w:val="center"/>
              <w:ind w:right="50"/>
              <w:spacing w:after="0" w:line="157" w:lineRule="exact"/>
              <w:rPr>
                <w:sz w:val="20"/>
                <w:szCs w:val="20"/>
                <w:color w:val="auto"/>
              </w:rPr>
            </w:pPr>
            <w:r>
              <w:rPr>
                <w:rFonts w:ascii="Arial" w:cs="Arial" w:eastAsia="Arial" w:hAnsi="Arial"/>
                <w:sz w:val="14"/>
                <w:szCs w:val="14"/>
                <w:color w:val="auto"/>
                <w:w w:val="99"/>
              </w:rPr>
              <w:t>Classification Code Number)</w:t>
            </w:r>
          </w:p>
        </w:tc>
        <w:tc>
          <w:tcPr>
            <w:tcW w:w="1580" w:type="dxa"/>
            <w:vAlign w:val="bottom"/>
          </w:tcPr>
          <w:p>
            <w:pPr>
              <w:jc w:val="center"/>
              <w:ind w:left="150"/>
              <w:spacing w:after="0" w:line="157" w:lineRule="exact"/>
              <w:rPr>
                <w:sz w:val="20"/>
                <w:szCs w:val="20"/>
                <w:color w:val="auto"/>
              </w:rPr>
            </w:pPr>
            <w:r>
              <w:rPr>
                <w:rFonts w:ascii="Arial" w:cs="Arial" w:eastAsia="Arial" w:hAnsi="Arial"/>
                <w:sz w:val="14"/>
                <w:szCs w:val="14"/>
                <w:color w:val="auto"/>
                <w:w w:val="99"/>
              </w:rPr>
              <w:t>Identification Number)</w:t>
            </w:r>
          </w:p>
        </w:tc>
      </w:tr>
      <w:tr>
        <w:trPr>
          <w:trHeight w:val="168"/>
        </w:trPr>
        <w:tc>
          <w:tcPr>
            <w:tcW w:w="1900" w:type="dxa"/>
            <w:vAlign w:val="bottom"/>
          </w:tcPr>
          <w:p>
            <w:pPr>
              <w:jc w:val="center"/>
              <w:ind w:right="70"/>
              <w:spacing w:after="0"/>
              <w:rPr>
                <w:sz w:val="20"/>
                <w:szCs w:val="20"/>
                <w:color w:val="auto"/>
              </w:rPr>
            </w:pPr>
            <w:r>
              <w:rPr>
                <w:rFonts w:ascii="Arial" w:cs="Arial" w:eastAsia="Arial" w:hAnsi="Arial"/>
                <w:sz w:val="14"/>
                <w:szCs w:val="14"/>
                <w:color w:val="auto"/>
                <w:w w:val="98"/>
              </w:rPr>
              <w:t>organization)</w:t>
            </w: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101 Lindenwood Drive, Suite 400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Malvern, PA 19355</w:t>
      </w:r>
    </w:p>
    <w:p>
      <w:pPr>
        <w:jc w:val="center"/>
        <w:ind w:right="-99"/>
        <w:spacing w:after="0" w:line="234" w:lineRule="auto"/>
        <w:rPr>
          <w:sz w:val="20"/>
          <w:szCs w:val="20"/>
          <w:color w:val="auto"/>
        </w:rPr>
      </w:pPr>
      <w:r>
        <w:rPr>
          <w:rFonts w:ascii="Arial" w:cs="Arial" w:eastAsia="Arial" w:hAnsi="Arial"/>
          <w:sz w:val="14"/>
          <w:szCs w:val="14"/>
          <w:b w:val="1"/>
          <w:bCs w:val="1"/>
          <w:color w:val="auto"/>
        </w:rPr>
        <w:t>(484) 324-7933</w:t>
      </w: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Neal Walker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jc w:val="center"/>
        <w:ind w:right="-99"/>
        <w:spacing w:after="0" w:line="234" w:lineRule="auto"/>
        <w:rPr>
          <w:sz w:val="20"/>
          <w:szCs w:val="20"/>
          <w:color w:val="auto"/>
        </w:rPr>
      </w:pPr>
      <w:r>
        <w:rPr>
          <w:rFonts w:ascii="Arial" w:cs="Arial" w:eastAsia="Arial" w:hAnsi="Arial"/>
          <w:sz w:val="14"/>
          <w:szCs w:val="14"/>
          <w:b w:val="1"/>
          <w:bCs w:val="1"/>
          <w:color w:val="auto"/>
        </w:rPr>
        <w:t>Aclaris Therapeutics, Inc.</w:t>
      </w:r>
    </w:p>
    <w:p>
      <w:pPr>
        <w:jc w:val="center"/>
        <w:ind w:right="-99"/>
        <w:spacing w:after="0" w:line="235" w:lineRule="auto"/>
        <w:rPr>
          <w:sz w:val="20"/>
          <w:szCs w:val="20"/>
          <w:color w:val="auto"/>
        </w:rPr>
      </w:pPr>
      <w:r>
        <w:rPr>
          <w:rFonts w:ascii="Arial" w:cs="Arial" w:eastAsia="Arial" w:hAnsi="Arial"/>
          <w:sz w:val="14"/>
          <w:szCs w:val="14"/>
          <w:b w:val="1"/>
          <w:bCs w:val="1"/>
          <w:color w:val="auto"/>
        </w:rPr>
        <w:t>101 Lindenwood Drive, Suite 400</w:t>
      </w:r>
    </w:p>
    <w:p>
      <w:pPr>
        <w:jc w:val="center"/>
        <w:ind w:right="-99"/>
        <w:spacing w:after="0" w:line="234" w:lineRule="auto"/>
        <w:rPr>
          <w:sz w:val="20"/>
          <w:szCs w:val="20"/>
          <w:color w:val="auto"/>
        </w:rPr>
      </w:pPr>
      <w:r>
        <w:rPr>
          <w:rFonts w:ascii="Arial" w:cs="Arial" w:eastAsia="Arial" w:hAnsi="Arial"/>
          <w:sz w:val="14"/>
          <w:szCs w:val="14"/>
          <w:b w:val="1"/>
          <w:bCs w:val="1"/>
          <w:color w:val="auto"/>
        </w:rPr>
        <w:t>Malvern, PA 19355</w:t>
      </w:r>
    </w:p>
    <w:p>
      <w:pPr>
        <w:jc w:val="center"/>
        <w:ind w:right="-99"/>
        <w:spacing w:after="0" w:line="235" w:lineRule="auto"/>
        <w:rPr>
          <w:sz w:val="20"/>
          <w:szCs w:val="20"/>
          <w:color w:val="auto"/>
        </w:rPr>
      </w:pPr>
      <w:r>
        <w:rPr>
          <w:rFonts w:ascii="Arial" w:cs="Arial" w:eastAsia="Arial" w:hAnsi="Arial"/>
          <w:sz w:val="14"/>
          <w:szCs w:val="14"/>
          <w:b w:val="1"/>
          <w:bCs w:val="1"/>
          <w:color w:val="auto"/>
        </w:rPr>
        <w:t>(484) 324-7933</w:t>
      </w: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258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9"/>
              </w:rPr>
              <w:t>Copies to:</w:t>
            </w:r>
          </w:p>
        </w:tc>
        <w:tc>
          <w:tcPr>
            <w:tcW w:w="1760" w:type="dxa"/>
            <w:vAlign w:val="bottom"/>
          </w:tcPr>
          <w:p>
            <w:pPr>
              <w:spacing w:after="0"/>
              <w:rPr>
                <w:sz w:val="16"/>
                <w:szCs w:val="16"/>
                <w:color w:val="auto"/>
              </w:rPr>
            </w:pPr>
          </w:p>
        </w:tc>
      </w:tr>
      <w:tr>
        <w:trPr>
          <w:trHeight w:val="366"/>
        </w:trPr>
        <w:tc>
          <w:tcPr>
            <w:tcW w:w="1700" w:type="dxa"/>
            <w:vAlign w:val="bottom"/>
          </w:tcPr>
          <w:p>
            <w:pPr>
              <w:jc w:val="center"/>
              <w:ind w:right="210"/>
              <w:spacing w:after="0"/>
              <w:rPr>
                <w:sz w:val="20"/>
                <w:szCs w:val="20"/>
                <w:color w:val="auto"/>
              </w:rPr>
            </w:pPr>
            <w:r>
              <w:rPr>
                <w:rFonts w:ascii="Arial" w:cs="Arial" w:eastAsia="Arial" w:hAnsi="Arial"/>
                <w:sz w:val="14"/>
                <w:szCs w:val="14"/>
                <w:b w:val="1"/>
                <w:bCs w:val="1"/>
                <w:color w:val="auto"/>
              </w:rPr>
              <w:t>Brent B. Siler</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9"/>
              </w:rPr>
              <w:t>Kamil Ali-Jackson</w:t>
            </w:r>
          </w:p>
        </w:tc>
        <w:tc>
          <w:tcPr>
            <w:tcW w:w="1760" w:type="dxa"/>
            <w:vAlign w:val="bottom"/>
          </w:tcPr>
          <w:p>
            <w:pPr>
              <w:jc w:val="center"/>
              <w:ind w:left="170"/>
              <w:spacing w:after="0"/>
              <w:rPr>
                <w:sz w:val="20"/>
                <w:szCs w:val="20"/>
                <w:color w:val="auto"/>
              </w:rPr>
            </w:pPr>
            <w:r>
              <w:rPr>
                <w:rFonts w:ascii="Arial" w:cs="Arial" w:eastAsia="Arial" w:hAnsi="Arial"/>
                <w:sz w:val="14"/>
                <w:szCs w:val="14"/>
                <w:b w:val="1"/>
                <w:bCs w:val="1"/>
                <w:color w:val="auto"/>
                <w:w w:val="98"/>
              </w:rPr>
              <w:t>Peter N. Handrinos</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w w:val="98"/>
              </w:rPr>
              <w:t>Divakar Gupta</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Chief Legal Officer</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Nathan Ajiashvili</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w w:val="96"/>
              </w:rPr>
              <w:t>Brian F. Leaf</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Aclaris Therapeutics, Inc.</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rPr>
              <w:t>Latham &amp; Watkins LLP</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rPr>
              <w:t>Cooley LLP</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101 Lindenwood Drive,</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John Hancock Tower</w:t>
            </w:r>
          </w:p>
        </w:tc>
      </w:tr>
      <w:tr>
        <w:trPr>
          <w:trHeight w:val="157"/>
        </w:trPr>
        <w:tc>
          <w:tcPr>
            <w:tcW w:w="1700" w:type="dxa"/>
            <w:vAlign w:val="bottom"/>
          </w:tcPr>
          <w:p>
            <w:pPr>
              <w:jc w:val="center"/>
              <w:ind w:right="210"/>
              <w:spacing w:after="0" w:line="157" w:lineRule="exact"/>
              <w:rPr>
                <w:sz w:val="20"/>
                <w:szCs w:val="20"/>
                <w:color w:val="auto"/>
              </w:rPr>
            </w:pPr>
            <w:r>
              <w:rPr>
                <w:rFonts w:ascii="Arial" w:cs="Arial" w:eastAsia="Arial" w:hAnsi="Arial"/>
                <w:sz w:val="14"/>
                <w:szCs w:val="14"/>
                <w:b w:val="1"/>
                <w:bCs w:val="1"/>
                <w:color w:val="auto"/>
              </w:rPr>
              <w:t>11951 Freedom Drive</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Suite 400</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200 Clarendon Street</w:t>
            </w:r>
          </w:p>
        </w:tc>
      </w:tr>
      <w:tr>
        <w:trPr>
          <w:trHeight w:val="157"/>
        </w:trPr>
        <w:tc>
          <w:tcPr>
            <w:tcW w:w="1700" w:type="dxa"/>
            <w:vAlign w:val="bottom"/>
          </w:tcPr>
          <w:p>
            <w:pPr>
              <w:jc w:val="center"/>
              <w:ind w:right="230"/>
              <w:spacing w:after="0" w:line="157" w:lineRule="exact"/>
              <w:rPr>
                <w:sz w:val="20"/>
                <w:szCs w:val="20"/>
                <w:color w:val="auto"/>
              </w:rPr>
            </w:pPr>
            <w:r>
              <w:rPr>
                <w:rFonts w:ascii="Arial" w:cs="Arial" w:eastAsia="Arial" w:hAnsi="Arial"/>
                <w:sz w:val="14"/>
                <w:szCs w:val="14"/>
                <w:b w:val="1"/>
                <w:bCs w:val="1"/>
                <w:color w:val="auto"/>
                <w:w w:val="98"/>
              </w:rPr>
              <w:t>Reston, VA 20190</w:t>
            </w:r>
          </w:p>
        </w:tc>
        <w:tc>
          <w:tcPr>
            <w:tcW w:w="2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Malvern, PA 19355</w:t>
            </w:r>
          </w:p>
        </w:tc>
        <w:tc>
          <w:tcPr>
            <w:tcW w:w="1760" w:type="dxa"/>
            <w:vAlign w:val="bottom"/>
          </w:tcPr>
          <w:p>
            <w:pPr>
              <w:jc w:val="center"/>
              <w:ind w:left="170"/>
              <w:spacing w:after="0" w:line="157" w:lineRule="exact"/>
              <w:rPr>
                <w:sz w:val="20"/>
                <w:szCs w:val="20"/>
                <w:color w:val="auto"/>
              </w:rPr>
            </w:pPr>
            <w:r>
              <w:rPr>
                <w:rFonts w:ascii="Arial" w:cs="Arial" w:eastAsia="Arial" w:hAnsi="Arial"/>
                <w:sz w:val="14"/>
                <w:szCs w:val="14"/>
                <w:b w:val="1"/>
                <w:bCs w:val="1"/>
                <w:color w:val="auto"/>
                <w:w w:val="99"/>
              </w:rPr>
              <w:t>Boston, MA 02116</w:t>
            </w:r>
          </w:p>
        </w:tc>
      </w:tr>
      <w:tr>
        <w:trPr>
          <w:trHeight w:val="184"/>
        </w:trPr>
        <w:tc>
          <w:tcPr>
            <w:tcW w:w="1700" w:type="dxa"/>
            <w:vAlign w:val="bottom"/>
          </w:tcPr>
          <w:p>
            <w:pPr>
              <w:jc w:val="center"/>
              <w:ind w:right="210"/>
              <w:spacing w:after="0"/>
              <w:rPr>
                <w:sz w:val="20"/>
                <w:szCs w:val="20"/>
                <w:color w:val="auto"/>
              </w:rPr>
            </w:pPr>
            <w:r>
              <w:rPr>
                <w:rFonts w:ascii="Arial" w:cs="Arial" w:eastAsia="Arial" w:hAnsi="Arial"/>
                <w:sz w:val="14"/>
                <w:szCs w:val="14"/>
                <w:b w:val="1"/>
                <w:bCs w:val="1"/>
                <w:color w:val="auto"/>
                <w:w w:val="98"/>
              </w:rPr>
              <w:t>(703) 456-8000</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rPr>
              <w:t>(484) 324-7933</w:t>
            </w:r>
          </w:p>
        </w:tc>
        <w:tc>
          <w:tcPr>
            <w:tcW w:w="1760" w:type="dxa"/>
            <w:vAlign w:val="bottom"/>
          </w:tcPr>
          <w:p>
            <w:pPr>
              <w:jc w:val="center"/>
              <w:ind w:left="170"/>
              <w:spacing w:after="0"/>
              <w:rPr>
                <w:sz w:val="20"/>
                <w:szCs w:val="20"/>
                <w:color w:val="auto"/>
              </w:rPr>
            </w:pPr>
            <w:r>
              <w:rPr>
                <w:rFonts w:ascii="Arial" w:cs="Arial" w:eastAsia="Arial" w:hAnsi="Arial"/>
                <w:sz w:val="14"/>
                <w:szCs w:val="14"/>
                <w:b w:val="1"/>
                <w:bCs w:val="1"/>
                <w:color w:val="auto"/>
              </w:rPr>
              <w:t>(617) 948-6000</w:t>
            </w:r>
          </w:p>
        </w:tc>
      </w:tr>
      <w:tr>
        <w:trPr>
          <w:trHeight w:val="194"/>
        </w:trPr>
        <w:tc>
          <w:tcPr>
            <w:tcW w:w="1700" w:type="dxa"/>
            <w:vAlign w:val="bottom"/>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760" w:type="dxa"/>
            <w:vAlign w:val="bottom"/>
          </w:tcPr>
          <w:p>
            <w:pPr>
              <w:spacing w:after="0"/>
              <w:rPr>
                <w:sz w:val="16"/>
                <w:szCs w:val="16"/>
                <w:color w:val="auto"/>
              </w:rPr>
            </w:pPr>
          </w:p>
        </w:tc>
      </w:tr>
    </w:tbl>
    <w:p>
      <w:pPr>
        <w:spacing w:after="0" w:line="200" w:lineRule="exact"/>
        <w:rPr>
          <w:sz w:val="24"/>
          <w:szCs w:val="24"/>
          <w:color w:val="auto"/>
        </w:rPr>
      </w:pP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127635</wp:posOffset>
            </wp:positionV>
            <wp:extent cx="1823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360"/>
        <w:spacing w:after="0" w:line="245"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209" w:lineRule="exact"/>
        <w:rPr>
          <w:sz w:val="24"/>
          <w:szCs w:val="24"/>
          <w:color w:val="auto"/>
        </w:rPr>
      </w:pPr>
    </w:p>
    <w:p>
      <w:pPr>
        <w:ind w:right="500"/>
        <w:spacing w:after="0" w:line="245"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spacing w:after="0" w:line="245"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9" w:lineRule="exact"/>
        <w:rPr>
          <w:sz w:val="24"/>
          <w:szCs w:val="24"/>
          <w:color w:val="auto"/>
        </w:rPr>
      </w:pPr>
    </w:p>
    <w:p>
      <w:pPr>
        <w:ind w:right="220"/>
        <w:spacing w:after="0" w:line="245"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ectPr>
          <w:pgSz w:w="11900" w:h="16838" w:orient="portrait"/>
          <w:cols w:equalWidth="0" w:num="1">
            <w:col w:w="11340"/>
          </w:cols>
          <w:pgMar w:left="240" w:top="669" w:right="319" w:bottom="0" w:gutter="0" w:footer="0" w:header="0"/>
        </w:sectPr>
      </w:pPr>
    </w:p>
    <w:bookmarkStart w:id="1" w:name="page2"/>
    <w:bookmarkEnd w:id="1"/>
    <w:p>
      <w:pPr>
        <w:ind w:right="340"/>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under the Securities Exchange Act of 1934. (Check one):</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1820" w:type="dxa"/>
            <w:vAlign w:val="bottom"/>
            <w:gridSpan w:val="2"/>
          </w:tcPr>
          <w:p>
            <w:pPr>
              <w:spacing w:after="0"/>
              <w:rPr>
                <w:sz w:val="20"/>
                <w:szCs w:val="20"/>
                <w:color w:val="auto"/>
              </w:rPr>
            </w:pPr>
            <w:r>
              <w:rPr>
                <w:rFonts w:ascii="Arial" w:cs="Arial" w:eastAsia="Arial" w:hAnsi="Arial"/>
                <w:sz w:val="14"/>
                <w:szCs w:val="14"/>
                <w:color w:val="auto"/>
              </w:rPr>
              <w:t>Large accelerated filer o</w:t>
            </w:r>
          </w:p>
        </w:tc>
        <w:tc>
          <w:tcPr>
            <w:tcW w:w="2960" w:type="dxa"/>
            <w:vAlign w:val="bottom"/>
            <w:gridSpan w:val="2"/>
          </w:tcPr>
          <w:p>
            <w:pPr>
              <w:ind w:left="860"/>
              <w:spacing w:after="0"/>
              <w:rPr>
                <w:sz w:val="20"/>
                <w:szCs w:val="20"/>
                <w:color w:val="auto"/>
              </w:rPr>
            </w:pPr>
            <w:r>
              <w:rPr>
                <w:rFonts w:ascii="Arial" w:cs="Arial" w:eastAsia="Arial" w:hAnsi="Arial"/>
                <w:sz w:val="14"/>
                <w:szCs w:val="14"/>
                <w:color w:val="auto"/>
              </w:rPr>
              <w:t>Accelerated filer o</w:t>
            </w:r>
          </w:p>
        </w:tc>
        <w:tc>
          <w:tcPr>
            <w:tcW w:w="2680" w:type="dxa"/>
            <w:vAlign w:val="bottom"/>
            <w:gridSpan w:val="2"/>
          </w:tcPr>
          <w:p>
            <w:pPr>
              <w:jc w:val="center"/>
              <w:ind w:right="400"/>
              <w:spacing w:after="0" w:line="161" w:lineRule="exact"/>
              <w:rPr>
                <w:sz w:val="20"/>
                <w:szCs w:val="20"/>
                <w:color w:val="auto"/>
              </w:rPr>
            </w:pPr>
            <w:r>
              <w:rPr>
                <w:rFonts w:ascii="Arial" w:cs="Arial" w:eastAsia="Arial" w:hAnsi="Arial"/>
                <w:sz w:val="14"/>
                <w:szCs w:val="14"/>
                <w:color w:val="auto"/>
                <w:w w:val="97"/>
              </w:rPr>
              <w:t xml:space="preserve">Non-accelerated filer </w:t>
            </w:r>
            <w:r>
              <w:rPr>
                <w:rFonts w:ascii="MS PGothic" w:cs="MS PGothic" w:eastAsia="MS PGothic" w:hAnsi="MS PGothic"/>
                <w:sz w:val="14"/>
                <w:szCs w:val="14"/>
                <w:color w:val="auto"/>
                <w:w w:val="97"/>
              </w:rPr>
              <w:t>☒</w:t>
            </w:r>
          </w:p>
        </w:tc>
        <w:tc>
          <w:tcPr>
            <w:tcW w:w="2640" w:type="dxa"/>
            <w:vAlign w:val="bottom"/>
            <w:gridSpan w:val="2"/>
          </w:tcPr>
          <w:p>
            <w:pPr>
              <w:ind w:left="860"/>
              <w:spacing w:after="0"/>
              <w:rPr>
                <w:sz w:val="20"/>
                <w:szCs w:val="20"/>
                <w:color w:val="auto"/>
              </w:rPr>
            </w:pPr>
            <w:r>
              <w:rPr>
                <w:rFonts w:ascii="Arial" w:cs="Arial" w:eastAsia="Arial" w:hAnsi="Arial"/>
                <w:sz w:val="14"/>
                <w:szCs w:val="14"/>
                <w:color w:val="auto"/>
                <w:w w:val="98"/>
              </w:rPr>
              <w:t>Smaller reporting company o</w:t>
            </w:r>
          </w:p>
        </w:tc>
      </w:tr>
      <w:tr>
        <w:trPr>
          <w:trHeight w:val="157"/>
        </w:trPr>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8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w w:val="99"/>
              </w:rPr>
              <w:t>(Do not check if a</w:t>
            </w:r>
          </w:p>
        </w:tc>
        <w:tc>
          <w:tcPr>
            <w:tcW w:w="16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8"/>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smaller reporting company)</w:t>
            </w: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4"/>
        </w:trPr>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60" w:type="dxa"/>
            <w:vAlign w:val="bottom"/>
            <w:tcBorders>
              <w:bottom w:val="single" w:sz="8" w:color="auto"/>
            </w:tcBorders>
            <w:gridSpan w:val="2"/>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38"/>
        </w:trPr>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780" w:type="dxa"/>
            <w:vAlign w:val="bottom"/>
            <w:gridSpan w:val="3"/>
          </w:tcPr>
          <w:p>
            <w:pPr>
              <w:ind w:left="120"/>
              <w:spacing w:after="0"/>
              <w:rPr>
                <w:sz w:val="20"/>
                <w:szCs w:val="20"/>
                <w:color w:val="auto"/>
              </w:rPr>
            </w:pPr>
            <w:r>
              <w:rPr>
                <w:rFonts w:ascii="Arial" w:cs="Arial" w:eastAsia="Arial" w:hAnsi="Arial"/>
                <w:sz w:val="14"/>
                <w:szCs w:val="14"/>
                <w:b w:val="1"/>
                <w:bCs w:val="1"/>
                <w:color w:val="auto"/>
              </w:rPr>
              <w:t>CALCULATION OF REGISTRATION FEE</w:t>
            </w: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25"/>
        </w:trPr>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80" w:type="dxa"/>
            <w:vAlign w:val="bottom"/>
            <w:gridSpan w:val="2"/>
          </w:tcPr>
          <w:p>
            <w:pPr>
              <w:jc w:val="center"/>
              <w:ind w:left="693"/>
              <w:spacing w:after="0" w:line="125" w:lineRule="exact"/>
              <w:rPr>
                <w:sz w:val="20"/>
                <w:szCs w:val="20"/>
                <w:color w:val="auto"/>
              </w:rPr>
            </w:pPr>
            <w:r>
              <w:rPr>
                <w:rFonts w:ascii="Arial" w:cs="Arial" w:eastAsia="Arial" w:hAnsi="Arial"/>
                <w:sz w:val="14"/>
                <w:szCs w:val="14"/>
                <w:b w:val="1"/>
                <w:bCs w:val="1"/>
                <w:color w:val="auto"/>
                <w:w w:val="99"/>
              </w:rPr>
              <w:t>Proposed Maximum</w:t>
            </w: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6"/>
        </w:trPr>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2"/>
          </w:tcPr>
          <w:p>
            <w:pPr>
              <w:jc w:val="center"/>
              <w:ind w:left="693"/>
              <w:spacing w:after="0"/>
              <w:rPr>
                <w:sz w:val="20"/>
                <w:szCs w:val="20"/>
                <w:color w:val="auto"/>
              </w:rPr>
            </w:pPr>
            <w:r>
              <w:rPr>
                <w:rFonts w:ascii="Arial" w:cs="Arial" w:eastAsia="Arial" w:hAnsi="Arial"/>
                <w:sz w:val="14"/>
                <w:szCs w:val="14"/>
                <w:b w:val="1"/>
                <w:bCs w:val="1"/>
                <w:color w:val="auto"/>
              </w:rPr>
              <w:t>Aggregate Offering</w:t>
            </w:r>
          </w:p>
        </w:tc>
        <w:tc>
          <w:tcPr>
            <w:tcW w:w="26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9"/>
              </w:rPr>
              <w:t>Amount of</w:t>
            </w:r>
          </w:p>
        </w:tc>
      </w:tr>
      <w:tr>
        <w:trPr>
          <w:trHeight w:val="213"/>
        </w:trPr>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Title of Securities being Registered</w:t>
            </w:r>
          </w:p>
        </w:tc>
        <w:tc>
          <w:tcPr>
            <w:tcW w:w="2680" w:type="dxa"/>
            <w:vAlign w:val="bottom"/>
            <w:gridSpan w:val="2"/>
          </w:tcPr>
          <w:p>
            <w:pPr>
              <w:jc w:val="center"/>
              <w:ind w:left="693"/>
              <w:spacing w:after="0" w:line="213" w:lineRule="exact"/>
              <w:rPr>
                <w:sz w:val="20"/>
                <w:szCs w:val="20"/>
                <w:color w:val="auto"/>
              </w:rPr>
            </w:pPr>
            <w:r>
              <w:rPr>
                <w:rFonts w:ascii="Arial" w:cs="Arial" w:eastAsia="Arial" w:hAnsi="Arial"/>
                <w:sz w:val="24"/>
                <w:szCs w:val="24"/>
                <w:b w:val="1"/>
                <w:bCs w:val="1"/>
                <w:color w:val="auto"/>
                <w:w w:val="94"/>
                <w:vertAlign w:val="subscript"/>
              </w:rPr>
              <w:t>Price</w:t>
            </w:r>
            <w:r>
              <w:rPr>
                <w:rFonts w:ascii="Arial" w:cs="Arial" w:eastAsia="Arial" w:hAnsi="Arial"/>
                <w:sz w:val="10"/>
                <w:szCs w:val="10"/>
                <w:b w:val="1"/>
                <w:bCs w:val="1"/>
                <w:color w:val="auto"/>
                <w:w w:val="94"/>
              </w:rPr>
              <w:t>(1)(2)</w:t>
            </w:r>
          </w:p>
        </w:tc>
        <w:tc>
          <w:tcPr>
            <w:tcW w:w="26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Registration Fee</w:t>
            </w:r>
          </w:p>
        </w:tc>
      </w:tr>
      <w:tr>
        <w:trPr>
          <w:trHeight w:val="171"/>
        </w:trPr>
        <w:tc>
          <w:tcPr>
            <w:tcW w:w="1100" w:type="dxa"/>
            <w:vAlign w:val="bottom"/>
          </w:tcPr>
          <w:p>
            <w:pPr>
              <w:spacing w:after="0"/>
              <w:rPr>
                <w:sz w:val="14"/>
                <w:szCs w:val="14"/>
                <w:color w:val="auto"/>
              </w:rPr>
            </w:pPr>
          </w:p>
        </w:tc>
        <w:tc>
          <w:tcPr>
            <w:tcW w:w="3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Common Stock, $0.00001 par value per share</w:t>
            </w:r>
          </w:p>
        </w:tc>
        <w:tc>
          <w:tcPr>
            <w:tcW w:w="1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14" w:lineRule="exact"/>
        <w:rPr>
          <w:sz w:val="20"/>
          <w:szCs w:val="20"/>
          <w:color w:val="auto"/>
        </w:rPr>
      </w:pPr>
    </w:p>
    <w:p>
      <w:pPr>
        <w:ind w:left="520" w:hanging="515"/>
        <w:spacing w:after="0" w:line="194" w:lineRule="auto"/>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In accordance with Rule 457(o) under the Securities Act of 1933, as amended, the number of shares being registered and the proposed maximum offering price per share are not included in this table.</w:t>
      </w:r>
    </w:p>
    <w:p>
      <w:pPr>
        <w:spacing w:after="0" w:line="73" w:lineRule="exact"/>
        <w:rPr>
          <w:rFonts w:ascii="Arial" w:cs="Arial" w:eastAsia="Arial" w:hAnsi="Arial"/>
          <w:sz w:val="21"/>
          <w:szCs w:val="21"/>
          <w:color w:val="auto"/>
          <w:vertAlign w:val="superscript"/>
        </w:rPr>
      </w:pPr>
    </w:p>
    <w:p>
      <w:pPr>
        <w:ind w:left="520" w:hanging="515"/>
        <w:spacing w:after="0"/>
        <w:tabs>
          <w:tab w:leader="none" w:pos="52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Estimated solely for purposes of computing the amount of the registration fee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123190</wp:posOffset>
            </wp:positionV>
            <wp:extent cx="1823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300"/>
        <w:spacing w:after="0" w:line="25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523875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4" w:right="39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FF4040"/>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we are not soliciting offers to buy these securities in any jurisdiction where the offer or sale is not permitted.</w:t>
      </w:r>
    </w:p>
    <w:p>
      <w:pPr>
        <w:spacing w:after="0" w:line="1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FF4040"/>
        </w:rPr>
        <w:t>SUBJECT TO COMPLETION, DATED MAY 14, 2015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194"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154305</wp:posOffset>
            </wp:positionV>
            <wp:extent cx="2280920" cy="923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92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46"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are offering shares of our common stock. This is our initial public offering and no public market currently exists for our common stock. We expect the initial public offering price to be between $ and $ per share. We intend to apply to list our common stock on The NASDAQ Global Market under the symbol "ACRS."</w:t>
      </w:r>
    </w:p>
    <w:p>
      <w:pPr>
        <w:spacing w:after="0" w:line="179" w:lineRule="exact"/>
        <w:rPr>
          <w:sz w:val="20"/>
          <w:szCs w:val="20"/>
          <w:color w:val="auto"/>
        </w:rPr>
      </w:pPr>
    </w:p>
    <w:p>
      <w:pPr>
        <w:ind w:right="780"/>
        <w:spacing w:after="0" w:line="276" w:lineRule="auto"/>
        <w:rPr>
          <w:sz w:val="20"/>
          <w:szCs w:val="20"/>
          <w:color w:val="auto"/>
        </w:rPr>
      </w:pPr>
      <w:r>
        <w:rPr>
          <w:rFonts w:ascii="Arial" w:cs="Arial" w:eastAsia="Arial" w:hAnsi="Arial"/>
          <w:sz w:val="17"/>
          <w:szCs w:val="17"/>
          <w:b w:val="1"/>
          <w:bCs w:val="1"/>
          <w:color w:val="auto"/>
        </w:rPr>
        <w:t>We are an "emerging growth company" as defined in Section 2(a) of the Securities Act of 1933 and will be subject to reduced public company reporting requirements. See "Prospectus Summary — Implications of Being an Emerging Growth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Please read "Risk Factors" beginning on page 10 of this prospectus.</w:t>
      </w:r>
    </w:p>
    <w:p>
      <w:pPr>
        <w:spacing w:after="0" w:line="2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6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Public offering price</w:t>
            </w:r>
          </w:p>
        </w:tc>
        <w:tc>
          <w:tcPr>
            <w:tcW w:w="3840" w:type="dxa"/>
            <w:vAlign w:val="bottom"/>
            <w:gridSpan w:val="2"/>
          </w:tcPr>
          <w:p>
            <w:pPr>
              <w:jc w:val="right"/>
              <w:ind w:right="850"/>
              <w:spacing w:after="0" w:line="193" w:lineRule="exact"/>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r>
      <w:tr>
        <w:trPr>
          <w:trHeight w:val="236"/>
        </w:trPr>
        <w:tc>
          <w:tcPr>
            <w:tcW w:w="6000" w:type="dxa"/>
            <w:vAlign w:val="bottom"/>
          </w:tcPr>
          <w:p>
            <w:pPr>
              <w:spacing w:after="0" w:line="236" w:lineRule="exact"/>
              <w:rPr>
                <w:sz w:val="20"/>
                <w:szCs w:val="20"/>
                <w:color w:val="auto"/>
              </w:rPr>
            </w:pPr>
            <w:r>
              <w:rPr>
                <w:rFonts w:ascii="Arial" w:cs="Arial" w:eastAsia="Arial" w:hAnsi="Arial"/>
                <w:sz w:val="17"/>
                <w:szCs w:val="17"/>
                <w:color w:val="auto"/>
              </w:rPr>
              <w:t>Underwriting discount and commissions</w:t>
            </w:r>
            <w:r>
              <w:rPr>
                <w:rFonts w:ascii="Arial" w:cs="Arial" w:eastAsia="Arial" w:hAnsi="Arial"/>
                <w:sz w:val="27"/>
                <w:szCs w:val="27"/>
                <w:color w:val="auto"/>
                <w:vertAlign w:val="superscript"/>
              </w:rPr>
              <w:t>(1)</w:t>
            </w:r>
          </w:p>
        </w:tc>
        <w:tc>
          <w:tcPr>
            <w:tcW w:w="384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Proceeds to us, before expenses</w:t>
            </w:r>
          </w:p>
        </w:tc>
        <w:tc>
          <w:tcPr>
            <w:tcW w:w="3840" w:type="dxa"/>
            <w:vAlign w:val="bottom"/>
            <w:gridSpan w:val="2"/>
          </w:tcPr>
          <w:p>
            <w:pPr>
              <w:jc w:val="right"/>
              <w:ind w:right="85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11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r>
      <w:tr>
        <w:trPr>
          <w:trHeight w:val="94"/>
        </w:trPr>
        <w:tc>
          <w:tcPr>
            <w:tcW w:w="600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pacing w:after="0" w:line="141" w:lineRule="exact"/>
        <w:rPr>
          <w:sz w:val="20"/>
          <w:szCs w:val="20"/>
          <w:color w:val="auto"/>
        </w:rPr>
      </w:pPr>
    </w:p>
    <w:p>
      <w:pPr>
        <w:ind w:left="520" w:hanging="515"/>
        <w:spacing w:after="0"/>
        <w:tabs>
          <w:tab w:leader="none" w:pos="520"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See "Underwriting" in this prospectus for a description of compensation payable to the underwriters.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gridSpan w:val="2"/>
          </w:tcPr>
          <w:p>
            <w:pPr>
              <w:spacing w:after="0"/>
              <w:rPr>
                <w:sz w:val="20"/>
                <w:szCs w:val="20"/>
                <w:color w:val="auto"/>
              </w:rPr>
            </w:pPr>
            <w:r>
              <w:rPr>
                <w:rFonts w:ascii="Arial" w:cs="Arial" w:eastAsia="Arial" w:hAnsi="Arial"/>
                <w:sz w:val="17"/>
                <w:szCs w:val="17"/>
                <w:color w:val="auto"/>
              </w:rPr>
              <w:t>Delivery of the shares of common stock is expected to be made on or about</w:t>
            </w:r>
          </w:p>
        </w:tc>
        <w:tc>
          <w:tcPr>
            <w:tcW w:w="4840" w:type="dxa"/>
            <w:vAlign w:val="bottom"/>
            <w:gridSpan w:val="2"/>
          </w:tcPr>
          <w:p>
            <w:pPr>
              <w:ind w:left="160"/>
              <w:spacing w:after="0"/>
              <w:rPr>
                <w:sz w:val="20"/>
                <w:szCs w:val="20"/>
                <w:color w:val="auto"/>
              </w:rPr>
            </w:pPr>
            <w:r>
              <w:rPr>
                <w:rFonts w:ascii="Arial" w:cs="Arial" w:eastAsia="Arial" w:hAnsi="Arial"/>
                <w:sz w:val="17"/>
                <w:szCs w:val="17"/>
                <w:color w:val="auto"/>
              </w:rPr>
              <w:t>, 2015. We have granted the underwriters an option for a</w:t>
            </w:r>
          </w:p>
        </w:tc>
      </w:tr>
      <w:tr>
        <w:trPr>
          <w:trHeight w:val="197"/>
        </w:trPr>
        <w:tc>
          <w:tcPr>
            <w:tcW w:w="3920" w:type="dxa"/>
            <w:vAlign w:val="bottom"/>
          </w:tcPr>
          <w:p>
            <w:pPr>
              <w:spacing w:after="0"/>
              <w:rPr>
                <w:sz w:val="20"/>
                <w:szCs w:val="20"/>
                <w:color w:val="auto"/>
              </w:rPr>
            </w:pPr>
            <w:r>
              <w:rPr>
                <w:rFonts w:ascii="Arial" w:cs="Arial" w:eastAsia="Arial" w:hAnsi="Arial"/>
                <w:sz w:val="17"/>
                <w:szCs w:val="17"/>
                <w:color w:val="auto"/>
              </w:rPr>
              <w:t>period of 30 days to purchase an additional</w:t>
            </w:r>
          </w:p>
        </w:tc>
        <w:tc>
          <w:tcPr>
            <w:tcW w:w="7500" w:type="dxa"/>
            <w:vAlign w:val="bottom"/>
            <w:gridSpan w:val="3"/>
          </w:tcPr>
          <w:p>
            <w:pPr>
              <w:ind w:left="60"/>
              <w:spacing w:after="0"/>
              <w:rPr>
                <w:sz w:val="20"/>
                <w:szCs w:val="20"/>
                <w:color w:val="auto"/>
              </w:rPr>
            </w:pPr>
            <w:r>
              <w:rPr>
                <w:rFonts w:ascii="Arial" w:cs="Arial" w:eastAsia="Arial" w:hAnsi="Arial"/>
                <w:sz w:val="17"/>
                <w:szCs w:val="17"/>
                <w:color w:val="auto"/>
              </w:rPr>
              <w:t>shares of our common stock. If the underwriters exercise the option in full, the total underwriting</w:t>
            </w:r>
          </w:p>
        </w:tc>
      </w:tr>
      <w:tr>
        <w:trPr>
          <w:trHeight w:val="204"/>
        </w:trPr>
        <w:tc>
          <w:tcPr>
            <w:tcW w:w="3920" w:type="dxa"/>
            <w:vAlign w:val="bottom"/>
          </w:tcPr>
          <w:p>
            <w:pPr>
              <w:spacing w:after="0"/>
              <w:rPr>
                <w:sz w:val="20"/>
                <w:szCs w:val="20"/>
                <w:color w:val="auto"/>
              </w:rPr>
            </w:pPr>
            <w:r>
              <w:rPr>
                <w:rFonts w:ascii="Arial" w:cs="Arial" w:eastAsia="Arial" w:hAnsi="Arial"/>
                <w:sz w:val="17"/>
                <w:szCs w:val="17"/>
                <w:color w:val="auto"/>
              </w:rPr>
              <w:t>discounts and commissions payable by us will be $</w:t>
            </w:r>
          </w:p>
        </w:tc>
        <w:tc>
          <w:tcPr>
            <w:tcW w:w="5820" w:type="dxa"/>
            <w:vAlign w:val="bottom"/>
            <w:gridSpan w:val="2"/>
          </w:tcPr>
          <w:p>
            <w:pPr>
              <w:jc w:val="right"/>
              <w:ind w:right="284"/>
              <w:spacing w:after="0"/>
              <w:rPr>
                <w:sz w:val="20"/>
                <w:szCs w:val="20"/>
                <w:color w:val="auto"/>
              </w:rPr>
            </w:pPr>
            <w:r>
              <w:rPr>
                <w:rFonts w:ascii="Arial" w:cs="Arial" w:eastAsia="Arial" w:hAnsi="Arial"/>
                <w:sz w:val="17"/>
                <w:szCs w:val="17"/>
                <w:color w:val="auto"/>
              </w:rPr>
              <w:t>million, and the total proceeds to us, before expenses, will be $</w:t>
            </w:r>
          </w:p>
        </w:tc>
        <w:tc>
          <w:tcPr>
            <w:tcW w:w="1680" w:type="dxa"/>
            <w:vAlign w:val="bottom"/>
          </w:tcPr>
          <w:p>
            <w:pPr>
              <w:ind w:left="380"/>
              <w:spacing w:after="0"/>
              <w:rPr>
                <w:sz w:val="20"/>
                <w:szCs w:val="20"/>
                <w:color w:val="auto"/>
              </w:rPr>
            </w:pPr>
            <w:r>
              <w:rPr>
                <w:rFonts w:ascii="Arial" w:cs="Arial" w:eastAsia="Arial" w:hAnsi="Arial"/>
                <w:sz w:val="17"/>
                <w:szCs w:val="17"/>
                <w:color w:val="auto"/>
              </w:rPr>
              <w:t>million.</w:t>
            </w:r>
          </w:p>
        </w:tc>
      </w:tr>
      <w:tr>
        <w:trPr>
          <w:trHeight w:val="479"/>
        </w:trPr>
        <w:tc>
          <w:tcPr>
            <w:tcW w:w="3920" w:type="dxa"/>
            <w:vAlign w:val="bottom"/>
          </w:tcPr>
          <w:p>
            <w:pPr>
              <w:ind w:left="1160"/>
              <w:spacing w:after="0"/>
              <w:rPr>
                <w:sz w:val="20"/>
                <w:szCs w:val="20"/>
                <w:color w:val="auto"/>
              </w:rPr>
            </w:pPr>
            <w:r>
              <w:rPr>
                <w:rFonts w:ascii="Arial" w:cs="Arial" w:eastAsia="Arial" w:hAnsi="Arial"/>
                <w:sz w:val="24"/>
                <w:szCs w:val="24"/>
                <w:b w:val="1"/>
                <w:bCs w:val="1"/>
                <w:color w:val="auto"/>
              </w:rPr>
              <w:t>Jefferies</w:t>
            </w:r>
          </w:p>
        </w:tc>
        <w:tc>
          <w:tcPr>
            <w:tcW w:w="2660" w:type="dxa"/>
            <w:vAlign w:val="bottom"/>
          </w:tcPr>
          <w:p>
            <w:pPr>
              <w:spacing w:after="0"/>
              <w:rPr>
                <w:sz w:val="24"/>
                <w:szCs w:val="24"/>
                <w:color w:val="auto"/>
              </w:rPr>
            </w:pPr>
          </w:p>
        </w:tc>
        <w:tc>
          <w:tcPr>
            <w:tcW w:w="4840" w:type="dxa"/>
            <w:vAlign w:val="bottom"/>
            <w:gridSpan w:val="2"/>
          </w:tcPr>
          <w:p>
            <w:pPr>
              <w:ind w:left="2640"/>
              <w:spacing w:after="0"/>
              <w:rPr>
                <w:sz w:val="20"/>
                <w:szCs w:val="20"/>
                <w:color w:val="auto"/>
              </w:rPr>
            </w:pPr>
            <w:r>
              <w:rPr>
                <w:rFonts w:ascii="Arial" w:cs="Arial" w:eastAsia="Arial" w:hAnsi="Arial"/>
                <w:sz w:val="24"/>
                <w:szCs w:val="24"/>
                <w:b w:val="1"/>
                <w:bCs w:val="1"/>
                <w:color w:val="auto"/>
              </w:rPr>
              <w:t>Citigroup</w:t>
            </w:r>
          </w:p>
        </w:tc>
      </w:tr>
      <w:tr>
        <w:trPr>
          <w:trHeight w:val="590"/>
        </w:trPr>
        <w:tc>
          <w:tcPr>
            <w:tcW w:w="3920" w:type="dxa"/>
            <w:vAlign w:val="bottom"/>
          </w:tcPr>
          <w:p>
            <w:pPr>
              <w:spacing w:after="0"/>
              <w:rPr>
                <w:sz w:val="24"/>
                <w:szCs w:val="24"/>
                <w:color w:val="auto"/>
              </w:rPr>
            </w:pPr>
          </w:p>
        </w:tc>
        <w:tc>
          <w:tcPr>
            <w:tcW w:w="2660" w:type="dxa"/>
            <w:vAlign w:val="bottom"/>
          </w:tcPr>
          <w:p>
            <w:pPr>
              <w:ind w:left="1080"/>
              <w:spacing w:after="0"/>
              <w:rPr>
                <w:sz w:val="20"/>
                <w:szCs w:val="20"/>
                <w:color w:val="auto"/>
              </w:rPr>
            </w:pPr>
            <w:r>
              <w:rPr>
                <w:rFonts w:ascii="Arial" w:cs="Arial" w:eastAsia="Arial" w:hAnsi="Arial"/>
                <w:sz w:val="24"/>
                <w:szCs w:val="24"/>
                <w:b w:val="1"/>
                <w:bCs w:val="1"/>
                <w:color w:val="auto"/>
              </w:rPr>
              <w:t>William Blair</w:t>
            </w:r>
          </w:p>
        </w:tc>
        <w:tc>
          <w:tcPr>
            <w:tcW w:w="3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88"/>
        </w:trPr>
        <w:tc>
          <w:tcPr>
            <w:tcW w:w="3920" w:type="dxa"/>
            <w:vAlign w:val="bottom"/>
          </w:tcPr>
          <w:p>
            <w:pPr>
              <w:spacing w:after="0"/>
              <w:rPr>
                <w:sz w:val="24"/>
                <w:szCs w:val="24"/>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Prospectus dated</w:t>
            </w:r>
          </w:p>
        </w:tc>
        <w:tc>
          <w:tcPr>
            <w:tcW w:w="3160" w:type="dxa"/>
            <w:vAlign w:val="bottom"/>
          </w:tcPr>
          <w:p>
            <w:pPr>
              <w:jc w:val="right"/>
              <w:ind w:right="2344"/>
              <w:spacing w:after="0"/>
              <w:rPr>
                <w:sz w:val="20"/>
                <w:szCs w:val="20"/>
                <w:color w:val="auto"/>
              </w:rPr>
            </w:pPr>
            <w:r>
              <w:rPr>
                <w:rFonts w:ascii="Arial" w:cs="Arial" w:eastAsia="Arial" w:hAnsi="Arial"/>
                <w:sz w:val="17"/>
                <w:szCs w:val="17"/>
                <w:color w:val="auto"/>
              </w:rPr>
              <w:t>, 2015</w:t>
            </w:r>
          </w:p>
        </w:tc>
        <w:tc>
          <w:tcPr>
            <w:tcW w:w="1680" w:type="dxa"/>
            <w:vAlign w:val="bottom"/>
          </w:tcPr>
          <w:p>
            <w:pPr>
              <w:spacing w:after="0"/>
              <w:rPr>
                <w:sz w:val="24"/>
                <w:szCs w:val="24"/>
                <w:color w:val="auto"/>
              </w:rPr>
            </w:pPr>
          </w:p>
        </w:tc>
      </w:tr>
      <w:tr>
        <w:trPr>
          <w:trHeight w:val="209"/>
        </w:trPr>
        <w:tc>
          <w:tcPr>
            <w:tcW w:w="392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6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8255"/>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1320" w:type="dxa"/>
            <w:vAlign w:val="bottom"/>
          </w:tcPr>
          <w:p>
            <w:pPr>
              <w:spacing w:after="0"/>
              <w:rPr>
                <w:sz w:val="14"/>
                <w:szCs w:val="14"/>
                <w:color w:val="auto"/>
              </w:rPr>
            </w:pPr>
          </w:p>
        </w:tc>
      </w:tr>
      <w:tr>
        <w:trPr>
          <w:trHeight w:val="373"/>
        </w:trPr>
        <w:tc>
          <w:tcPr>
            <w:tcW w:w="1160" w:type="dxa"/>
            <w:vAlign w:val="bottom"/>
          </w:tcPr>
          <w:p>
            <w:pPr>
              <w:spacing w:after="0"/>
              <w:rPr>
                <w:sz w:val="24"/>
                <w:szCs w:val="24"/>
                <w:color w:val="auto"/>
              </w:rPr>
            </w:pPr>
          </w:p>
        </w:tc>
        <w:tc>
          <w:tcPr>
            <w:tcW w:w="850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1780" w:type="dxa"/>
            <w:vAlign w:val="bottom"/>
            <w:gridSpan w:val="5"/>
          </w:tcPr>
          <w:p>
            <w:pPr>
              <w:jc w:val="right"/>
              <w:ind w:right="13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940" w:type="dxa"/>
            <w:vAlign w:val="bottom"/>
            <w:tcBorders>
              <w:bottom w:val="single" w:sz="8" w:color="0000EE"/>
            </w:tcBorders>
            <w:gridSpan w:val="3"/>
          </w:tcPr>
          <w:p>
            <w:pPr>
              <w:spacing w:after="0" w:line="176" w:lineRule="exact"/>
              <w:rPr>
                <w:rFonts w:ascii="Arial" w:cs="Arial" w:eastAsia="Arial" w:hAnsi="Arial"/>
                <w:sz w:val="17"/>
                <w:szCs w:val="17"/>
                <w:color w:val="0000EE"/>
                <w:w w:val="95"/>
              </w:rPr>
            </w:pPr>
            <w:hyperlink w:anchor="page14">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6880" w:type="dxa"/>
            <w:vAlign w:val="bottom"/>
            <w:gridSpan w:val="12"/>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14">
              <w:r>
                <w:rPr>
                  <w:rFonts w:ascii="Arial" w:cs="Arial" w:eastAsia="Arial" w:hAnsi="Arial"/>
                  <w:sz w:val="17"/>
                  <w:szCs w:val="17"/>
                  <w:color w:val="0000EE"/>
                  <w:w w:val="94"/>
                </w:rPr>
                <w:t>10</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51">
              <w:r>
                <w:rPr>
                  <w:rFonts w:ascii="Arial" w:cs="Arial" w:eastAsia="Arial" w:hAnsi="Arial"/>
                  <w:sz w:val="17"/>
                  <w:szCs w:val="17"/>
                  <w:color w:val="0000EE"/>
                </w:rPr>
                <w:t>Special Note Regarding Forward-Looking Statements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51">
              <w:r>
                <w:rPr>
                  <w:rFonts w:ascii="Arial" w:cs="Arial" w:eastAsia="Arial" w:hAnsi="Arial"/>
                  <w:sz w:val="17"/>
                  <w:szCs w:val="17"/>
                  <w:color w:val="0000EE"/>
                </w:rPr>
                <w:t>47</w:t>
              </w:r>
            </w:hyperlink>
          </w:p>
        </w:tc>
      </w:tr>
      <w:tr>
        <w:trPr>
          <w:trHeight w:val="177"/>
        </w:trPr>
        <w:tc>
          <w:tcPr>
            <w:tcW w:w="1160" w:type="dxa"/>
            <w:vAlign w:val="bottom"/>
          </w:tcPr>
          <w:p>
            <w:pPr>
              <w:spacing w:after="0"/>
              <w:rPr>
                <w:sz w:val="15"/>
                <w:szCs w:val="15"/>
                <w:color w:val="auto"/>
              </w:rPr>
            </w:pPr>
          </w:p>
        </w:tc>
        <w:tc>
          <w:tcPr>
            <w:tcW w:w="4020" w:type="dxa"/>
            <w:vAlign w:val="bottom"/>
            <w:tcBorders>
              <w:top w:val="single" w:sz="8" w:color="0000EE"/>
            </w:tcBorders>
            <w:gridSpan w:val="15"/>
          </w:tcPr>
          <w:p>
            <w:pPr>
              <w:spacing w:after="0" w:line="176" w:lineRule="exact"/>
              <w:rPr>
                <w:rFonts w:ascii="Arial" w:cs="Arial" w:eastAsia="Arial" w:hAnsi="Arial"/>
                <w:sz w:val="17"/>
                <w:szCs w:val="17"/>
                <w:color w:val="0000EE"/>
              </w:rPr>
            </w:pPr>
            <w:hyperlink w:anchor="page52">
              <w:r>
                <w:rPr>
                  <w:rFonts w:ascii="Arial" w:cs="Arial" w:eastAsia="Arial" w:hAnsi="Arial"/>
                  <w:sz w:val="17"/>
                  <w:szCs w:val="17"/>
                  <w:color w:val="0000EE"/>
                </w:rPr>
                <w:t>Industry and Market Data</w:t>
              </w:r>
            </w:hyperlink>
          </w:p>
        </w:tc>
        <w:tc>
          <w:tcPr>
            <w:tcW w:w="448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4"/>
              </w:rPr>
            </w:pPr>
            <w:hyperlink w:anchor="page52">
              <w:r>
                <w:rPr>
                  <w:rFonts w:ascii="Arial" w:cs="Arial" w:eastAsia="Arial" w:hAnsi="Arial"/>
                  <w:sz w:val="17"/>
                  <w:szCs w:val="17"/>
                  <w:color w:val="0000EE"/>
                  <w:w w:val="94"/>
                </w:rPr>
                <w:t>48</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53">
              <w:r>
                <w:rPr>
                  <w:rFonts w:ascii="Arial" w:cs="Arial" w:eastAsia="Arial" w:hAnsi="Arial"/>
                  <w:sz w:val="17"/>
                  <w:szCs w:val="17"/>
                  <w:color w:val="0000EE"/>
                  <w:w w:val="98"/>
                </w:rPr>
                <w:t>Use of Proceeds</w:t>
              </w:r>
            </w:hyperlink>
          </w:p>
        </w:tc>
        <w:tc>
          <w:tcPr>
            <w:tcW w:w="640" w:type="dxa"/>
            <w:vAlign w:val="bottom"/>
            <w:tcBorders>
              <w:top w:val="single" w:sz="8" w:color="0000EE"/>
            </w:tcBorders>
            <w:gridSpan w:val="5"/>
          </w:tcPr>
          <w:p>
            <w:pPr>
              <w:spacing w:after="0"/>
              <w:rPr>
                <w:sz w:val="15"/>
                <w:szCs w:val="15"/>
                <w:color w:val="auto"/>
              </w:rPr>
            </w:pPr>
          </w:p>
        </w:tc>
        <w:tc>
          <w:tcPr>
            <w:tcW w:w="6600" w:type="dxa"/>
            <w:vAlign w:val="bottom"/>
            <w:gridSpan w:val="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3">
              <w:r>
                <w:rPr>
                  <w:rFonts w:ascii="Arial" w:cs="Arial" w:eastAsia="Arial" w:hAnsi="Arial"/>
                  <w:sz w:val="17"/>
                  <w:szCs w:val="17"/>
                  <w:color w:val="0000EE"/>
                  <w:w w:val="94"/>
                </w:rPr>
                <w:t>49</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160" w:type="dxa"/>
            <w:vAlign w:val="bottom"/>
            <w:tcBorders>
              <w:bottom w:val="single" w:sz="8" w:color="0000EE"/>
            </w:tcBorders>
            <w:gridSpan w:val="5"/>
          </w:tcPr>
          <w:p>
            <w:pPr>
              <w:spacing w:after="0" w:line="176"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Dividend Policy</w:t>
              </w:r>
            </w:hyperlink>
          </w:p>
        </w:tc>
        <w:tc>
          <w:tcPr>
            <w:tcW w:w="7340" w:type="dxa"/>
            <w:vAlign w:val="bottom"/>
            <w:gridSpan w:val="14"/>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50</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020" w:type="dxa"/>
            <w:vAlign w:val="bottom"/>
            <w:tcBorders>
              <w:bottom w:val="single" w:sz="8" w:color="0000EE"/>
            </w:tcBorders>
            <w:gridSpan w:val="4"/>
          </w:tcPr>
          <w:p>
            <w:pPr>
              <w:spacing w:after="0" w:line="176" w:lineRule="exact"/>
              <w:rPr>
                <w:rFonts w:ascii="Arial" w:cs="Arial" w:eastAsia="Arial" w:hAnsi="Arial"/>
                <w:sz w:val="17"/>
                <w:szCs w:val="17"/>
                <w:color w:val="0000EE"/>
                <w:w w:val="97"/>
              </w:rPr>
            </w:pPr>
            <w:hyperlink w:anchor="page55">
              <w:r>
                <w:rPr>
                  <w:rFonts w:ascii="Arial" w:cs="Arial" w:eastAsia="Arial" w:hAnsi="Arial"/>
                  <w:sz w:val="17"/>
                  <w:szCs w:val="17"/>
                  <w:color w:val="0000EE"/>
                  <w:w w:val="97"/>
                </w:rPr>
                <w:t>Capitalization</w:t>
              </w:r>
            </w:hyperlink>
          </w:p>
        </w:tc>
        <w:tc>
          <w:tcPr>
            <w:tcW w:w="7480" w:type="dxa"/>
            <w:vAlign w:val="bottom"/>
            <w:gridSpan w:val="15"/>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51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560" w:type="dxa"/>
            <w:vAlign w:val="bottom"/>
            <w:tcBorders>
              <w:bottom w:val="single" w:sz="8" w:color="0000EE"/>
            </w:tcBorders>
          </w:tcPr>
          <w:p>
            <w:pPr>
              <w:spacing w:after="0" w:line="176" w:lineRule="exact"/>
              <w:rPr>
                <w:rFonts w:ascii="Arial" w:cs="Arial" w:eastAsia="Arial" w:hAnsi="Arial"/>
                <w:sz w:val="17"/>
                <w:szCs w:val="17"/>
                <w:color w:val="0000EE"/>
                <w:w w:val="95"/>
              </w:rPr>
            </w:pPr>
            <w:hyperlink w:anchor="page57">
              <w:r>
                <w:rPr>
                  <w:rFonts w:ascii="Arial" w:cs="Arial" w:eastAsia="Arial" w:hAnsi="Arial"/>
                  <w:sz w:val="17"/>
                  <w:szCs w:val="17"/>
                  <w:color w:val="0000EE"/>
                  <w:w w:val="95"/>
                </w:rPr>
                <w:t>Dilution</w:t>
              </w:r>
            </w:hyperlink>
          </w:p>
        </w:tc>
        <w:tc>
          <w:tcPr>
            <w:tcW w:w="7940" w:type="dxa"/>
            <w:vAlign w:val="bottom"/>
            <w:gridSpan w:val="18"/>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57">
              <w:r>
                <w:rPr>
                  <w:rFonts w:ascii="Arial" w:cs="Arial" w:eastAsia="Arial" w:hAnsi="Arial"/>
                  <w:sz w:val="17"/>
                  <w:szCs w:val="17"/>
                  <w:color w:val="0000EE"/>
                  <w:w w:val="94"/>
                </w:rPr>
                <w:t>53</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1800" w:type="dxa"/>
            <w:vAlign w:val="bottom"/>
            <w:tcBorders>
              <w:bottom w:val="single" w:sz="8" w:color="0000EE"/>
            </w:tcBorders>
            <w:gridSpan w:val="9"/>
          </w:tcPr>
          <w:p>
            <w:pPr>
              <w:spacing w:after="0" w:line="176" w:lineRule="exact"/>
              <w:rPr>
                <w:rFonts w:ascii="Arial" w:cs="Arial" w:eastAsia="Arial" w:hAnsi="Arial"/>
                <w:sz w:val="17"/>
                <w:szCs w:val="17"/>
                <w:color w:val="0000EE"/>
                <w:w w:val="99"/>
              </w:rPr>
            </w:pPr>
            <w:hyperlink w:anchor="page60">
              <w:r>
                <w:rPr>
                  <w:rFonts w:ascii="Arial" w:cs="Arial" w:eastAsia="Arial" w:hAnsi="Arial"/>
                  <w:sz w:val="17"/>
                  <w:szCs w:val="17"/>
                  <w:color w:val="0000EE"/>
                  <w:w w:val="99"/>
                </w:rPr>
                <w:t>Selected Financial Data</w:t>
              </w:r>
            </w:hyperlink>
          </w:p>
        </w:tc>
        <w:tc>
          <w:tcPr>
            <w:tcW w:w="6700" w:type="dxa"/>
            <w:vAlign w:val="bottom"/>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56</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6700" w:type="dxa"/>
            <w:vAlign w:val="bottom"/>
            <w:tcBorders>
              <w:bottom w:val="single" w:sz="8" w:color="0000EE"/>
            </w:tcBorders>
            <w:gridSpan w:val="18"/>
          </w:tcPr>
          <w:p>
            <w:pPr>
              <w:spacing w:after="0" w:line="176" w:lineRule="exact"/>
              <w:rPr>
                <w:rFonts w:ascii="Arial" w:cs="Arial" w:eastAsia="Arial" w:hAnsi="Arial"/>
                <w:sz w:val="17"/>
                <w:szCs w:val="17"/>
                <w:color w:val="0000EE"/>
                <w:w w:val="99"/>
              </w:rPr>
            </w:pPr>
            <w:hyperlink w:anchor="page61">
              <w:r>
                <w:rPr>
                  <w:rFonts w:ascii="Arial" w:cs="Arial" w:eastAsia="Arial" w:hAnsi="Arial"/>
                  <w:sz w:val="17"/>
                  <w:szCs w:val="17"/>
                  <w:color w:val="0000EE"/>
                  <w:w w:val="99"/>
                </w:rPr>
                <w:t>Management's Discussion and Analysis of Financial Condition and Results of Operations</w:t>
              </w:r>
            </w:hyperlink>
          </w:p>
        </w:tc>
        <w:tc>
          <w:tcPr>
            <w:tcW w:w="18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57</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72">
              <w:r>
                <w:rPr>
                  <w:rFonts w:ascii="Arial" w:cs="Arial" w:eastAsia="Arial" w:hAnsi="Arial"/>
                  <w:sz w:val="17"/>
                  <w:szCs w:val="17"/>
                  <w:color w:val="0000EE"/>
                </w:rPr>
                <w:t>Business</w:t>
              </w:r>
            </w:hyperlink>
          </w:p>
        </w:tc>
        <w:tc>
          <w:tcPr>
            <w:tcW w:w="1780" w:type="dxa"/>
            <w:vAlign w:val="bottom"/>
            <w:gridSpan w:val="5"/>
          </w:tcPr>
          <w:p>
            <w:pPr>
              <w:jc w:val="right"/>
              <w:ind w:right="1320"/>
              <w:spacing w:after="0" w:line="176" w:lineRule="exact"/>
              <w:rPr>
                <w:rFonts w:ascii="Arial" w:cs="Arial" w:eastAsia="Arial" w:hAnsi="Arial"/>
                <w:sz w:val="17"/>
                <w:szCs w:val="17"/>
                <w:color w:val="0000EE"/>
              </w:rPr>
            </w:pPr>
            <w:hyperlink w:anchor="page72">
              <w:r>
                <w:rPr>
                  <w:rFonts w:ascii="Arial" w:cs="Arial" w:eastAsia="Arial" w:hAnsi="Arial"/>
                  <w:sz w:val="17"/>
                  <w:szCs w:val="17"/>
                  <w:color w:val="0000EE"/>
                </w:rPr>
                <w:t>68</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04">
              <w:r>
                <w:rPr>
                  <w:rFonts w:ascii="Arial" w:cs="Arial" w:eastAsia="Arial" w:hAnsi="Arial"/>
                  <w:sz w:val="17"/>
                  <w:szCs w:val="17"/>
                  <w:color w:val="0000EE"/>
                </w:rPr>
                <w:t>Management</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04">
              <w:r>
                <w:rPr>
                  <w:rFonts w:ascii="Arial" w:cs="Arial" w:eastAsia="Arial" w:hAnsi="Arial"/>
                  <w:sz w:val="17"/>
                  <w:szCs w:val="17"/>
                  <w:color w:val="0000EE"/>
                </w:rPr>
                <w:t>100</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880" w:type="dxa"/>
            <w:vAlign w:val="bottom"/>
            <w:gridSpan w:val="10"/>
          </w:tcPr>
          <w:p>
            <w:pPr>
              <w:spacing w:after="0" w:line="176" w:lineRule="exact"/>
              <w:rPr>
                <w:rFonts w:ascii="Arial" w:cs="Arial" w:eastAsia="Arial" w:hAnsi="Arial"/>
                <w:sz w:val="17"/>
                <w:szCs w:val="17"/>
                <w:color w:val="0000EE"/>
                <w:w w:val="98"/>
              </w:rPr>
            </w:pPr>
            <w:hyperlink w:anchor="page111">
              <w:r>
                <w:rPr>
                  <w:rFonts w:ascii="Arial" w:cs="Arial" w:eastAsia="Arial" w:hAnsi="Arial"/>
                  <w:sz w:val="17"/>
                  <w:szCs w:val="17"/>
                  <w:color w:val="0000EE"/>
                  <w:w w:val="98"/>
                </w:rPr>
                <w:t>Executive Compensation</w:t>
              </w:r>
            </w:hyperlink>
          </w:p>
        </w:tc>
        <w:tc>
          <w:tcPr>
            <w:tcW w:w="6620" w:type="dxa"/>
            <w:vAlign w:val="bottom"/>
            <w:gridSpan w:val="9"/>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11">
              <w:r>
                <w:rPr>
                  <w:rFonts w:ascii="Arial" w:cs="Arial" w:eastAsia="Arial" w:hAnsi="Arial"/>
                  <w:sz w:val="17"/>
                  <w:szCs w:val="17"/>
                  <w:color w:val="0000EE"/>
                </w:rPr>
                <w:t>107</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040" w:type="dxa"/>
            <w:vAlign w:val="bottom"/>
            <w:gridSpan w:val="16"/>
          </w:tcPr>
          <w:p>
            <w:pPr>
              <w:spacing w:after="0" w:line="176" w:lineRule="exact"/>
              <w:rPr>
                <w:rFonts w:ascii="Arial" w:cs="Arial" w:eastAsia="Arial" w:hAnsi="Arial"/>
                <w:sz w:val="17"/>
                <w:szCs w:val="17"/>
                <w:color w:val="0000EE"/>
                <w:w w:val="99"/>
              </w:rPr>
            </w:pPr>
            <w:hyperlink w:anchor="page120">
              <w:r>
                <w:rPr>
                  <w:rFonts w:ascii="Arial" w:cs="Arial" w:eastAsia="Arial" w:hAnsi="Arial"/>
                  <w:sz w:val="17"/>
                  <w:szCs w:val="17"/>
                  <w:color w:val="0000EE"/>
                  <w:w w:val="99"/>
                </w:rPr>
                <w:t>Certain Relationships and Related Party Transactions</w:t>
              </w:r>
            </w:hyperlink>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20">
              <w:r>
                <w:rPr>
                  <w:rFonts w:ascii="Arial" w:cs="Arial" w:eastAsia="Arial" w:hAnsi="Arial"/>
                  <w:sz w:val="17"/>
                  <w:szCs w:val="17"/>
                  <w:color w:val="0000EE"/>
                </w:rPr>
                <w:t>116</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680" w:type="dxa"/>
            <w:vAlign w:val="bottom"/>
            <w:gridSpan w:val="8"/>
          </w:tcPr>
          <w:p>
            <w:pPr>
              <w:spacing w:after="0" w:line="176" w:lineRule="exact"/>
              <w:rPr>
                <w:rFonts w:ascii="Arial" w:cs="Arial" w:eastAsia="Arial" w:hAnsi="Arial"/>
                <w:sz w:val="17"/>
                <w:szCs w:val="17"/>
                <w:color w:val="0000EE"/>
                <w:w w:val="98"/>
              </w:rPr>
            </w:pPr>
            <w:hyperlink w:anchor="page125">
              <w:r>
                <w:rPr>
                  <w:rFonts w:ascii="Arial" w:cs="Arial" w:eastAsia="Arial" w:hAnsi="Arial"/>
                  <w:sz w:val="17"/>
                  <w:szCs w:val="17"/>
                  <w:color w:val="0000EE"/>
                  <w:w w:val="98"/>
                </w:rPr>
                <w:t>Principal Stockholders</w:t>
              </w:r>
            </w:hyperlink>
          </w:p>
        </w:tc>
        <w:tc>
          <w:tcPr>
            <w:tcW w:w="2360" w:type="dxa"/>
            <w:vAlign w:val="bottom"/>
            <w:gridSpan w:val="8"/>
          </w:tcPr>
          <w:p>
            <w:pPr>
              <w:spacing w:after="0"/>
              <w:rPr>
                <w:sz w:val="15"/>
                <w:szCs w:val="15"/>
                <w:color w:val="auto"/>
              </w:rPr>
            </w:pPr>
          </w:p>
        </w:tc>
        <w:tc>
          <w:tcPr>
            <w:tcW w:w="4460" w:type="dxa"/>
            <w:vAlign w:val="bottom"/>
            <w:gridSpan w:val="3"/>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25">
              <w:r>
                <w:rPr>
                  <w:rFonts w:ascii="Arial" w:cs="Arial" w:eastAsia="Arial" w:hAnsi="Arial"/>
                  <w:sz w:val="17"/>
                  <w:szCs w:val="17"/>
                  <w:color w:val="0000EE"/>
                </w:rPr>
                <w:t>121</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27">
              <w:r>
                <w:rPr>
                  <w:rFonts w:ascii="Arial" w:cs="Arial" w:eastAsia="Arial" w:hAnsi="Arial"/>
                  <w:sz w:val="17"/>
                  <w:szCs w:val="17"/>
                  <w:color w:val="0000EE"/>
                </w:rPr>
                <w:t>Description of Capital Stock</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27">
              <w:r>
                <w:rPr>
                  <w:rFonts w:ascii="Arial" w:cs="Arial" w:eastAsia="Arial" w:hAnsi="Arial"/>
                  <w:sz w:val="17"/>
                  <w:szCs w:val="17"/>
                  <w:color w:val="0000EE"/>
                </w:rPr>
                <w:t>123</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32">
              <w:r>
                <w:rPr>
                  <w:rFonts w:ascii="Arial" w:cs="Arial" w:eastAsia="Arial" w:hAnsi="Arial"/>
                  <w:sz w:val="17"/>
                  <w:szCs w:val="17"/>
                  <w:color w:val="0000EE"/>
                </w:rPr>
                <w:t>Shares Eligible for Future Sale</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32">
              <w:r>
                <w:rPr>
                  <w:rFonts w:ascii="Arial" w:cs="Arial" w:eastAsia="Arial" w:hAnsi="Arial"/>
                  <w:sz w:val="17"/>
                  <w:szCs w:val="17"/>
                  <w:color w:val="0000EE"/>
                </w:rPr>
                <w:t>128</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w w:val="99"/>
              </w:rPr>
            </w:pPr>
            <w:hyperlink w:anchor="page134">
              <w:r>
                <w:rPr>
                  <w:rFonts w:ascii="Arial" w:cs="Arial" w:eastAsia="Arial" w:hAnsi="Arial"/>
                  <w:sz w:val="17"/>
                  <w:szCs w:val="17"/>
                  <w:color w:val="0000EE"/>
                  <w:w w:val="99"/>
                </w:rPr>
                <w:t>Material U.S. Federal Income and Estate Tax Consequences to Non-U.S. Holders</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34">
              <w:r>
                <w:rPr>
                  <w:rFonts w:ascii="Arial" w:cs="Arial" w:eastAsia="Arial" w:hAnsi="Arial"/>
                  <w:sz w:val="17"/>
                  <w:szCs w:val="17"/>
                  <w:color w:val="0000EE"/>
                </w:rPr>
                <w:t>130</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gridSpan w:val="9"/>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40" w:type="dxa"/>
            <w:vAlign w:val="bottom"/>
            <w:gridSpan w:val="17"/>
          </w:tcPr>
          <w:p>
            <w:pPr>
              <w:spacing w:after="0" w:line="176" w:lineRule="exact"/>
              <w:rPr>
                <w:rFonts w:ascii="Arial" w:cs="Arial" w:eastAsia="Arial" w:hAnsi="Arial"/>
                <w:sz w:val="17"/>
                <w:szCs w:val="17"/>
                <w:color w:val="0000EE"/>
              </w:rPr>
            </w:pPr>
            <w:hyperlink w:anchor="page138">
              <w:r>
                <w:rPr>
                  <w:rFonts w:ascii="Arial" w:cs="Arial" w:eastAsia="Arial" w:hAnsi="Arial"/>
                  <w:sz w:val="17"/>
                  <w:szCs w:val="17"/>
                  <w:color w:val="0000EE"/>
                </w:rPr>
                <w:t>Underwriting</w:t>
              </w:r>
            </w:hyperlink>
          </w:p>
        </w:tc>
        <w:tc>
          <w:tcPr>
            <w:tcW w:w="2360" w:type="dxa"/>
            <w:vAlign w:val="bottom"/>
            <w:gridSpan w:val="2"/>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38">
              <w:r>
                <w:rPr>
                  <w:rFonts w:ascii="Arial" w:cs="Arial" w:eastAsia="Arial" w:hAnsi="Arial"/>
                  <w:sz w:val="17"/>
                  <w:szCs w:val="17"/>
                  <w:color w:val="0000EE"/>
                </w:rPr>
                <w:t>134</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Legal Matters</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141</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Experts</w:t>
              </w:r>
            </w:hyperlink>
          </w:p>
        </w:tc>
        <w:tc>
          <w:tcPr>
            <w:tcW w:w="7480" w:type="dxa"/>
            <w:vAlign w:val="bottom"/>
            <w:gridSpan w:val="15"/>
          </w:tcPr>
          <w:p>
            <w:pPr>
              <w:spacing w:after="0"/>
              <w:rPr>
                <w:sz w:val="15"/>
                <w:szCs w:val="15"/>
                <w:color w:val="auto"/>
              </w:rPr>
            </w:pPr>
          </w:p>
        </w:tc>
        <w:tc>
          <w:tcPr>
            <w:tcW w:w="460" w:type="dxa"/>
            <w:vAlign w:val="bottom"/>
            <w:gridSpan w:val="4"/>
          </w:tcPr>
          <w:p>
            <w:pPr>
              <w:jc w:val="right"/>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141</w:t>
              </w:r>
            </w:hyperlink>
          </w:p>
        </w:tc>
        <w:tc>
          <w:tcPr>
            <w:tcW w:w="132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500" w:type="dxa"/>
            <w:vAlign w:val="bottom"/>
            <w:gridSpan w:val="19"/>
          </w:tcPr>
          <w:p>
            <w:pPr>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Where You Can Find Additional Information</w:t>
              </w:r>
            </w:hyperlink>
          </w:p>
        </w:tc>
        <w:tc>
          <w:tcPr>
            <w:tcW w:w="460" w:type="dxa"/>
            <w:vAlign w:val="bottom"/>
            <w:gridSpan w:val="4"/>
          </w:tcPr>
          <w:p>
            <w:pPr>
              <w:jc w:val="right"/>
              <w:spacing w:after="0" w:line="176" w:lineRule="exact"/>
              <w:rPr>
                <w:rFonts w:ascii="Arial" w:cs="Arial" w:eastAsia="Arial" w:hAnsi="Arial"/>
                <w:sz w:val="17"/>
                <w:szCs w:val="17"/>
                <w:color w:val="0000EE"/>
              </w:rPr>
            </w:pPr>
            <w:hyperlink w:anchor="page145">
              <w:r>
                <w:rPr>
                  <w:rFonts w:ascii="Arial" w:cs="Arial" w:eastAsia="Arial" w:hAnsi="Arial"/>
                  <w:sz w:val="17"/>
                  <w:szCs w:val="17"/>
                  <w:color w:val="0000EE"/>
                </w:rPr>
                <w:t>141</w:t>
              </w:r>
            </w:hyperlink>
          </w:p>
        </w:tc>
        <w:tc>
          <w:tcPr>
            <w:tcW w:w="13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26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46">
              <w:r>
                <w:rPr>
                  <w:rFonts w:ascii="Arial" w:cs="Arial" w:eastAsia="Arial" w:hAnsi="Arial"/>
                  <w:sz w:val="17"/>
                  <w:szCs w:val="17"/>
                  <w:color w:val="0000EE"/>
                </w:rPr>
                <w:t>Index to Financial Statements</w:t>
              </w:r>
            </w:hyperlink>
          </w:p>
        </w:tc>
        <w:tc>
          <w:tcPr>
            <w:tcW w:w="524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0000EE"/>
            </w:tcBorders>
            <w:gridSpan w:val="3"/>
          </w:tcPr>
          <w:p>
            <w:pPr>
              <w:jc w:val="right"/>
              <w:spacing w:after="0" w:line="176" w:lineRule="exact"/>
              <w:rPr>
                <w:rFonts w:ascii="Arial" w:cs="Arial" w:eastAsia="Arial" w:hAnsi="Arial"/>
                <w:sz w:val="17"/>
                <w:szCs w:val="17"/>
                <w:color w:val="0000EE"/>
                <w:w w:val="93"/>
              </w:rPr>
            </w:pPr>
            <w:hyperlink w:anchor="page146">
              <w:r>
                <w:rPr>
                  <w:rFonts w:ascii="Arial" w:cs="Arial" w:eastAsia="Arial" w:hAnsi="Arial"/>
                  <w:sz w:val="17"/>
                  <w:szCs w:val="17"/>
                  <w:color w:val="0000EE"/>
                  <w:w w:val="93"/>
                </w:rPr>
                <w:t>F-1</w:t>
              </w:r>
            </w:hyperlink>
          </w:p>
        </w:tc>
        <w:tc>
          <w:tcPr>
            <w:tcW w:w="1320" w:type="dxa"/>
            <w:vAlign w:val="bottom"/>
          </w:tcPr>
          <w:p>
            <w:pPr>
              <w:spacing w:after="0"/>
              <w:rPr>
                <w:sz w:val="15"/>
                <w:szCs w:val="15"/>
                <w:color w:val="auto"/>
              </w:rPr>
            </w:pPr>
          </w:p>
        </w:tc>
      </w:tr>
      <w:tr>
        <w:trPr>
          <w:trHeight w:val="111"/>
        </w:trPr>
        <w:tc>
          <w:tcPr>
            <w:tcW w:w="1160" w:type="dxa"/>
            <w:vAlign w:val="bottom"/>
            <w:tcBorders>
              <w:bottom w:val="single" w:sz="8" w:color="auto"/>
            </w:tcBorders>
          </w:tcPr>
          <w:p>
            <w:pPr>
              <w:spacing w:after="0"/>
              <w:rPr>
                <w:sz w:val="9"/>
                <w:szCs w:val="9"/>
                <w:color w:val="auto"/>
              </w:rPr>
            </w:pPr>
          </w:p>
        </w:tc>
        <w:tc>
          <w:tcPr>
            <w:tcW w:w="5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26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14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36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8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00" w:type="dxa"/>
            <w:vAlign w:val="bottom"/>
            <w:tcBorders>
              <w:top w:val="single" w:sz="8" w:color="0000EE"/>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from that contained in such prospectuses. We are offering to sell shares of our common stock, and seeking offers to buy shares of our common stock, only in jurisdictions where such offers and sales are permitted. The information in this prospectus is accurate only as of the date of this prospectus, regardless of the time of delivery of this prospectus or any sale of our common stock.</w:t>
      </w:r>
    </w:p>
    <w:p>
      <w:pPr>
        <w:spacing w:after="0" w:line="175"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b w:val="1"/>
          <w:bCs w:val="1"/>
          <w:color w:val="auto"/>
        </w:rPr>
        <w:t>Until and including , 2015, 25 days after the date of this prospectus, all dealers that buy, sell or trade our common stock,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7"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5881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4565" cy="588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right="60"/>
        <w:spacing w:after="0" w:line="24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"Risk Factors" and "Management's Discussion and Analysis Financial Condition and Results of Operations," in each case included in this prospectus. Unless the context otherwise requires, we use the terms "Aclaris," "company," "we," "us" and "our" in this prospectus to refer to Aclaris Therapeutics, Inc.</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Business</w:t>
      </w:r>
    </w:p>
    <w:p>
      <w:pPr>
        <w:spacing w:after="0" w:line="231" w:lineRule="exact"/>
        <w:rPr>
          <w:sz w:val="20"/>
          <w:szCs w:val="20"/>
          <w:color w:val="auto"/>
        </w:rPr>
      </w:pPr>
    </w:p>
    <w:p>
      <w:pPr>
        <w:ind w:left="240"/>
        <w:spacing w:after="0" w:line="259" w:lineRule="auto"/>
        <w:rPr>
          <w:sz w:val="20"/>
          <w:szCs w:val="20"/>
          <w:color w:val="auto"/>
        </w:rPr>
      </w:pPr>
      <w:r>
        <w:rPr>
          <w:rFonts w:ascii="Arial" w:cs="Arial" w:eastAsia="Arial" w:hAnsi="Arial"/>
          <w:sz w:val="16"/>
          <w:szCs w:val="16"/>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 less than 5%, that the observed results occurred by chance alone. We plan to commence three Phase 3 clinical trials of A-101 in patients with SK in th second half of 2015 and, if the results of these trials are favorable, to submit a New Drug Application, or NDA, for A-101 for the treatment of SK to the U.S. Food and Drug Administration, or FDA, in the first half of 2016. We also intend to develop A-101 as a prescription treatment for common warts an A-102, a proprietary gel dosage form of hydrogen peroxide, as a prescription treatment for SK and common warts. In addition, we intend to in-license acquire additional drug candidates for other dermatological conditions to build a fully integrated dermatology company.</w:t>
      </w:r>
    </w:p>
    <w:p>
      <w:pPr>
        <w:spacing w:after="0" w:line="189"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left="240" w:right="18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Management Experience</w:t>
      </w:r>
    </w:p>
    <w:p>
      <w:pPr>
        <w:spacing w:after="0" w:line="231" w:lineRule="exact"/>
        <w:rPr>
          <w:sz w:val="20"/>
          <w:szCs w:val="20"/>
          <w:color w:val="auto"/>
        </w:rPr>
      </w:pPr>
    </w:p>
    <w:p>
      <w:pPr>
        <w:ind w:left="240" w:right="80"/>
        <w:spacing w:after="0" w:line="243" w:lineRule="auto"/>
        <w:rPr>
          <w:sz w:val="20"/>
          <w:szCs w:val="20"/>
          <w:color w:val="auto"/>
        </w:rPr>
      </w:pPr>
      <w:r>
        <w:rPr>
          <w:rFonts w:ascii="Arial" w:cs="Arial" w:eastAsia="Arial" w:hAnsi="Arial"/>
          <w:sz w:val="17"/>
          <w:szCs w:val="17"/>
          <w:color w:val="auto"/>
        </w:rPr>
        <w:t>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 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8403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840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240"/>
        <w:spacing w:after="0" w:line="252" w:lineRule="auto"/>
        <w:rPr>
          <w:sz w:val="20"/>
          <w:szCs w:val="20"/>
          <w:color w:val="auto"/>
        </w:rPr>
      </w:pPr>
      <w:r>
        <w:rPr>
          <w:rFonts w:ascii="Arial" w:cs="Arial" w:eastAsia="Arial" w:hAnsi="Arial"/>
          <w:sz w:val="17"/>
          <w:szCs w:val="17"/>
          <w:color w:val="auto"/>
        </w:rPr>
        <w:t>within the industry and medical community provides us with insight into product development and identification of other commercial opportunities in dermatology.</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Strategy</w:t>
      </w:r>
    </w:p>
    <w:p>
      <w:pPr>
        <w:spacing w:after="0" w:line="231"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219"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complete clinical development and obtain regulatory approval for A-101 for the treatment of SK;</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 A-101 for the treatment of common warts and develop our other drug candidates;</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build a specialized sales and marketing organization; and</w:t>
      </w:r>
    </w:p>
    <w:p>
      <w:pPr>
        <w:spacing w:after="0" w:line="224"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in-license or acquire additional drug candidates to build a fully integrated dermatology company.</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left="240" w:right="24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31" w:lineRule="exact"/>
        <w:rPr>
          <w:sz w:val="20"/>
          <w:szCs w:val="20"/>
          <w:color w:val="auto"/>
        </w:rPr>
      </w:pPr>
    </w:p>
    <w:p>
      <w:pPr>
        <w:ind w:left="240" w:right="160"/>
        <w:spacing w:after="0" w:line="245" w:lineRule="auto"/>
        <w:rPr>
          <w:sz w:val="20"/>
          <w:szCs w:val="20"/>
          <w:color w:val="auto"/>
        </w:rPr>
      </w:pPr>
      <w:r>
        <w:rPr>
          <w:rFonts w:ascii="Arial" w:cs="Arial" w:eastAsia="Arial" w:hAnsi="Arial"/>
          <w:sz w:val="17"/>
          <w:szCs w:val="17"/>
          <w:color w:val="auto"/>
        </w:rPr>
        <w:t>We are developing A-101, our proprietary high-concentration hydrogen peroxide topical solution, for the treatment of SK.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Cryosurgery, which involves spraying liquid nitrogen at a temperature of negative 320 degrees Fahrenheit directly onto the SK lesions, is used in approximately two-thirds of treated SK patients. Depending on the severity of the patient's condition, more than one cryosurgery treatment is typically required to remove all of the targeted lesions. Adverse effects experienced by patients using cryosurgery</w:t>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680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include permanent hypopigmentation, or loss of skin color, hyperpigmentation, or darkening of the skin, scarring, pain and edema, or swelling.</w:t>
      </w:r>
    </w:p>
    <w:p>
      <w:pPr>
        <w:spacing w:after="0" w:line="211"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Electrodesiccation is labor- and time-intensive, can require local anesthesia and can lead to bleeding, infection and hyperpigmentation. With an excision procedure, the lesion is removed with a scalpel but remains intact for biopsy in cases where a definitive diagnosis has not been made. This procedure requires local anesthesia, can lead to infection and is more expensive than other treatment options. In addition, there are other dermatological treatments that are used less frequently.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7" w:lineRule="exact"/>
        <w:rPr>
          <w:sz w:val="20"/>
          <w:szCs w:val="20"/>
          <w:color w:val="auto"/>
        </w:rPr>
      </w:pPr>
    </w:p>
    <w:p>
      <w:pPr>
        <w:ind w:left="1280" w:right="20" w:hanging="524"/>
        <w:spacing w:after="0" w:line="2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66" w:lineRule="exact"/>
        <w:rPr>
          <w:rFonts w:ascii="Arial" w:cs="Arial" w:eastAsia="Arial" w:hAnsi="Arial"/>
          <w:sz w:val="17"/>
          <w:szCs w:val="17"/>
          <w:color w:val="auto"/>
        </w:rPr>
      </w:pPr>
    </w:p>
    <w:p>
      <w:pPr>
        <w:ind w:left="1280" w:right="40" w:hanging="524"/>
        <w:spacing w:after="0" w:line="27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clinical trials conducted to date in over 300 patients with A-101, we have observed clinically releva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280" w:right="260" w:hanging="524"/>
        <w:spacing w:after="0" w:line="253"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85" w:lineRule="exact"/>
        <w:rPr>
          <w:rFonts w:ascii="Arial" w:cs="Arial" w:eastAsia="Arial" w:hAnsi="Arial"/>
          <w:sz w:val="17"/>
          <w:szCs w:val="17"/>
          <w:color w:val="auto"/>
        </w:rPr>
      </w:pPr>
    </w:p>
    <w:p>
      <w:pPr>
        <w:jc w:val="both"/>
        <w:ind w:left="1280" w:right="20" w:hanging="524"/>
        <w:spacing w:after="0" w:line="2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dermatologist, we expect th A-101 will be appropriate for administration by non-physician staff, thereby freeing up physician time.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In November 2013, we commenced our first Phase 2 clinical trial for A-101 for the treatment of SK with 35 enrolled subjects with four SK lesions on th trunk. We evaluated three concentrations of A-101, 25.0%, 32.5% and 40.0%, in this trial. We completed this trial in June 2014 and observed clinically relevant and statistically significant results in the clearance of SK lesions on the trunk for both the 32.5% and 40.0% concentrations of A-101, as compared to vehicle, after one or two applications.</w:t>
      </w:r>
    </w:p>
    <w:p>
      <w:pPr>
        <w:spacing w:after="0" w:line="198" w:lineRule="exact"/>
        <w:rPr>
          <w:sz w:val="20"/>
          <w:szCs w:val="20"/>
          <w:color w:val="auto"/>
        </w:rPr>
      </w:pPr>
    </w:p>
    <w:p>
      <w:pPr>
        <w:ind w:left="240" w:right="120"/>
        <w:spacing w:after="0" w:line="245" w:lineRule="auto"/>
        <w:rPr>
          <w:sz w:val="20"/>
          <w:szCs w:val="20"/>
          <w:color w:val="auto"/>
        </w:rPr>
      </w:pPr>
      <w:r>
        <w:rPr>
          <w:rFonts w:ascii="Arial" w:cs="Arial" w:eastAsia="Arial" w:hAnsi="Arial"/>
          <w:sz w:val="17"/>
          <w:szCs w:val="17"/>
          <w:color w:val="auto"/>
        </w:rPr>
        <w:t>In June 2014, we commenced our second Phase 2 clinical trial for the treatment of SK with 172 enrolled subjects with four SK lesions on the trunk or extremities. We evaluated two concentrations of A-101, 32.5% and 40.0%, in this trial. We completed this trial in December 2014 and observed clinically relevant and statistically significant results in the clearance of SK lesions on the trunk and extremities for both the 32.5% and 40.0% concentrations of A-101, as compared to vehicle, after one or two applications.</w:t>
      </w:r>
    </w:p>
    <w:p>
      <w:pPr>
        <w:spacing w:after="0" w:line="198" w:lineRule="exact"/>
        <w:rPr>
          <w:sz w:val="20"/>
          <w:szCs w:val="20"/>
          <w:color w:val="auto"/>
        </w:rPr>
      </w:pPr>
    </w:p>
    <w:p>
      <w:pPr>
        <w:ind w:left="240" w:right="40"/>
        <w:spacing w:after="0" w:line="245" w:lineRule="auto"/>
        <w:rPr>
          <w:sz w:val="20"/>
          <w:szCs w:val="20"/>
          <w:color w:val="auto"/>
        </w:rPr>
      </w:pPr>
      <w:r>
        <w:rPr>
          <w:rFonts w:ascii="Arial" w:cs="Arial" w:eastAsia="Arial" w:hAnsi="Arial"/>
          <w:sz w:val="17"/>
          <w:szCs w:val="17"/>
          <w:color w:val="auto"/>
        </w:rPr>
        <w:t>In October 2014, we commenced our third Phase 2 clinical trial for A-101 for the treatment of SK with 119 enrolled subjects with a single SK lesion on the face. We evaluated two concentrations of A-101, 32.5% and 40.0%, in this trial. We completed the trial in March 2015 and observed clinically relevant and statistically significant results in the clearance of SK lesions on the face for both the 32.5% and 40.0% concentrations of A-101, as compared to vehicle, after one or two applications.</w:t>
      </w:r>
    </w:p>
    <w:p>
      <w:pPr>
        <w:spacing w:after="0" w:line="198" w:lineRule="exact"/>
        <w:rPr>
          <w:sz w:val="20"/>
          <w:szCs w:val="20"/>
          <w:color w:val="auto"/>
        </w:rPr>
      </w:pPr>
    </w:p>
    <w:p>
      <w:pPr>
        <w:jc w:val="both"/>
        <w:ind w:left="240"/>
        <w:spacing w:after="0" w:line="246" w:lineRule="auto"/>
        <w:rPr>
          <w:sz w:val="20"/>
          <w:szCs w:val="20"/>
          <w:color w:val="auto"/>
        </w:rPr>
      </w:pPr>
      <w:r>
        <w:rPr>
          <w:rFonts w:ascii="Arial" w:cs="Arial" w:eastAsia="Arial" w:hAnsi="Arial"/>
          <w:sz w:val="17"/>
          <w:szCs w:val="17"/>
          <w:color w:val="auto"/>
        </w:rPr>
        <w:t>We submitted the results from these three Phase 2 clinical trials to the FDA and held an end-of-Phase 2 meeting with them in May 2015. Based on the feedback we received from the FDA at this meeting, we plan to commence three Phase 3 clinical trials of A-101 in patients with SK lesions on the face trunk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330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330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5" w:lineRule="auto"/>
        <w:rPr>
          <w:sz w:val="20"/>
          <w:szCs w:val="20"/>
          <w:color w:val="auto"/>
        </w:rPr>
      </w:pPr>
      <w:r>
        <w:rPr>
          <w:rFonts w:ascii="Arial" w:cs="Arial" w:eastAsia="Arial" w:hAnsi="Arial"/>
          <w:sz w:val="17"/>
          <w:szCs w:val="17"/>
          <w:color w:val="auto"/>
        </w:rPr>
        <w:t>extremities in the second half of 2015. If the results of the Phase 3 clinical trials are favorable, we intend to submit our NDA for A-101 for the treatment of SK to the FDA in the first half of 2016 and build a specialty sales force to market the product to dermatologists in the United States. We have also requested scientific advice from the European Medicines Agency, or EMA, for A-101 for the treatment of SK. We plan to seek a collaborator to commercialize A-101, if approved, in the European Union. We have the exclusive right to commercialize A-101, if approved, throughout the world.</w:t>
      </w:r>
    </w:p>
    <w:p>
      <w:pPr>
        <w:spacing w:after="0" w:line="198" w:lineRule="exact"/>
        <w:rPr>
          <w:sz w:val="20"/>
          <w:szCs w:val="20"/>
          <w:color w:val="auto"/>
        </w:rPr>
      </w:pPr>
    </w:p>
    <w:p>
      <w:pPr>
        <w:ind w:left="240" w:right="20"/>
        <w:spacing w:after="0" w:line="246" w:lineRule="auto"/>
        <w:rPr>
          <w:sz w:val="20"/>
          <w:szCs w:val="20"/>
          <w:color w:val="auto"/>
        </w:rPr>
      </w:pPr>
      <w:r>
        <w:rPr>
          <w:rFonts w:ascii="Arial" w:cs="Arial" w:eastAsia="Arial" w:hAnsi="Arial"/>
          <w:sz w:val="17"/>
          <w:szCs w:val="17"/>
          <w:color w:val="auto"/>
        </w:rPr>
        <w:t>We also plan to develop A-101 for the treatment of common warts. We are conducting toxicology studies and plan to commence Phase 2 clinical trials of A-101 for the treatment of common warts in the second half of 2015. In addition to A-101, we are also developing A-102, a proprietary topical gel dosage form of hydrogen peroxide, for the treatment of both SK and common warts.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left="240" w:right="40"/>
        <w:spacing w:after="0" w:line="244" w:lineRule="auto"/>
        <w:rPr>
          <w:sz w:val="20"/>
          <w:szCs w:val="20"/>
          <w:color w:val="auto"/>
        </w:rPr>
      </w:pPr>
      <w:r>
        <w:rPr>
          <w:rFonts w:ascii="Arial" w:cs="Arial" w:eastAsia="Arial" w:hAnsi="Arial"/>
          <w:sz w:val="17"/>
          <w:szCs w:val="17"/>
          <w:color w:val="auto"/>
        </w:rPr>
        <w:t>Our intellectual property portfolio contains issued patents directed to methods of use for A-101. Our issued patents begin to expire in 2022, subject to any applicable patent term adjustment or extension. Our intellectual property portfolio also contains provisional patent applications directed to, among other things, formulations and methods of use for A-101 and a single-use, self-contained, pre-filled, disposable pen-type applicator. Our pending U.S. provisional patent applications, if they issue as patents, would be expected to expire beginning in 2035. We intend to file two non-provisional patent applications in the second quarter of 2015 for our formulations and methods of use for A-101 and our pen-type applicator.</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Financing History</w:t>
      </w:r>
    </w:p>
    <w:p>
      <w:pPr>
        <w:spacing w:after="0" w:line="231" w:lineRule="exact"/>
        <w:rPr>
          <w:sz w:val="20"/>
          <w:szCs w:val="20"/>
          <w:color w:val="auto"/>
        </w:rPr>
      </w:pPr>
    </w:p>
    <w:p>
      <w:pPr>
        <w:ind w:left="240" w:right="260"/>
        <w:spacing w:after="0" w:line="252" w:lineRule="auto"/>
        <w:rPr>
          <w:sz w:val="20"/>
          <w:szCs w:val="20"/>
          <w:color w:val="auto"/>
        </w:rPr>
      </w:pPr>
      <w:r>
        <w:rPr>
          <w:rFonts w:ascii="Arial" w:cs="Arial" w:eastAsia="Arial" w:hAnsi="Arial"/>
          <w:sz w:val="17"/>
          <w:szCs w:val="17"/>
          <w:color w:val="auto"/>
        </w:rPr>
        <w:t>Since inception, we have financed our operations through private placements of our redeemable convertible preferred stock with several investors, including funds affiliated with Vivo Capital, Fidelity Biosciences and Sofinnova Ventures, providing total gross proceeds of $31.5 million.</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right="120"/>
        <w:spacing w:after="0" w:line="252" w:lineRule="auto"/>
        <w:rPr>
          <w:sz w:val="20"/>
          <w:szCs w:val="20"/>
          <w:color w:val="auto"/>
        </w:rPr>
      </w:pPr>
      <w:r>
        <w:rPr>
          <w:rFonts w:ascii="Arial" w:cs="Arial" w:eastAsia="Arial" w:hAnsi="Arial"/>
          <w:sz w:val="17"/>
          <w:szCs w:val="17"/>
          <w:color w:val="auto"/>
        </w:rPr>
        <w:t>Our business is subject to a number of risks of which you should be aware before deciding to invest in our common stock. These risks are discussed more fully in the "Risk Factors" section of this prospectus. These risks include the following:</w:t>
      </w:r>
    </w:p>
    <w:p>
      <w:pPr>
        <w:spacing w:after="0" w:line="219" w:lineRule="exact"/>
        <w:rPr>
          <w:sz w:val="20"/>
          <w:szCs w:val="20"/>
          <w:color w:val="auto"/>
        </w:rPr>
      </w:pPr>
    </w:p>
    <w:p>
      <w:pPr>
        <w:ind w:left="1280" w:right="2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We expect to incur losses over the next several years and may never achieve o maintain profitability.</w:t>
      </w:r>
    </w:p>
    <w:p>
      <w:pPr>
        <w:spacing w:after="0" w:line="192"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98" w:lineRule="exact"/>
        <w:rPr>
          <w:rFonts w:ascii="Arial" w:cs="Arial" w:eastAsia="Arial" w:hAnsi="Arial"/>
          <w:sz w:val="17"/>
          <w:szCs w:val="17"/>
          <w:color w:val="auto"/>
        </w:rPr>
      </w:pPr>
    </w:p>
    <w:p>
      <w:pPr>
        <w:jc w:val="both"/>
        <w:ind w:left="1280" w:right="40" w:hanging="524"/>
        <w:spacing w:after="0" w:line="24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any other drug candidates, or experience significant delays in doing so, our business will be harmed.</w:t>
      </w:r>
    </w:p>
    <w:p>
      <w:pPr>
        <w:spacing w:after="0" w:line="211"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third-party payors generally will not cover the use of our drug candidates for the treatment of SK and, accordingly, our succes will be dependent upon the willingness of patients to pay out of pocket for procedures using these drug candidates.</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key executives and to attract, retain and motivate qualified personnel.</w:t>
      </w:r>
    </w:p>
    <w:p>
      <w:pPr>
        <w:spacing w:after="0" w:line="210" w:lineRule="exact"/>
        <w:rPr>
          <w:rFonts w:ascii="Arial" w:cs="Arial" w:eastAsia="Arial" w:hAnsi="Arial"/>
          <w:sz w:val="17"/>
          <w:szCs w:val="17"/>
          <w:color w:val="auto"/>
        </w:rPr>
      </w:pPr>
    </w:p>
    <w:p>
      <w:pPr>
        <w:ind w:left="1280" w:right="5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830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683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8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98"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substantial competition, which may result in others discovering, developing or commercializing drugs before or more successful than we do.</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31" w:lineRule="exact"/>
        <w:rPr>
          <w:sz w:val="20"/>
          <w:szCs w:val="20"/>
          <w:color w:val="auto"/>
        </w:rPr>
      </w:pPr>
    </w:p>
    <w:p>
      <w:pPr>
        <w:ind w:left="240" w:right="20"/>
        <w:spacing w:after="0" w:line="245" w:lineRule="auto"/>
        <w:rPr>
          <w:sz w:val="20"/>
          <w:szCs w:val="20"/>
          <w:color w:val="auto"/>
        </w:rPr>
      </w:pPr>
      <w:r>
        <w:rPr>
          <w:rFonts w:ascii="Arial" w:cs="Arial" w:eastAsia="Arial" w:hAnsi="Arial"/>
          <w:sz w:val="17"/>
          <w:szCs w:val="17"/>
          <w:color w:val="auto"/>
        </w:rPr>
        <w:t xml:space="preserve">We were incorporated under the laws of the State of Delaware in July 2012. Our principal executive offices are located at 101 Lindenwood Drive, Suite 400, Malvern, PA 19355 and our telephone number is (484) 324-7933. Our website address is </w:t>
      </w:r>
      <w:r>
        <w:rPr>
          <w:rFonts w:ascii="Arial" w:cs="Arial" w:eastAsia="Arial" w:hAnsi="Arial"/>
          <w:sz w:val="17"/>
          <w:szCs w:val="17"/>
          <w:i w:val="1"/>
          <w:iCs w:val="1"/>
          <w:color w:val="auto"/>
        </w:rPr>
        <w:t>www.aclaristx.com</w:t>
      </w:r>
      <w:r>
        <w:rPr>
          <w:rFonts w:ascii="Arial" w:cs="Arial" w:eastAsia="Arial" w:hAnsi="Arial"/>
          <w:sz w:val="17"/>
          <w:szCs w:val="17"/>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common stock.</w:t>
      </w:r>
    </w:p>
    <w:p>
      <w:pPr>
        <w:spacing w:after="0" w:line="198" w:lineRule="exact"/>
        <w:rPr>
          <w:sz w:val="20"/>
          <w:szCs w:val="20"/>
          <w:color w:val="auto"/>
        </w:rPr>
      </w:pPr>
    </w:p>
    <w:p>
      <w:pPr>
        <w:ind w:left="240" w:right="80"/>
        <w:spacing w:after="0" w:line="245" w:lineRule="auto"/>
        <w:rPr>
          <w:sz w:val="20"/>
          <w:szCs w:val="20"/>
          <w:color w:val="auto"/>
        </w:rPr>
      </w:pPr>
      <w:r>
        <w:rPr>
          <w:rFonts w:ascii="Arial" w:cs="Arial" w:eastAsia="Arial" w:hAnsi="Arial"/>
          <w:sz w:val="17"/>
          <w:szCs w:val="17"/>
          <w:color w:val="auto"/>
        </w:rPr>
        <w:t>We have proprietary rights to a number of trademarks used in this prospectus which are important to our business, including the Aclaris Therapeutics trademark.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31" w:lineRule="exact"/>
        <w:rPr>
          <w:sz w:val="20"/>
          <w:szCs w:val="20"/>
          <w:color w:val="auto"/>
        </w:rPr>
      </w:pPr>
    </w:p>
    <w:p>
      <w:pPr>
        <w:jc w:val="both"/>
        <w:ind w:left="240" w:right="160"/>
        <w:spacing w:after="0" w:line="246"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or the JOBS Act. An emerging growth company may take advantage of relief from some of the reporting requirements and other burdens that are otherwise applicable generally to public companies. These provisions include:</w:t>
      </w:r>
    </w:p>
    <w:p>
      <w:pPr>
        <w:spacing w:after="0" w:line="212" w:lineRule="exact"/>
        <w:rPr>
          <w:sz w:val="20"/>
          <w:szCs w:val="20"/>
          <w:color w:val="auto"/>
        </w:rPr>
      </w:pPr>
    </w:p>
    <w:p>
      <w:pPr>
        <w:ind w:left="1280" w:right="200" w:hanging="524"/>
        <w:spacing w:after="0" w:line="246"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presentation of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11"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 over financial reporting;</w:t>
      </w:r>
    </w:p>
    <w:p>
      <w:pPr>
        <w:spacing w:after="0" w:line="210" w:lineRule="exact"/>
        <w:rPr>
          <w:rFonts w:ascii="Arial" w:cs="Arial" w:eastAsia="Arial" w:hAnsi="Arial"/>
          <w:sz w:val="17"/>
          <w:szCs w:val="17"/>
          <w:color w:val="auto"/>
        </w:rPr>
      </w:pPr>
    </w:p>
    <w:p>
      <w:pPr>
        <w:ind w:left="1280" w:right="76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 and</w:t>
      </w:r>
    </w:p>
    <w:p>
      <w:pPr>
        <w:spacing w:after="0" w:line="192"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requirements for non-binding advisory votes on executive compensation or golden parachute arrangements.</w:t>
      </w:r>
    </w:p>
    <w:p>
      <w:pPr>
        <w:spacing w:after="0" w:line="211" w:lineRule="exact"/>
        <w:rPr>
          <w:sz w:val="20"/>
          <w:szCs w:val="20"/>
          <w:color w:val="auto"/>
        </w:rPr>
      </w:pPr>
    </w:p>
    <w:p>
      <w:pPr>
        <w:ind w:left="240" w:right="40"/>
        <w:spacing w:after="0" w:line="242" w:lineRule="auto"/>
        <w:rPr>
          <w:sz w:val="20"/>
          <w:szCs w:val="20"/>
          <w:color w:val="auto"/>
        </w:rPr>
      </w:pPr>
      <w:r>
        <w:rPr>
          <w:rFonts w:ascii="Arial" w:cs="Arial" w:eastAsia="Arial" w:hAnsi="Arial"/>
          <w:sz w:val="17"/>
          <w:szCs w:val="17"/>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burdens. For example, we have taken advantage of the reduced reporting requirements with respect t disclosure regarding our executive compensation arrangements,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reduced burdens, the information that we provide stockholders may be different than you might obtain from other public companie in which you hold equity interests.</w:t>
      </w:r>
    </w:p>
    <w:p>
      <w:pPr>
        <w:spacing w:after="0" w:line="206"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6139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613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520"/>
          </w:cols>
          <w:pgMar w:left="240" w:top="143" w:right="139" w:bottom="1440" w:gutter="0" w:footer="0" w:header="0"/>
        </w:sect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offered by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11" w:lineRule="exact"/>
        <w:rPr>
          <w:sz w:val="20"/>
          <w:szCs w:val="20"/>
          <w:color w:val="auto"/>
        </w:rPr>
      </w:pPr>
    </w:p>
    <w:p>
      <w:pPr>
        <w:sectPr>
          <w:pgSz w:w="11900" w:h="16838" w:orient="portrait"/>
          <w:cols w:equalWidth="0" w:num="2">
            <w:col w:w="1540" w:space="720"/>
            <w:col w:w="9260"/>
          </w:cols>
          <w:pgMar w:left="240" w:top="143" w:right="139" w:bottom="1440" w:gutter="0" w:footer="0" w:header="0"/>
          <w:type w:val="continuous"/>
        </w:sectPr>
      </w:pPr>
    </w:p>
    <w:p>
      <w:pPr>
        <w:spacing w:after="0" w:line="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Common</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to be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outstanding</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immediately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after this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11" w:lineRule="exact"/>
        <w:rPr>
          <w:sz w:val="20"/>
          <w:szCs w:val="20"/>
          <w:color w:val="auto"/>
        </w:rPr>
      </w:pPr>
    </w:p>
    <w:p>
      <w:pPr>
        <w:sectPr>
          <w:pgSz w:w="11900" w:h="16838" w:orient="portrait"/>
          <w:cols w:equalWidth="0" w:num="2">
            <w:col w:w="1540" w:space="720"/>
            <w:col w:w="9260"/>
          </w:cols>
          <w:pgMar w:left="240" w:top="143" w:right="139" w:bottom="1440" w:gutter="0" w:footer="0" w:header="0"/>
          <w:type w:val="continuous"/>
        </w:sectPr>
      </w:pPr>
    </w:p>
    <w:p>
      <w:pPr>
        <w:spacing w:after="0" w:line="11" w:lineRule="exact"/>
        <w:rPr>
          <w:sz w:val="20"/>
          <w:szCs w:val="20"/>
          <w:color w:val="auto"/>
        </w:rPr>
      </w:pPr>
    </w:p>
    <w:p>
      <w:pPr>
        <w:jc w:val="both"/>
        <w:ind w:left="380" w:hanging="156"/>
        <w:spacing w:after="0" w:line="245" w:lineRule="auto"/>
        <w:rPr>
          <w:sz w:val="20"/>
          <w:szCs w:val="20"/>
          <w:color w:val="auto"/>
        </w:rPr>
      </w:pPr>
      <w:r>
        <w:rPr>
          <w:rFonts w:ascii="Arial" w:cs="Arial" w:eastAsia="Arial" w:hAnsi="Arial"/>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1320"/>
        <w:spacing w:after="0" w:line="252" w:lineRule="auto"/>
        <w:rPr>
          <w:sz w:val="20"/>
          <w:szCs w:val="20"/>
          <w:color w:val="auto"/>
        </w:rPr>
      </w:pPr>
      <w:r>
        <w:rPr>
          <w:rFonts w:ascii="Arial" w:cs="Arial" w:eastAsia="Arial" w:hAnsi="Arial"/>
          <w:sz w:val="17"/>
          <w:szCs w:val="17"/>
          <w:color w:val="auto"/>
        </w:rPr>
        <w:t>We have granted the underwriters an option for a period of 30 days from the date of this prospectus to purchase up to additional shares of our common stock.</w:t>
      </w:r>
    </w:p>
    <w:p>
      <w:pPr>
        <w:spacing w:after="0" w:line="193" w:lineRule="exact"/>
        <w:rPr>
          <w:sz w:val="20"/>
          <w:szCs w:val="20"/>
          <w:color w:val="auto"/>
        </w:rPr>
      </w:pPr>
    </w:p>
    <w:p>
      <w:pPr>
        <w:sectPr>
          <w:pgSz w:w="11900" w:h="16838" w:orient="portrait"/>
          <w:cols w:equalWidth="0" w:num="2">
            <w:col w:w="1120" w:space="420"/>
            <w:col w:w="9980"/>
          </w:cols>
          <w:pgMar w:left="240" w:top="143" w:right="1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Use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proceeds</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7"/>
          <w:szCs w:val="17"/>
          <w:color w:val="auto"/>
        </w:rPr>
        <w:t>We estimate that the net proceeds to us from this offering, after deducting the estimated underwriting discounts and commissions an estimated offering expenses payable by us, will be $ million, assuming the shares are offered at $ per share, which is the midpoint of the estimated price range set forth on the cover page of this prospectus.</w:t>
      </w:r>
    </w:p>
    <w:p>
      <w:pPr>
        <w:spacing w:after="0" w:line="199" w:lineRule="exact"/>
        <w:rPr>
          <w:sz w:val="20"/>
          <w:szCs w:val="20"/>
          <w:color w:val="auto"/>
        </w:rPr>
      </w:pPr>
    </w:p>
    <w:p>
      <w:pPr>
        <w:sectPr>
          <w:pgSz w:w="11900" w:h="16838" w:orient="portrait"/>
          <w:cols w:equalWidth="0" w:num="2">
            <w:col w:w="1100" w:space="440"/>
            <w:col w:w="9980"/>
          </w:cols>
          <w:pgMar w:left="240" w:top="143" w:right="139" w:bottom="1440" w:gutter="0" w:footer="0" w:header="0"/>
          <w:type w:val="continuous"/>
        </w:sectPr>
      </w:pPr>
    </w:p>
    <w:p>
      <w:pPr>
        <w:ind w:left="1540"/>
        <w:spacing w:after="0" w:line="243" w:lineRule="auto"/>
        <w:rPr>
          <w:sz w:val="20"/>
          <w:szCs w:val="20"/>
          <w:color w:val="auto"/>
        </w:rPr>
      </w:pPr>
      <w:r>
        <w:rPr>
          <w:rFonts w:ascii="Arial" w:cs="Arial" w:eastAsia="Arial" w:hAnsi="Arial"/>
          <w:sz w:val="17"/>
          <w:szCs w:val="17"/>
          <w:color w:val="auto"/>
        </w:rPr>
        <w:t>We anticipate that the net proceeds from this offering, together with our existing cash, cash equivalents and marketable securities, w be used to complete our three planned Phase 3 clinical trials and seek regulatory approval of A-101 for the treatment of SK; to fund continued research and development of A-101 for the treatment of common warts and A-102 for the treatment of SK and common warts, including completion of our planned Phase 2 clinical trials for this indication; and to fund other research and development activities, including development of A-102 for the treatment of SK and common warts, as well as for working capital and other genera corporate purposes, including to pursue our strategy to in-license or acquire additional drug candidates. See "Use of Proceeds" for additional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40" w:type="dxa"/>
            <w:vAlign w:val="bottom"/>
          </w:tcPr>
          <w:p>
            <w:pPr>
              <w:ind w:left="240"/>
              <w:spacing w:after="0"/>
              <w:rPr>
                <w:sz w:val="20"/>
                <w:szCs w:val="20"/>
                <w:color w:val="auto"/>
              </w:rPr>
            </w:pPr>
            <w:r>
              <w:rPr>
                <w:rFonts w:ascii="Arial" w:cs="Arial" w:eastAsia="Arial" w:hAnsi="Arial"/>
                <w:sz w:val="17"/>
                <w:szCs w:val="17"/>
                <w:color w:val="auto"/>
              </w:rPr>
              <w:t>Directed</w:t>
            </w:r>
          </w:p>
        </w:tc>
        <w:tc>
          <w:tcPr>
            <w:tcW w:w="4240" w:type="dxa"/>
            <w:vAlign w:val="bottom"/>
          </w:tcPr>
          <w:p>
            <w:pPr>
              <w:ind w:left="200"/>
              <w:spacing w:after="0"/>
              <w:rPr>
                <w:sz w:val="20"/>
                <w:szCs w:val="20"/>
                <w:color w:val="auto"/>
              </w:rPr>
            </w:pPr>
            <w:r>
              <w:rPr>
                <w:rFonts w:ascii="Arial" w:cs="Arial" w:eastAsia="Arial" w:hAnsi="Arial"/>
                <w:sz w:val="17"/>
                <w:szCs w:val="17"/>
                <w:color w:val="auto"/>
              </w:rPr>
              <w:t>At our request, the underwriters have reserved up to</w:t>
            </w:r>
          </w:p>
        </w:tc>
        <w:tc>
          <w:tcPr>
            <w:tcW w:w="3060" w:type="dxa"/>
            <w:vAlign w:val="bottom"/>
          </w:tcPr>
          <w:p>
            <w:pPr>
              <w:jc w:val="right"/>
              <w:ind w:right="275"/>
              <w:spacing w:after="0"/>
              <w:rPr>
                <w:sz w:val="20"/>
                <w:szCs w:val="20"/>
                <w:color w:val="auto"/>
              </w:rPr>
            </w:pPr>
            <w:r>
              <w:rPr>
                <w:rFonts w:ascii="Arial" w:cs="Arial" w:eastAsia="Arial" w:hAnsi="Arial"/>
                <w:sz w:val="17"/>
                <w:szCs w:val="17"/>
                <w:color w:val="auto"/>
              </w:rPr>
              <w:t>shares of common stock, or</w:t>
            </w:r>
          </w:p>
        </w:tc>
        <w:tc>
          <w:tcPr>
            <w:tcW w:w="2880" w:type="dxa"/>
            <w:vAlign w:val="bottom"/>
            <w:gridSpan w:val="2"/>
          </w:tcPr>
          <w:p>
            <w:pPr>
              <w:ind w:left="360"/>
              <w:spacing w:after="0"/>
              <w:rPr>
                <w:sz w:val="20"/>
                <w:szCs w:val="20"/>
                <w:color w:val="auto"/>
              </w:rPr>
            </w:pPr>
            <w:r>
              <w:rPr>
                <w:rFonts w:ascii="Arial" w:cs="Arial" w:eastAsia="Arial" w:hAnsi="Arial"/>
                <w:sz w:val="17"/>
                <w:szCs w:val="17"/>
                <w:color w:val="auto"/>
              </w:rPr>
              <w:t>% of the shares being offered by</w:t>
            </w:r>
          </w:p>
        </w:tc>
      </w:tr>
      <w:tr>
        <w:trPr>
          <w:trHeight w:val="197"/>
        </w:trPr>
        <w:tc>
          <w:tcPr>
            <w:tcW w:w="1340" w:type="dxa"/>
            <w:vAlign w:val="bottom"/>
          </w:tcPr>
          <w:p>
            <w:pPr>
              <w:ind w:left="380"/>
              <w:spacing w:after="0"/>
              <w:rPr>
                <w:sz w:val="20"/>
                <w:szCs w:val="20"/>
                <w:color w:val="auto"/>
              </w:rPr>
            </w:pPr>
            <w:r>
              <w:rPr>
                <w:rFonts w:ascii="Arial" w:cs="Arial" w:eastAsia="Arial" w:hAnsi="Arial"/>
                <w:sz w:val="17"/>
                <w:szCs w:val="17"/>
                <w:color w:val="auto"/>
              </w:rPr>
              <w:t>share</w:t>
            </w: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this prospectus (excluding the shares of common stock that may be issued upon the underwriters' exercise of their option to purchas</w:t>
            </w:r>
          </w:p>
        </w:tc>
      </w:tr>
      <w:tr>
        <w:trPr>
          <w:trHeight w:val="197"/>
        </w:trPr>
        <w:tc>
          <w:tcPr>
            <w:tcW w:w="1340" w:type="dxa"/>
            <w:vAlign w:val="bottom"/>
          </w:tcPr>
          <w:p>
            <w:pPr>
              <w:ind w:left="380"/>
              <w:spacing w:after="0"/>
              <w:rPr>
                <w:sz w:val="20"/>
                <w:szCs w:val="20"/>
                <w:color w:val="auto"/>
              </w:rPr>
            </w:pPr>
            <w:r>
              <w:rPr>
                <w:rFonts w:ascii="Arial" w:cs="Arial" w:eastAsia="Arial" w:hAnsi="Arial"/>
                <w:sz w:val="17"/>
                <w:szCs w:val="17"/>
                <w:color w:val="auto"/>
              </w:rPr>
              <w:t>program</w:t>
            </w: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additional shares), for sale at the initial public offering price to our directors, officers and employees and certain other persons</w:t>
            </w:r>
          </w:p>
        </w:tc>
      </w:tr>
      <w:tr>
        <w:trPr>
          <w:trHeight w:val="204"/>
        </w:trPr>
        <w:tc>
          <w:tcPr>
            <w:tcW w:w="134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Arial" w:cs="Arial" w:eastAsia="Arial" w:hAnsi="Arial"/>
                <w:sz w:val="17"/>
                <w:szCs w:val="17"/>
                <w:color w:val="auto"/>
              </w:rPr>
              <w:t>associated with us, as designated by us.</w:t>
            </w:r>
          </w:p>
        </w:tc>
        <w:tc>
          <w:tcPr>
            <w:tcW w:w="30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340" w:type="dxa"/>
            <w:vAlign w:val="bottom"/>
          </w:tcPr>
          <w:p>
            <w:pPr>
              <w:spacing w:after="0"/>
              <w:rPr>
                <w:sz w:val="24"/>
                <w:szCs w:val="24"/>
                <w:color w:val="auto"/>
              </w:rPr>
            </w:pP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The number of shares available for sale to the general public will be reduced to the extent that these individuals purchase all or a</w:t>
            </w:r>
          </w:p>
        </w:tc>
      </w:tr>
      <w:tr>
        <w:trPr>
          <w:trHeight w:val="197"/>
        </w:trPr>
        <w:tc>
          <w:tcPr>
            <w:tcW w:w="1340" w:type="dxa"/>
            <w:vAlign w:val="bottom"/>
          </w:tcPr>
          <w:p>
            <w:pPr>
              <w:spacing w:after="0"/>
              <w:rPr>
                <w:sz w:val="17"/>
                <w:szCs w:val="17"/>
                <w:color w:val="auto"/>
              </w:rPr>
            </w:pP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portion of the reserved shares. Any reserved shares not so purchased will be offered by the underwriters to the general public on the</w:t>
            </w:r>
          </w:p>
        </w:tc>
      </w:tr>
      <w:tr>
        <w:trPr>
          <w:trHeight w:val="197"/>
        </w:trPr>
        <w:tc>
          <w:tcPr>
            <w:tcW w:w="1340" w:type="dxa"/>
            <w:vAlign w:val="bottom"/>
          </w:tcPr>
          <w:p>
            <w:pPr>
              <w:spacing w:after="0"/>
              <w:rPr>
                <w:sz w:val="17"/>
                <w:szCs w:val="17"/>
                <w:color w:val="auto"/>
              </w:rPr>
            </w:pP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rPr>
              <w:t>same basis as the other shares offered by this prospectus. For further information regarding our directed share program, please see</w:t>
            </w:r>
          </w:p>
        </w:tc>
      </w:tr>
      <w:tr>
        <w:trPr>
          <w:trHeight w:val="204"/>
        </w:trPr>
        <w:tc>
          <w:tcPr>
            <w:tcW w:w="134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Arial" w:cs="Arial" w:eastAsia="Arial" w:hAnsi="Arial"/>
                <w:sz w:val="17"/>
                <w:szCs w:val="17"/>
                <w:color w:val="auto"/>
              </w:rPr>
              <w:t>"Underwriting."</w:t>
            </w:r>
          </w:p>
        </w:tc>
        <w:tc>
          <w:tcPr>
            <w:tcW w:w="30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9"/>
        </w:trPr>
        <w:tc>
          <w:tcPr>
            <w:tcW w:w="1340" w:type="dxa"/>
            <w:vAlign w:val="bottom"/>
          </w:tcPr>
          <w:p>
            <w:pPr>
              <w:ind w:left="240"/>
              <w:spacing w:after="0"/>
              <w:rPr>
                <w:sz w:val="20"/>
                <w:szCs w:val="20"/>
                <w:color w:val="auto"/>
              </w:rPr>
            </w:pPr>
            <w:r>
              <w:rPr>
                <w:rFonts w:ascii="Arial" w:cs="Arial" w:eastAsia="Arial" w:hAnsi="Arial"/>
                <w:sz w:val="17"/>
                <w:szCs w:val="17"/>
                <w:color w:val="auto"/>
              </w:rPr>
              <w:t>Risk factors</w:t>
            </w:r>
          </w:p>
        </w:tc>
        <w:tc>
          <w:tcPr>
            <w:tcW w:w="10180" w:type="dxa"/>
            <w:vAlign w:val="bottom"/>
            <w:gridSpan w:val="4"/>
          </w:tcPr>
          <w:p>
            <w:pPr>
              <w:ind w:left="200"/>
              <w:spacing w:after="0"/>
              <w:rPr>
                <w:sz w:val="20"/>
                <w:szCs w:val="20"/>
                <w:color w:val="auto"/>
              </w:rPr>
            </w:pPr>
            <w:r>
              <w:rPr>
                <w:rFonts w:ascii="Arial" w:cs="Arial" w:eastAsia="Arial" w:hAnsi="Arial"/>
                <w:sz w:val="17"/>
                <w:szCs w:val="17"/>
                <w:color w:val="auto"/>
                <w:w w:val="99"/>
              </w:rPr>
              <w:t>You should read the "Risk Factors" section of this prospectus for a discussion of factors to consider carefully before deciding to inves</w:t>
            </w:r>
          </w:p>
        </w:tc>
      </w:tr>
      <w:tr>
        <w:trPr>
          <w:trHeight w:val="204"/>
        </w:trPr>
        <w:tc>
          <w:tcPr>
            <w:tcW w:w="134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Arial" w:cs="Arial" w:eastAsia="Arial" w:hAnsi="Arial"/>
                <w:sz w:val="17"/>
                <w:szCs w:val="17"/>
                <w:color w:val="auto"/>
              </w:rPr>
              <w:t>in shares of our common stock.</w:t>
            </w:r>
          </w:p>
        </w:tc>
        <w:tc>
          <w:tcPr>
            <w:tcW w:w="30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5"/>
        </w:trPr>
        <w:tc>
          <w:tcPr>
            <w:tcW w:w="1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60" w:type="dxa"/>
            <w:vAlign w:val="bottom"/>
          </w:tcPr>
          <w:p>
            <w:pPr>
              <w:jc w:val="right"/>
              <w:ind w:right="2795"/>
              <w:spacing w:after="0"/>
              <w:rPr>
                <w:sz w:val="20"/>
                <w:szCs w:val="20"/>
                <w:color w:val="auto"/>
              </w:rPr>
            </w:pPr>
            <w:r>
              <w:rPr>
                <w:rFonts w:ascii="Arial" w:cs="Arial" w:eastAsia="Arial" w:hAnsi="Arial"/>
                <w:sz w:val="17"/>
                <w:szCs w:val="17"/>
                <w:color w:val="auto"/>
              </w:rPr>
              <w:t>6</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340" w:type="dxa"/>
            <w:vAlign w:val="bottom"/>
            <w:tcBorders>
              <w:bottom w:val="single" w:sz="8" w:color="808080"/>
            </w:tcBorders>
          </w:tcPr>
          <w:p>
            <w:pPr>
              <w:spacing w:after="0"/>
              <w:rPr>
                <w:sz w:val="18"/>
                <w:szCs w:val="18"/>
                <w:color w:val="auto"/>
              </w:rPr>
            </w:pPr>
          </w:p>
        </w:tc>
        <w:tc>
          <w:tcPr>
            <w:tcW w:w="4240" w:type="dxa"/>
            <w:vAlign w:val="bottom"/>
            <w:tcBorders>
              <w:bottom w:val="single" w:sz="8" w:color="808080"/>
            </w:tcBorders>
          </w:tcPr>
          <w:p>
            <w:pPr>
              <w:spacing w:after="0"/>
              <w:rPr>
                <w:sz w:val="18"/>
                <w:szCs w:val="18"/>
                <w:color w:val="auto"/>
              </w:rPr>
            </w:pPr>
          </w:p>
        </w:tc>
        <w:tc>
          <w:tcPr>
            <w:tcW w:w="306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292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329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tabs>
          <w:tab w:leader="none" w:pos="9760" w:val="left"/>
        </w:tabs>
        <w:rPr>
          <w:sz w:val="20"/>
          <w:szCs w:val="20"/>
          <w:color w:val="auto"/>
        </w:rPr>
      </w:pPr>
      <w:r>
        <w:rPr>
          <w:rFonts w:ascii="Arial" w:cs="Arial" w:eastAsia="Arial" w:hAnsi="Arial"/>
          <w:sz w:val="17"/>
          <w:szCs w:val="17"/>
          <w:color w:val="auto"/>
        </w:rPr>
        <w:t>Proposed NASDAQ Global Market symbol</w:t>
      </w:r>
      <w:r>
        <w:rPr>
          <w:sz w:val="20"/>
          <w:szCs w:val="20"/>
          <w:color w:val="auto"/>
        </w:rPr>
        <w:tab/>
      </w:r>
      <w:r>
        <w:rPr>
          <w:rFonts w:ascii="Arial" w:cs="Arial" w:eastAsia="Arial" w:hAnsi="Arial"/>
          <w:sz w:val="16"/>
          <w:szCs w:val="16"/>
          <w:color w:val="auto"/>
        </w:rPr>
        <w:t>"ACRS."</w:t>
      </w:r>
    </w:p>
    <w:p>
      <w:pPr>
        <w:spacing w:after="0" w:line="211" w:lineRule="exact"/>
        <w:rPr>
          <w:sz w:val="20"/>
          <w:szCs w:val="20"/>
          <w:color w:val="auto"/>
        </w:rPr>
      </w:pPr>
    </w:p>
    <w:p>
      <w:pPr>
        <w:jc w:val="both"/>
        <w:ind w:left="240" w:right="20"/>
        <w:spacing w:after="0" w:line="246" w:lineRule="auto"/>
        <w:rPr>
          <w:sz w:val="20"/>
          <w:szCs w:val="20"/>
          <w:color w:val="auto"/>
        </w:rPr>
      </w:pPr>
      <w:r>
        <w:rPr>
          <w:rFonts w:ascii="Arial" w:cs="Arial" w:eastAsia="Arial" w:hAnsi="Arial"/>
          <w:sz w:val="17"/>
          <w:szCs w:val="17"/>
          <w:color w:val="auto"/>
        </w:rPr>
        <w:t>The number of shares of our common stock that will be outstanding after this offering is based on 36,761,057 shares of common stock outstanding as of January 31, 2015, after giving effect to the conversion of shares of our redeemable convertible preferred stock outstanding as of January 31, 2015 into an aggregate of 27,341,057 shares of our common stock upon the closing of this offering, and excludes:</w:t>
      </w:r>
    </w:p>
    <w:p>
      <w:pPr>
        <w:spacing w:after="0" w:line="225" w:lineRule="exact"/>
        <w:rPr>
          <w:sz w:val="20"/>
          <w:szCs w:val="20"/>
          <w:color w:val="auto"/>
        </w:rPr>
      </w:pPr>
    </w:p>
    <w:p>
      <w:pPr>
        <w:ind w:left="1280" w:hanging="524"/>
        <w:spacing w:after="0" w:line="25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 as of January 31, 2015, at a weighted average exercise price of $0.35 per share; and</w:t>
      </w:r>
    </w:p>
    <w:p>
      <w:pPr>
        <w:spacing w:after="0" w:line="192" w:lineRule="exact"/>
        <w:rPr>
          <w:rFonts w:ascii="Arial" w:cs="Arial" w:eastAsia="Arial" w:hAnsi="Arial"/>
          <w:sz w:val="17"/>
          <w:szCs w:val="17"/>
          <w:color w:val="auto"/>
        </w:rPr>
      </w:pPr>
    </w:p>
    <w:p>
      <w:pPr>
        <w:ind w:left="1280" w:right="280" w:hanging="524"/>
        <w:spacing w:after="0" w:line="246" w:lineRule="auto"/>
        <w:tabs>
          <w:tab w:leader="none" w:pos="1991"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ind w:left="240" w:right="420"/>
        <w:spacing w:after="0" w:line="252" w:lineRule="auto"/>
        <w:rPr>
          <w:sz w:val="20"/>
          <w:szCs w:val="20"/>
          <w:color w:val="auto"/>
        </w:rPr>
      </w:pPr>
      <w:r>
        <w:rPr>
          <w:rFonts w:ascii="Arial" w:cs="Arial" w:eastAsia="Arial" w:hAnsi="Arial"/>
          <w:sz w:val="17"/>
          <w:szCs w:val="17"/>
          <w:color w:val="auto"/>
        </w:rPr>
        <w:t>Except as otherwise indicated herein, all information in this prospectus, including the number of shares that will be outstanding after this offering, assumes or gives effect to:</w:t>
      </w:r>
    </w:p>
    <w:p>
      <w:pPr>
        <w:spacing w:after="0" w:line="181" w:lineRule="exact"/>
        <w:rPr>
          <w:sz w:val="20"/>
          <w:szCs w:val="20"/>
          <w:color w:val="auto"/>
        </w:rPr>
      </w:pPr>
    </w:p>
    <w:p>
      <w:pPr>
        <w:ind w:left="760"/>
        <w:spacing w:after="0"/>
        <w:tabs>
          <w:tab w:leader="none" w:pos="1260" w:val="left"/>
          <w:tab w:leader="none" w:pos="2060" w:val="left"/>
          <w:tab w:leader="none" w:pos="30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reverse stock split of our common stock expected to be completed prior to the closing of this offering;</w:t>
      </w:r>
    </w:p>
    <w:p>
      <w:pPr>
        <w:spacing w:after="0" w:line="249"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outstanding options described above; and</w:t>
      </w:r>
    </w:p>
    <w:p>
      <w:pPr>
        <w:spacing w:after="0" w:line="210" w:lineRule="exact"/>
        <w:rPr>
          <w:rFonts w:ascii="Arial" w:cs="Arial" w:eastAsia="Arial" w:hAnsi="Arial"/>
          <w:sz w:val="17"/>
          <w:szCs w:val="17"/>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314565" cy="4532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453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31" w:lineRule="exact"/>
        <w:rPr>
          <w:sz w:val="20"/>
          <w:szCs w:val="20"/>
          <w:color w:val="auto"/>
        </w:rPr>
      </w:pPr>
    </w:p>
    <w:p>
      <w:pPr>
        <w:ind w:left="240"/>
        <w:spacing w:after="0" w:line="244" w:lineRule="auto"/>
        <w:rPr>
          <w:sz w:val="20"/>
          <w:szCs w:val="20"/>
          <w:color w:val="auto"/>
        </w:rPr>
      </w:pPr>
      <w:r>
        <w:rPr>
          <w:rFonts w:ascii="Arial" w:cs="Arial" w:eastAsia="Arial" w:hAnsi="Arial"/>
          <w:sz w:val="17"/>
          <w:szCs w:val="17"/>
          <w:color w:val="auto"/>
        </w:rPr>
        <w:t>You should read the following summary financial data together with our financial statements and the related notes thereto included elsewhere in this prospectus and the "Selected Financial Data" and "Management's Discussion and Analysis of Financial Condition and Results of Operations" sections of this prospectus. We have derived the statement of operations data for the years ended December 31, 2013 and 2014 and the balance sheet data a of December 31, 2014 from our audited financial statements included elsewhere in this prospectus. Our historical results are not necessarily indicative of the results that should be expected in the future.</w:t>
      </w:r>
    </w:p>
    <w:p>
      <w:pPr>
        <w:spacing w:after="0" w:line="200" w:lineRule="exact"/>
        <w:rPr>
          <w:sz w:val="20"/>
          <w:szCs w:val="20"/>
          <w:color w:val="auto"/>
        </w:rPr>
      </w:pP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9"/>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6"/>
              <w:spacing w:after="0" w:line="151"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81"/>
              </w:rPr>
              <w:t>(in thousands,</w:t>
            </w:r>
          </w:p>
        </w:tc>
        <w:tc>
          <w:tcPr>
            <w:tcW w:w="160" w:type="dxa"/>
            <w:vAlign w:val="bottom"/>
            <w:gridSpan w:val="2"/>
          </w:tcPr>
          <w:p>
            <w:pPr>
              <w:spacing w:after="0"/>
              <w:rPr>
                <w:sz w:val="12"/>
                <w:szCs w:val="12"/>
                <w:color w:val="auto"/>
              </w:rPr>
            </w:pPr>
          </w:p>
        </w:tc>
        <w:tc>
          <w:tcPr>
            <w:tcW w:w="920" w:type="dxa"/>
            <w:vAlign w:val="bottom"/>
            <w:gridSpan w:val="2"/>
          </w:tcPr>
          <w:p>
            <w:pPr>
              <w:jc w:val="right"/>
              <w:ind w:right="76"/>
              <w:spacing w:after="0" w:line="139" w:lineRule="exact"/>
              <w:rPr>
                <w:sz w:val="20"/>
                <w:szCs w:val="20"/>
                <w:color w:val="auto"/>
              </w:rPr>
            </w:pPr>
            <w:r>
              <w:rPr>
                <w:rFonts w:ascii="Arial" w:cs="Arial" w:eastAsia="Arial" w:hAnsi="Arial"/>
                <w:sz w:val="14"/>
                <w:szCs w:val="14"/>
                <w:b w:val="1"/>
                <w:bCs w:val="1"/>
                <w:color w:val="auto"/>
              </w:rPr>
              <w:t>except per</w:t>
            </w: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 data)</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940" w:type="dxa"/>
            <w:vAlign w:val="bottom"/>
            <w:gridSpan w:val="2"/>
          </w:tcPr>
          <w:p>
            <w:pPr>
              <w:ind w:left="1160"/>
              <w:spacing w:after="0"/>
              <w:rPr>
                <w:sz w:val="20"/>
                <w:szCs w:val="20"/>
                <w:color w:val="auto"/>
              </w:rPr>
            </w:pPr>
            <w:r>
              <w:rPr>
                <w:rFonts w:ascii="Arial" w:cs="Arial" w:eastAsia="Arial" w:hAnsi="Arial"/>
                <w:sz w:val="17"/>
                <w:szCs w:val="17"/>
                <w:color w:val="auto"/>
              </w:rPr>
              <w:t>Revenue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1800" w:type="dxa"/>
            <w:vAlign w:val="bottom"/>
            <w:gridSpan w:val="3"/>
          </w:tcPr>
          <w:p>
            <w:pPr>
              <w:jc w:val="right"/>
              <w:ind w:righ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6,507</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tcPr>
          <w:p>
            <w:pPr>
              <w:spacing w:after="0"/>
              <w:rPr>
                <w:sz w:val="17"/>
                <w:szCs w:val="17"/>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780" w:type="dxa"/>
            <w:vAlign w:val="bottom"/>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5,257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8,533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(8,533)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40" w:type="dxa"/>
            <w:vAlign w:val="bottom"/>
            <w:gridSpan w:val="2"/>
          </w:tcPr>
          <w:p>
            <w:pPr>
              <w:ind w:left="116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(5,236)</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(8,517)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40" w:type="dxa"/>
            <w:vAlign w:val="bottom"/>
            <w:gridSpan w:val="2"/>
          </w:tcPr>
          <w:p>
            <w:pPr>
              <w:ind w:left="1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(1,740)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(2,054)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(6,976)</w:t>
            </w:r>
          </w:p>
        </w:tc>
        <w:tc>
          <w:tcPr>
            <w:tcW w:w="360" w:type="dxa"/>
            <w:vAlign w:val="bottom"/>
            <w:gridSpan w:val="2"/>
            <w:shd w:val="clear" w:color="auto" w:fill="CCEEFF"/>
          </w:tcPr>
          <w:p>
            <w:pPr>
              <w:jc w:val="right"/>
              <w:ind w:right="15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(10,571)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116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gridSpan w:val="2"/>
            <w:vMerge w:val="continue"/>
          </w:tcPr>
          <w:p>
            <w:pPr>
              <w:spacing w:after="0"/>
              <w:rPr>
                <w:sz w:val="15"/>
                <w:szCs w:val="15"/>
                <w:color w:val="auto"/>
              </w:rPr>
            </w:pPr>
          </w:p>
        </w:tc>
        <w:tc>
          <w:tcPr>
            <w:tcW w:w="300" w:type="dxa"/>
            <w:vAlign w:val="bottom"/>
            <w:gridSpan w:val="2"/>
          </w:tcPr>
          <w:p>
            <w:pPr>
              <w:jc w:val="right"/>
              <w:spacing w:after="0" w:line="176" w:lineRule="exact"/>
              <w:rPr>
                <w:sz w:val="20"/>
                <w:szCs w:val="20"/>
                <w:color w:val="auto"/>
              </w:rPr>
            </w:pPr>
            <w:r>
              <w:rPr>
                <w:rFonts w:ascii="Arial" w:cs="Arial" w:eastAsia="Arial" w:hAnsi="Arial"/>
                <w:sz w:val="17"/>
                <w:szCs w:val="17"/>
                <w:color w:val="auto"/>
                <w:highlight w:val="white"/>
              </w:rPr>
              <w:t>$</w:t>
            </w:r>
          </w:p>
        </w:tc>
        <w:tc>
          <w:tcPr>
            <w:tcW w:w="900" w:type="dxa"/>
            <w:vAlign w:val="bottom"/>
            <w:gridSpan w:val="2"/>
          </w:tcPr>
          <w:p>
            <w:pPr>
              <w:jc w:val="right"/>
              <w:ind w:right="40"/>
              <w:spacing w:after="0" w:line="176" w:lineRule="exact"/>
              <w:rPr>
                <w:sz w:val="20"/>
                <w:szCs w:val="20"/>
                <w:color w:val="auto"/>
              </w:rPr>
            </w:pPr>
            <w:r>
              <w:rPr>
                <w:rFonts w:ascii="Arial" w:cs="Arial" w:eastAsia="Arial" w:hAnsi="Arial"/>
                <w:sz w:val="17"/>
                <w:szCs w:val="17"/>
                <w:color w:val="auto"/>
              </w:rPr>
              <w:t>(1.87)</w:t>
            </w:r>
          </w:p>
        </w:tc>
        <w:tc>
          <w:tcPr>
            <w:tcW w:w="360" w:type="dxa"/>
            <w:vAlign w:val="bottom"/>
            <w:gridSpan w:val="2"/>
          </w:tcPr>
          <w:p>
            <w:pPr>
              <w:jc w:val="right"/>
              <w:ind w:right="150"/>
              <w:spacing w:after="0" w:line="176"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line="176" w:lineRule="exact"/>
              <w:rPr>
                <w:sz w:val="20"/>
                <w:szCs w:val="20"/>
                <w:color w:val="auto"/>
              </w:rPr>
            </w:pPr>
            <w:r>
              <w:rPr>
                <w:rFonts w:ascii="Arial" w:cs="Arial" w:eastAsia="Arial" w:hAnsi="Arial"/>
                <w:sz w:val="17"/>
                <w:szCs w:val="17"/>
                <w:color w:val="auto"/>
              </w:rPr>
              <w:t>(1.78)</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67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 average common shares outstanding, basic and diluted</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3,731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5,934</w:t>
            </w: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ind w:left="1160"/>
              <w:spacing w:after="0"/>
              <w:rPr>
                <w:sz w:val="20"/>
                <w:szCs w:val="20"/>
                <w:color w:val="auto"/>
              </w:rPr>
            </w:pPr>
            <w:r>
              <w:rPr>
                <w:rFonts w:ascii="Arial" w:cs="Arial" w:eastAsia="Arial" w:hAnsi="Arial"/>
                <w:sz w:val="17"/>
                <w:szCs w:val="17"/>
                <w:color w:val="auto"/>
              </w:rPr>
              <w:t>Pro forma net loss per share attributable to common stockholders, basic and diluted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6780" w:type="dxa"/>
            <w:vAlign w:val="bottom"/>
          </w:tcPr>
          <w:p>
            <w:pPr>
              <w:ind w:left="160"/>
              <w:spacing w:after="0" w:line="194" w:lineRule="exact"/>
              <w:rPr>
                <w:sz w:val="20"/>
                <w:szCs w:val="20"/>
                <w:color w:val="auto"/>
              </w:rPr>
            </w:pPr>
            <w:r>
              <w:rPr>
                <w:rFonts w:ascii="Arial" w:cs="Arial" w:eastAsia="Arial" w:hAnsi="Arial"/>
                <w:sz w:val="17"/>
                <w:szCs w:val="17"/>
                <w:color w:val="auto"/>
              </w:rPr>
              <w:t>(unaudited)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150"/>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678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Pro forma weighted average common shares outstanding, basic and diluted (unaudited)</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28,468</w:t>
            </w:r>
          </w:p>
        </w:tc>
        <w:tc>
          <w:tcPr>
            <w:tcW w:w="16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60" w:type="dxa"/>
            <w:vAlign w:val="bottom"/>
            <w:tcBorders>
              <w:bottom w:val="single" w:sz="8" w:color="auto"/>
            </w:tcBorders>
          </w:tcPr>
          <w:p>
            <w:pPr>
              <w:spacing w:after="0"/>
              <w:rPr>
                <w:sz w:val="7"/>
                <w:szCs w:val="7"/>
                <w:color w:val="auto"/>
              </w:rPr>
            </w:pPr>
          </w:p>
        </w:tc>
        <w:tc>
          <w:tcPr>
            <w:tcW w:w="6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457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summary balance sheet data as of December 31, 2014:</w:t>
      </w:r>
    </w:p>
    <w:p>
      <w:pPr>
        <w:spacing w:after="0" w:line="237" w:lineRule="exact"/>
        <w:rPr>
          <w:sz w:val="20"/>
          <w:szCs w:val="20"/>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10" w:lineRule="exact"/>
        <w:rPr>
          <w:rFonts w:ascii="Arial" w:cs="Arial" w:eastAsia="Arial" w:hAnsi="Arial"/>
          <w:sz w:val="17"/>
          <w:szCs w:val="17"/>
          <w:color w:val="auto"/>
        </w:rPr>
      </w:pPr>
    </w:p>
    <w:p>
      <w:pPr>
        <w:ind w:left="1280" w:right="400" w:hanging="524"/>
        <w:spacing w:after="0" w:line="25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redeemable convertible preferred stock into an aggregate of 27,341,057 shares of our common stock, which will occur upon the closing of this offering; and</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10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5360" w:type="dxa"/>
            <w:vAlign w:val="bottom"/>
            <w:gridSpan w:val="3"/>
          </w:tcPr>
          <w:p>
            <w:pPr>
              <w:spacing w:after="0"/>
              <w:rPr>
                <w:sz w:val="20"/>
                <w:szCs w:val="20"/>
                <w:color w:val="auto"/>
              </w:rPr>
            </w:pPr>
            <w:r>
              <w:rPr>
                <w:rFonts w:ascii="Arial" w:cs="Arial" w:eastAsia="Arial" w:hAnsi="Arial"/>
                <w:sz w:val="17"/>
                <w:szCs w:val="17"/>
                <w:color w:val="auto"/>
              </w:rPr>
              <w:t>on a pro forma as adjusted basis to give further effect to our sale of</w:t>
            </w:r>
          </w:p>
        </w:tc>
        <w:tc>
          <w:tcPr>
            <w:tcW w:w="4880" w:type="dxa"/>
            <w:vAlign w:val="bottom"/>
            <w:gridSpan w:val="10"/>
          </w:tcPr>
          <w:p>
            <w:pPr>
              <w:jc w:val="right"/>
              <w:spacing w:after="0"/>
              <w:rPr>
                <w:sz w:val="20"/>
                <w:szCs w:val="20"/>
                <w:color w:val="auto"/>
              </w:rPr>
            </w:pPr>
            <w:r>
              <w:rPr>
                <w:rFonts w:ascii="Arial" w:cs="Arial" w:eastAsia="Arial" w:hAnsi="Arial"/>
                <w:sz w:val="17"/>
                <w:szCs w:val="17"/>
                <w:color w:val="auto"/>
              </w:rPr>
              <w:t>shares of common stock in this offering at an assumed initi</w:t>
            </w:r>
          </w:p>
        </w:tc>
      </w:tr>
      <w:tr>
        <w:trPr>
          <w:trHeight w:val="197"/>
        </w:trPr>
        <w:tc>
          <w:tcPr>
            <w:tcW w:w="106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auto"/>
              </w:rPr>
              <w:t>public offering price of $</w:t>
            </w:r>
          </w:p>
        </w:tc>
        <w:tc>
          <w:tcPr>
            <w:tcW w:w="8080" w:type="dxa"/>
            <w:vAlign w:val="bottom"/>
            <w:gridSpan w:val="11"/>
          </w:tcPr>
          <w:p>
            <w:pPr>
              <w:jc w:val="right"/>
              <w:ind w:right="60"/>
              <w:spacing w:after="0"/>
              <w:rPr>
                <w:sz w:val="20"/>
                <w:szCs w:val="20"/>
                <w:color w:val="auto"/>
              </w:rPr>
            </w:pPr>
            <w:r>
              <w:rPr>
                <w:rFonts w:ascii="Arial" w:cs="Arial" w:eastAsia="Arial" w:hAnsi="Arial"/>
                <w:sz w:val="17"/>
                <w:szCs w:val="17"/>
                <w:color w:val="auto"/>
              </w:rPr>
              <w:t>per share, which is the midpoint of the price range set forth on the cover page of this prospectus, after</w:t>
            </w:r>
          </w:p>
        </w:tc>
      </w:tr>
      <w:tr>
        <w:trPr>
          <w:trHeight w:val="204"/>
        </w:trPr>
        <w:tc>
          <w:tcPr>
            <w:tcW w:w="1060" w:type="dxa"/>
            <w:vAlign w:val="bottom"/>
          </w:tcPr>
          <w:p>
            <w:pPr>
              <w:spacing w:after="0"/>
              <w:rPr>
                <w:sz w:val="17"/>
                <w:szCs w:val="17"/>
                <w:color w:val="auto"/>
              </w:rPr>
            </w:pPr>
          </w:p>
        </w:tc>
        <w:tc>
          <w:tcPr>
            <w:tcW w:w="10240" w:type="dxa"/>
            <w:vAlign w:val="bottom"/>
            <w:gridSpan w:val="13"/>
          </w:tcPr>
          <w:p>
            <w:pPr>
              <w:spacing w:after="0"/>
              <w:rPr>
                <w:sz w:val="20"/>
                <w:szCs w:val="20"/>
                <w:color w:val="auto"/>
              </w:rPr>
            </w:pPr>
            <w:r>
              <w:rPr>
                <w:rFonts w:ascii="Arial" w:cs="Arial" w:eastAsia="Arial" w:hAnsi="Arial"/>
                <w:sz w:val="17"/>
                <w:szCs w:val="17"/>
                <w:color w:val="auto"/>
              </w:rPr>
              <w:t>deducting the estimated underwriting discounts and commissions and estimated offering expenses payable by us.</w:t>
            </w:r>
          </w:p>
        </w:tc>
      </w:tr>
      <w:tr>
        <w:trPr>
          <w:trHeight w:val="81"/>
        </w:trPr>
        <w:tc>
          <w:tcPr>
            <w:tcW w:w="10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86"/>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60" w:type="dxa"/>
            <w:vAlign w:val="bottom"/>
            <w:gridSpan w:val="9"/>
          </w:tcPr>
          <w:p>
            <w:pPr>
              <w:jc w:val="right"/>
              <w:ind w:right="1800"/>
              <w:spacing w:after="0"/>
              <w:rPr>
                <w:sz w:val="20"/>
                <w:szCs w:val="20"/>
                <w:color w:val="auto"/>
              </w:rPr>
            </w:pPr>
            <w:r>
              <w:rPr>
                <w:rFonts w:ascii="Arial" w:cs="Arial" w:eastAsia="Arial" w:hAnsi="Arial"/>
                <w:sz w:val="14"/>
                <w:szCs w:val="14"/>
                <w:b w:val="1"/>
                <w:bCs w:val="1"/>
                <w:color w:val="auto"/>
              </w:rPr>
              <w:t>As of December 31, 2014</w:t>
            </w:r>
          </w:p>
        </w:tc>
      </w:tr>
      <w:tr>
        <w:trPr>
          <w:trHeight w:val="13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0"/>
              <w:spacing w:after="0" w:line="139" w:lineRule="exact"/>
              <w:rPr>
                <w:sz w:val="20"/>
                <w:szCs w:val="20"/>
                <w:color w:val="auto"/>
              </w:rPr>
            </w:pPr>
            <w:r>
              <w:rPr>
                <w:rFonts w:ascii="Arial" w:cs="Arial" w:eastAsia="Arial" w:hAnsi="Arial"/>
                <w:sz w:val="14"/>
                <w:szCs w:val="14"/>
                <w:b w:val="1"/>
                <w:bCs w:val="1"/>
                <w:color w:val="auto"/>
              </w:rPr>
              <w:t>Pro Forma</w:t>
            </w:r>
          </w:p>
        </w:tc>
        <w:tc>
          <w:tcPr>
            <w:tcW w:w="1180" w:type="dxa"/>
            <w:vAlign w:val="bottom"/>
            <w:gridSpan w:val="2"/>
          </w:tcPr>
          <w:p>
            <w:pPr>
              <w:spacing w:after="0"/>
              <w:rPr>
                <w:sz w:val="12"/>
                <w:szCs w:val="12"/>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Adjusted</w:t>
            </w:r>
          </w:p>
        </w:tc>
        <w:tc>
          <w:tcPr>
            <w:tcW w:w="1180" w:type="dxa"/>
            <w:vAlign w:val="bottom"/>
            <w:gridSpan w:val="2"/>
          </w:tcPr>
          <w:p>
            <w:pPr>
              <w:spacing w:after="0"/>
              <w:rPr>
                <w:sz w:val="14"/>
                <w:szCs w:val="14"/>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3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5360" w:type="dxa"/>
            <w:vAlign w:val="bottom"/>
            <w:gridSpan w:val="3"/>
          </w:tcPr>
          <w:p>
            <w:pPr>
              <w:ind w:left="100"/>
              <w:spacing w:after="0"/>
              <w:rPr>
                <w:sz w:val="20"/>
                <w:szCs w:val="20"/>
                <w:color w:val="auto"/>
              </w:rPr>
            </w:pPr>
            <w:r>
              <w:rPr>
                <w:rFonts w:ascii="Arial" w:cs="Arial" w:eastAsia="Arial" w:hAnsi="Arial"/>
                <w:sz w:val="17"/>
                <w:szCs w:val="17"/>
                <w:color w:val="auto"/>
              </w:rPr>
              <w:t>Cash, cash equivalents and marketable securities</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16,648</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16,648</w:t>
            </w:r>
          </w:p>
        </w:tc>
        <w:tc>
          <w:tcPr>
            <w:tcW w:w="120" w:type="dxa"/>
            <w:vAlign w:val="bottom"/>
          </w:tcPr>
          <w:p>
            <w:pPr>
              <w:spacing w:after="0"/>
              <w:rPr>
                <w:sz w:val="17"/>
                <w:szCs w:val="17"/>
                <w:color w:val="auto"/>
              </w:rPr>
            </w:pPr>
          </w:p>
        </w:tc>
        <w:tc>
          <w:tcPr>
            <w:tcW w:w="940" w:type="dxa"/>
            <w:vAlign w:val="bottom"/>
            <w:gridSpan w:val="2"/>
          </w:tcPr>
          <w:p>
            <w:pPr>
              <w:jc w:val="right"/>
              <w:ind w:right="73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3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14,883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14,883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2160" w:type="dxa"/>
            <w:vAlign w:val="bottom"/>
            <w:gridSpan w:val="2"/>
          </w:tcPr>
          <w:p>
            <w:pPr>
              <w:ind w:left="100"/>
              <w:spacing w:after="0"/>
              <w:rPr>
                <w:sz w:val="20"/>
                <w:szCs w:val="20"/>
                <w:color w:val="auto"/>
              </w:rPr>
            </w:pPr>
            <w:r>
              <w:rPr>
                <w:rFonts w:ascii="Arial" w:cs="Arial" w:eastAsia="Arial" w:hAnsi="Arial"/>
                <w:sz w:val="17"/>
                <w:szCs w:val="17"/>
                <w:color w:val="auto"/>
              </w:rPr>
              <w:t>Total assets</w:t>
            </w:r>
          </w:p>
        </w:tc>
        <w:tc>
          <w:tcPr>
            <w:tcW w:w="320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17,377</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17,377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1060" w:type="dxa"/>
            <w:vAlign w:val="bottom"/>
          </w:tcPr>
          <w:p>
            <w:pPr>
              <w:spacing w:after="0"/>
              <w:rPr>
                <w:sz w:val="18"/>
                <w:szCs w:val="18"/>
                <w:color w:val="auto"/>
              </w:rPr>
            </w:pPr>
          </w:p>
        </w:tc>
        <w:tc>
          <w:tcPr>
            <w:tcW w:w="5360" w:type="dxa"/>
            <w:vAlign w:val="bottom"/>
            <w:gridSpan w:val="3"/>
          </w:tcPr>
          <w:p>
            <w:pPr>
              <w:ind w:left="100"/>
              <w:spacing w:after="0"/>
              <w:rPr>
                <w:sz w:val="20"/>
                <w:szCs w:val="20"/>
                <w:color w:val="auto"/>
              </w:rPr>
            </w:pPr>
            <w:r>
              <w:rPr>
                <w:rFonts w:ascii="Arial" w:cs="Arial" w:eastAsia="Arial" w:hAnsi="Arial"/>
                <w:sz w:val="17"/>
                <w:szCs w:val="17"/>
                <w:color w:val="auto"/>
              </w:rPr>
              <w:t>Total stockholders' equity (deficit)</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(20,755)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15,922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94"/>
        </w:trPr>
        <w:tc>
          <w:tcPr>
            <w:tcW w:w="1160" w:type="dxa"/>
            <w:vAlign w:val="bottom"/>
            <w:tcBorders>
              <w:bottom w:val="single" w:sz="8" w:color="auto"/>
            </w:tcBorders>
            <w:gridSpan w:val="2"/>
          </w:tcPr>
          <w:p>
            <w:pPr>
              <w:spacing w:after="0"/>
              <w:rPr>
                <w:sz w:val="8"/>
                <w:szCs w:val="8"/>
                <w:color w:val="auto"/>
              </w:rPr>
            </w:pPr>
          </w:p>
        </w:tc>
        <w:tc>
          <w:tcPr>
            <w:tcW w:w="5260" w:type="dxa"/>
            <w:vAlign w:val="bottom"/>
            <w:tcBorders>
              <w:bottom w:val="single" w:sz="8" w:color="auto"/>
            </w:tcBorders>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403"/>
        </w:trPr>
        <w:tc>
          <w:tcPr>
            <w:tcW w:w="6420" w:type="dxa"/>
            <w:vAlign w:val="bottom"/>
            <w:gridSpan w:val="4"/>
          </w:tcPr>
          <w:p>
            <w:pPr>
              <w:ind w:left="20"/>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880" w:type="dxa"/>
            <w:vAlign w:val="bottom"/>
            <w:gridSpan w:val="10"/>
          </w:tcPr>
          <w:p>
            <w:pPr>
              <w:jc w:val="right"/>
              <w:spacing w:after="0"/>
              <w:rPr>
                <w:sz w:val="20"/>
                <w:szCs w:val="20"/>
                <w:color w:val="auto"/>
              </w:rPr>
            </w:pPr>
            <w:r>
              <w:rPr>
                <w:rFonts w:ascii="Arial" w:cs="Arial" w:eastAsia="Arial" w:hAnsi="Arial"/>
                <w:sz w:val="17"/>
                <w:szCs w:val="17"/>
                <w:color w:val="auto"/>
              </w:rPr>
              <w:t>per share, which is the midpoint of the price range set forth o</w:t>
            </w:r>
          </w:p>
        </w:tc>
      </w:tr>
    </w:tbl>
    <w:p>
      <w:pPr>
        <w:ind w:left="240"/>
        <w:spacing w:after="0"/>
        <w:rPr>
          <w:sz w:val="20"/>
          <w:szCs w:val="20"/>
          <w:color w:val="auto"/>
        </w:rPr>
      </w:pPr>
      <w:r>
        <w:rPr>
          <w:rFonts w:ascii="Arial" w:cs="Arial" w:eastAsia="Arial" w:hAnsi="Arial"/>
          <w:sz w:val="17"/>
          <w:szCs w:val="17"/>
          <w:color w:val="auto"/>
        </w:rPr>
        <w:t>the cover page of this prospectus, would increase or decrease the pro forma as adjusted amount of each of cash, cash equivalents and marketable</w:t>
      </w:r>
    </w:p>
    <w:p>
      <w:pPr>
        <w:spacing w:after="0" w:line="1" w:lineRule="exact"/>
        <w:rPr>
          <w:sz w:val="20"/>
          <w:szCs w:val="20"/>
          <w:color w:val="auto"/>
        </w:rPr>
      </w:pPr>
    </w:p>
    <w:p>
      <w:pPr>
        <w:ind w:left="240" w:right="140"/>
        <w:spacing w:after="0" w:line="241" w:lineRule="auto"/>
        <w:rPr>
          <w:sz w:val="20"/>
          <w:szCs w:val="20"/>
          <w:color w:val="auto"/>
        </w:rPr>
      </w:pPr>
      <w:r>
        <w:rPr>
          <w:rFonts w:ascii="Arial" w:cs="Arial" w:eastAsia="Arial" w:hAnsi="Arial"/>
          <w:sz w:val="17"/>
          <w:szCs w:val="17"/>
          <w:color w:val="auto"/>
        </w:rPr>
        <w:t>securities, working capital, total assets and total stockholders' equity by $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 of</w:t>
      </w:r>
    </w:p>
    <w:p>
      <w:pPr>
        <w:spacing w:after="0" w:line="1"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cash, cash equivalents and marketable securities, working capital, total assets and total stockholders' equity by $ million, assuming no chang in the assumed initial public offering price per share and after deducting the estimated underwriting discounts and commissions. This pro forma as adjusted information is illustrative only and will depend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Investing in our common stock involves a high degree of risk. Before you invest in our common stock, you should carefully consider the following risks, as well as general economic and business risks, and all of the other information contained in this prospectus. Any of the following risks could have a material adverse effect on our business, operating results and financial condition and cause the trading price of our common stock to decline, which would cause you to lose all or part of your investment. When determining whether to invest, you should also refer to the other information contained in this prospectus, including our financial statements and the related notes thereto.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21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We have incurred significant losses since our inception. We expect to incur losses over the next several years and may never achieve or maintain profitability.</w:t>
      </w:r>
    </w:p>
    <w:p>
      <w:pPr>
        <w:spacing w:after="0" w:line="173" w:lineRule="exact"/>
        <w:rPr>
          <w:sz w:val="20"/>
          <w:szCs w:val="20"/>
          <w:color w:val="auto"/>
        </w:rPr>
      </w:pPr>
    </w:p>
    <w:p>
      <w:pPr>
        <w:jc w:val="both"/>
        <w:ind w:right="180"/>
        <w:spacing w:after="0" w:line="245" w:lineRule="auto"/>
        <w:rPr>
          <w:sz w:val="20"/>
          <w:szCs w:val="20"/>
          <w:color w:val="auto"/>
        </w:rPr>
      </w:pPr>
      <w:r>
        <w:rPr>
          <w:rFonts w:ascii="Arial" w:cs="Arial" w:eastAsia="Arial" w:hAnsi="Arial"/>
          <w:sz w:val="17"/>
          <w:szCs w:val="17"/>
          <w:color w:val="auto"/>
        </w:rPr>
        <w:t>We are a clinical-stage specialty pharmaceutical company with limited operating history. Since inception, we have incurred significant net losses. We incurred net losses of $5.2 million and $8.5 million for the years ended December 31, 2013 and 2014, respectively. As of December 31, 2014, we had an accumulated deficit of $20.7 million. We have financed our operations to date with $31.5 million in gross proceeds raised in private placements of redeemable convertible preferred stock. We have no products approved for commercialization and have never generated any revenue.</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have devoted substantially all of our financial resources and efforts to development of our lead drug candidate, A-101 for the treatment of SK, including preclinical studies and clinical trials. We have completed three Phase 2 clinical trials of A-101 in patients with SK. In addition to developing A-101 for the treatment of SK, we are also developing A-101 as a prescription treatment for common warts as well as A-102, a gel dosage form of hydrogen peroxide, as a prescription treatment for SK and common warts. Therefore,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215"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our ongoing clinical trials evaluating A-101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pursue regulatory approvals for A-101 for the treatment of SK and for any other drug candidates that successfully complete clinical trials;</w:t>
      </w:r>
    </w:p>
    <w:p>
      <w:pPr>
        <w:spacing w:after="0" w:line="210"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 clinical trials of our other drug candidates, including A-101 for the treatment of common warts and A-102 for the treatment of SK and common warts;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to discover and develop additional drug candidates;</w:t>
      </w:r>
    </w:p>
    <w:p>
      <w:pPr>
        <w:spacing w:after="0" w:line="22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ultimately establish a commercialization infrastructure and scale up external manufacturing and distribution capabilities to commercialize any drug candidates for which we may obtain regulatory approval;</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 to in-license or acquire additional drug candidates for other dermatological conditions;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adapt our regulatory compliance efforts to incorporate requirements applicable to marketed drugs;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hire additional clinical, manufacturing and scientific personnel;</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drug development and planned future commercialization efforts;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incur additional legal, accounting and other expenses in operating as a public company.</w:t>
      </w:r>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To become and remain profitable, we must succeed in developing and eventually commercializing drug candidates that generate significant revenue. This will require us to be successful in a range of challenging activities, including completing preclinical testing and clinical trials of our drug candidates, obtaining regulatory approval, and manufacturing, marketing and selling any drug candidates for which we may obtain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regulatory approval, as well as discovering and developing additional drug candidates. We are only in the preliminary stages of most of these activities.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may never succeed in these activities and, even if we do, may never generate revenue that is significant enough to achieve profitability.</w:t>
      </w:r>
    </w:p>
    <w:p>
      <w:pPr>
        <w:spacing w:after="0" w:line="211"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In cases where we are successful in obtaining regulatory approval to market one or more of our drug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drug products, even if approved.</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or the development of any of our drug candidates, our expenses could increase.</w:t>
      </w:r>
    </w:p>
    <w:p>
      <w:pPr>
        <w:spacing w:after="0" w:line="198"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drug approvals, diversify our offerings or continue our operations. A decline in the value of our company could also cause you to lose all or part of your investment.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8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Identifying potential drug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commence our Phase 3 clinical trials of A-101 in patients with SK, seek marketing approval for A-101 for the treatment of SK and advance our other drug candidates. In addition, our drug candidates, if approved, may not achieve commercial success. Our revenue, if any, will be derived from sales of drugs that we do not expect to be commercially available for a number of years, if at all. If we obtain marketing approval for A-101 for the treatment of SK or any other drug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December 31, 2014, we had cash, cash equivalents and marketable securities of $16.6 million. We believe that the anticipated net proceeds from this offering, together with our existing cash, cash equivalents and marketable securities, will enable us to fund our operating expenses and capital expenditure requirements for at least the next months.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drug candidates, and changes in regulation. Our future capital requirements will depend on many factors, including:</w:t>
      </w:r>
    </w:p>
    <w:p>
      <w:pPr>
        <w:spacing w:after="0" w:line="215" w:lineRule="exact"/>
        <w:rPr>
          <w:sz w:val="20"/>
          <w:szCs w:val="20"/>
          <w:color w:val="auto"/>
        </w:rPr>
      </w:pPr>
    </w:p>
    <w:p>
      <w:pPr>
        <w:ind w:left="1060" w:right="220" w:hanging="531"/>
        <w:spacing w:after="0" w:line="25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and results of the three Phase 3 clinical trials of A-101 in patients with SK that we plan to commence in the second half of 2015;</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progress and results of the toxicology studies and Phase 2 clinical trials evaluating A-101 as a potential treatment for common warts;</w:t>
      </w:r>
    </w:p>
    <w:p>
      <w:pPr>
        <w:spacing w:after="0" w:line="224"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drug candidates, including A-102;</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we in-license or acquire other drug candidates and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and development requirements of other drug candidates that we may pursue;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drug candidates;</w:t>
      </w:r>
    </w:p>
    <w:p>
      <w:pPr>
        <w:spacing w:after="0" w:line="210"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drug manufacturing, marketing, sales and distribution, for any of our drug candidates for which we receive marketing approval;</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our drug candidates for which we receive marketing approval;</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establish collaborations to commercialize A-101 outside the United States; and</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expect that we will require additional capital to commercialize A-101 for the treatment of SK. If we receive regulatory approval for A-101 for this indication,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could be forced to curtail our planned operations and the pursuit of our growth strategy.</w:t>
      </w:r>
    </w:p>
    <w:p>
      <w:pPr>
        <w:spacing w:after="0" w:line="179"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b w:val="1"/>
          <w:b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7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color w:val="auto"/>
        </w:rPr>
        <w:t>We have a limited operating history and no history of commercializing drugs, which may make it difficult for you to evaluate the success of our business to date and to assess our future viability.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commenced operations in 2012, and our operations to date have been largely focused on raising capital and developing A-101 for the treatment</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of SK, including undertaking preclinical studies and conducting clinical trials. A-101 for the treatment of SK is our only drug candidate for which we have conducted clinical trials.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 Consequently, any predictions you make about our future success or viability may not be as accurate as they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could be if we had a longer operating history or a history of successfully developing and commercializing drugs.</w:t>
      </w:r>
    </w:p>
    <w:p>
      <w:pPr>
        <w:spacing w:after="0" w:line="21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of Our Drug Candidates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We are early in our development efforts and have only one drug candidate, A-101 for the treatment of SK, for which we have conducted clinical trials. If we are unable to successfully develop, receive regulatory approval for and commercialize A-101 for the treatment of SK or any other drug candidates, or experience significant delays in doing so, our business will be harmed.</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currently have no drug products that are approved for commercial sale. We are early in our development efforts and have only one drug candidate, A-101 for the treatment of SK, for which we have conducted Phase 2 clinical trials. We have not completed the development of any drug candidates and we may never be able to develop marketable drugs. We have invested substantially all of our efforts and financial resources in the development of A-101 for the treatment of SK, the development of our other drug candidates and the identification of potential drug candidates. Our ability to generate revenue from our drug candidates, which we do not expect will occur for a number of years, if ever, will depend heavily on their successful development, regulatory approval and eventual commercialization of these drug candidates. The success of A-101 or any other drug candidates that we develop will depend on several factors, including:</w:t>
      </w:r>
    </w:p>
    <w:p>
      <w:pPr>
        <w:spacing w:after="0" w:line="214"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completion of preclinical studies and our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 development of our manufacturing processes for any of our drug candidates that receive regulatory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receipt of timely marketing approvals from applicable regulatory authorities;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launching commercial sales of drugs, if approved;</w:t>
      </w:r>
    </w:p>
    <w:p>
      <w:pPr>
        <w:spacing w:after="0" w:line="224"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acceptance of our drugs, if approved, by patients, the medical community and third-party payors, and willingness of patients to pay out of pocket for procedures using our drug candidates for the treatment of SK;</w:t>
      </w:r>
    </w:p>
    <w:p>
      <w:pPr>
        <w:spacing w:after="0" w:line="192" w:lineRule="exact"/>
        <w:rPr>
          <w:rFonts w:ascii="Arial" w:cs="Arial" w:eastAsia="Arial" w:hAnsi="Arial"/>
          <w:sz w:val="17"/>
          <w:szCs w:val="17"/>
          <w:color w:val="auto"/>
        </w:rPr>
      </w:pPr>
    </w:p>
    <w:p>
      <w:pPr>
        <w:ind w:left="1060" w:right="32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success in educating physicians and patients about the benefits, administration and use of A-101 or any other drug candidates, if approved;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prevalence and severity of adverse events experienced with A-101 or our other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treatments for SK;</w:t>
      </w:r>
    </w:p>
    <w:p>
      <w:pPr>
        <w:spacing w:after="0" w:line="210"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and maintaining patent, trademark and trade secret protection and regulatory exclusivity for our drug candidates and otherwise protecting our rights in our intellectual property portfolio;</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compliance with regulatory requirements, including current good manufacturing practices, or cGMPs;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competing effectively with other procedures;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 continued acceptable safety, tolerability and efficacy profile of the drugs following approval.</w:t>
      </w:r>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Whether regulatory approval will be granted is unpredictable and depends upon numerous factors, including the substantial discretion of the regulatory authorities. Our drug candidates' success in clinical trials will not guarantee regulatory approval. If, following submission, our NDA for A-101 for the treatment of SK or any other drug candidate is not accepted for substantive review, or even if it is accepted for substantive review, the FDA or other comparable foreign regulatory authorities may require that we conduct additional studies or clinical trials, provide additional data, take additional manufacturing steps, or require other conditions before they will reconsider or approve our application. If the FDA or other comparable foreign</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98"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It is possible that A-101 or any of our other drug candidates will never obtain regulatory approval, even if we expend substantial time and resources seeking such approval. If we do not achieve one or more of these factors in a timely manner or at all, we could experience significant delays or an inability to successfully commercialize our drug candidates, which would harm our business.</w:t>
      </w:r>
    </w:p>
    <w:p>
      <w:pPr>
        <w:spacing w:after="0" w:line="179"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risk of failure for our drug candidates is high. It is impossible to predict when or if any of our drug candidates will prove effective or safe in humans or will receive regulatory approval. Before obtaining marketing approval from regulatory authorities for the sale of any drug candidate, we must complete preclinical development and then conduct extensive clinical trials to demonstrate the safety and efficacy of our drug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drugs.</w:t>
      </w:r>
    </w:p>
    <w:p>
      <w:pPr>
        <w:spacing w:after="0" w:line="20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not completed all clinical trials required for the approval of any of our drug candidates. Based on the feedback from our recent meeting with the FDA in May 2015, we plan to commence three Phase 3 clinical trials of A-101 in patients with SK lesions on the face, trunk and extremities in the second half of 2015. We have also requested scientific advice from the EMA for A-101 for the treatment of SK. The development of our other drug candidates is less advanced and we have not commenced any clinical trials. We cannot assure you that any Phase 3 or other clinical trials that we may conduct will demonstrate consistent or adequate efficacy and safety to obtain regulatory approval to market our drug candidates.</w:t>
      </w:r>
    </w:p>
    <w:p>
      <w:pPr>
        <w:spacing w:after="0" w:line="199"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206" w:lineRule="exact"/>
        <w:rPr>
          <w:sz w:val="20"/>
          <w:szCs w:val="20"/>
          <w:color w:val="auto"/>
        </w:rPr>
      </w:pPr>
    </w:p>
    <w:p>
      <w:pPr>
        <w:ind w:left="1060" w:right="10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or our investigators to commence a clinical trial or conduct a clinical trial at a prospective trial site;</w:t>
      </w:r>
    </w:p>
    <w:p>
      <w:pPr>
        <w:spacing w:after="0" w:line="205"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clinical trial contracts or clinical trial protocols with prospective trial sites or prospective contract research organizations, or CROs, the terms of which can be subject to extensive negotiation and may vary significantly among different CROs and trial sites;</w:t>
      </w:r>
    </w:p>
    <w:p>
      <w:pPr>
        <w:spacing w:after="0" w:line="198"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including failure to demonstrate statistical significance, and we may decide, or regulators may require us, to conduct additional clinical trials or abandon drug development programs;</w:t>
      </w:r>
    </w:p>
    <w:p>
      <w:pPr>
        <w:spacing w:after="0" w:line="192"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211"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institutional review boards to suspend or terminate the trials;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w:t>
      </w:r>
    </w:p>
    <w:p>
      <w:pPr>
        <w:spacing w:after="0" w:line="205"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 of clinical trials of our drug candidates may be greater than we anticipate; and</w:t>
      </w:r>
    </w:p>
    <w:p>
      <w:pPr>
        <w:spacing w:after="0" w:line="210"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clinical trials of our drug candidates may be insufficient or inadequate.</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 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favorable or if there are safety concerns, we may:</w:t>
      </w:r>
    </w:p>
    <w:p>
      <w:pPr>
        <w:spacing w:after="0" w:line="229"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the drug removed from the market after obtaining marketing approval.</w:t>
      </w:r>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drug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drugs to market before we do and impair our ability to successfully commercialize our drug candidates.</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color w:val="auto"/>
        </w:rPr>
        <w:t>If we experience delays or difficulties in the enrollment of patients in clinical trials, our receipt of necessary regulatory approvals could be delayed or prevented.</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Trials may be subject to delays as a result of patient enrollment taking longer than anticipated or patient withdrawal. We may not be able to initiate or continue clinical trials for our drug candidates if we are unable to locate and enroll a sufficient number of eligible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color w:val="auto"/>
        </w:rPr>
        <w:t>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206"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eligibility criteria for the trial in question;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of drugs approved to treat the skin disease in the trial;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1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Our inability to enroll a sufficient number of patients for clinical trials would result in significant delays and could require us or them to abandon one or more clinical trials altogether. Enrollment delays in these clinical trials may result in increased development costs for our drug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Our clinical trials may fail to demonstrate the safety and efficacy of our drug candidates, or serious adverse or unacceptable side effects may be identified during the development of our drug candidates, which could prevent or delay regulatory approval and commercialization, increase our costs or necessitate the abandonment or limitation of the development of some of our drug candidates.</w:t>
      </w:r>
    </w:p>
    <w:p>
      <w:pPr>
        <w:spacing w:after="0" w:line="18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Before obtaining regulatory approvals for the commercial sale of our drug candidates, we must demonstrate through lengthy, complex and expensive preclinical testing and clinical trials that our drug candidates are both safe and effective for use in each target indication, and failures can occur at any stage of testing. Clinical trials often fail to demonstrate safety and efficacy of the drug candidate studied for the target indication.</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our drug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institutional review board may also require that we suspend, discontinue, or limit our clinical trials based on safety information. Such findings could further result in regulatory authorities failing to provide marketing authorization for our drug candidates. Many drug candidates that initially showed promise in early stage testing have later been found to cause side effects that prevented further development of the drug candidate.</w:t>
      </w:r>
    </w:p>
    <w:p>
      <w:pPr>
        <w:spacing w:after="0" w:line="202"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Additionally, if one or more of our drug candidates receives marketing approval, and we or others identify undesirable side effects caused by such drugs, a number of potentially significant negative consequences could result, including:</w:t>
      </w:r>
    </w:p>
    <w:p>
      <w:pPr>
        <w:spacing w:after="0" w:line="219"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reputation and physician or patient acceptance of our products may suffer.</w:t>
      </w:r>
    </w:p>
    <w:p>
      <w:pPr>
        <w:spacing w:after="0" w:line="211"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drug candidate, if approved, and could significantly harm our business, results of operations and prospects.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methods of drug candidate manufacturing or formulation may result in additional costs or delay.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drug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drug candidates to perform differently and affect the results of planned clinical trials or other future clinical trials conducted with the altered materials. For example, if we need to manufacture A-102, we may experience difficulties manufacturing a stable gel dosage form as opposed to a topical solution. Such changes may also require additional testing, FDA notification or FDA approval. This could delay completion of clinical trials, require the conduct of bridging clinical trials or the repetition of one or more clinical trials, increase clinical trial costs, delay approval of our drug candidates and jeopardize our ability to commence sales and generate revenue.</w:t>
      </w:r>
    </w:p>
    <w:p>
      <w:pPr>
        <w:spacing w:after="0" w:line="18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color w:val="auto"/>
        </w:rPr>
        <w:t>We may not be successful in our efforts to increase our pipeline of drug candidates, including by in-licensing or acquiring additional drug candidates for other dermatological conditions.</w:t>
      </w:r>
    </w:p>
    <w:p>
      <w:pPr>
        <w:spacing w:after="0" w:line="173"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A key element of our strategy is to build and expand our pipeline of drug candidates. In addition, we intend to in-license or acquire additional drug candidates for other dermatological conditions to build a fully integrated dermatology company. We may not be able to identify or develop drug candidates that are safe, tolerable and effective. Even if we are successful in continuing to build our pipeline, the potential drug candidates that we identify, in-license or acquire may not be suitable for clinical development, including as a result of being shown to have harmful side effects or other characteristics that indicate that they are unlikely to be drugs that will receive marketing approval and achieve market acceptance.</w:t>
      </w:r>
    </w:p>
    <w:p>
      <w:pPr>
        <w:spacing w:after="0" w:line="179"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Because we have limited financial and management resources, we focus on development programs and drug candidates that we identify for specific indications. As such, we are currently primarily focused on the development of A-101 for the treatment of SK.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Drug Candidates</w:t>
      </w:r>
    </w:p>
    <w:p>
      <w:pPr>
        <w:spacing w:after="0" w:line="211"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b w:val="1"/>
          <w:b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3"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If our drug candidates do not achieve an adequate level of acceptance, we may not generate significant revenue and we may not become profitable. The degree of market acceptance of our drug candidates, if approved for commercial sale, will depend on a number of factors, including:</w:t>
      </w:r>
    </w:p>
    <w:p>
      <w:pPr>
        <w:spacing w:after="0" w:line="211"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efficacy, safety and potential advantages compared to alternative treatments;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offer our drugs for sale at competitive prices;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dermatologists to charge a premium for A-101 and our other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convenience and ease of administration compared to alternative treatments;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treatments and of physicians to prescribe these treatments;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hire and retain a sales force in the United States;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patients to pay out of pocket for procedures using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prevalence and severity of any side effects;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restrictions on the use of our drugs together with other medications.</w:t>
      </w:r>
    </w:p>
    <w:p>
      <w:pPr>
        <w:spacing w:after="0" w:line="19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If we are unable to establish sales, marketing and distribution capabilities for A-101 or any other drug candidate that may receive regulatory approval, we may not be successful in commercializing those drug candidates if and when they are approved.</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never commercialized a drug candidate and we do not have a sales or marketing infrastructure and have no experience in the sale, marketing or distribution of pharmaceutical drugs. To achieve commercial success for A-101 and any other drug candidate for which we may obtain marketing approval, we will need to establish a sales and marketing organization. In the future, we expect to build a focused sales and marketing infrastructure to market or co-promote some of our drug candidates in the United States, if and when they are approved. There are risks involved with establishing our own sales, marketing and distribution capabilities.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drugs on our own include:</w:t>
      </w:r>
    </w:p>
    <w:p>
      <w:pPr>
        <w:spacing w:after="0" w:line="224"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drugs;</w:t>
      </w:r>
    </w:p>
    <w:p>
      <w:pPr>
        <w:spacing w:after="0" w:line="210"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lack of complementary drugs to be offered by sales personnel, which may put us at a competitive disadvantage relative to companies with more extensive product lines;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21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drugs that we develop ourselves. In addition, we may not be successful in entering into arrangements with third parties to sell, market and distribute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marketing and distribution capabilities successfully, either on our own or in collaboration with third parties, we will not be successful in commercializing our drug candidates.</w:t>
      </w:r>
    </w:p>
    <w:p>
      <w:pPr>
        <w:spacing w:after="0" w:line="1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We face substantial competition, which may result in others discovering, developing or commercializing drugs before or more successfully than we do.</w:t>
      </w:r>
    </w:p>
    <w:p>
      <w:pPr>
        <w:spacing w:after="0" w:line="17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current drug candidates, and will face competition with respect to any drug candidates that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we may seek to develop or commercialize in the future, from many different sources, including major pharmaceutical and specialty pharmaceutical companies, academic institutions and governmental agencies and public and private research institutions.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With respect to A-101 for the treatment of SK, we are aware of one biopharmaceutical company developing a combination drug candidate that targets SK, and another company that currently markets a line of cosmetic products targeting skin conditions, including SK.</w:t>
      </w:r>
    </w:p>
    <w:p>
      <w:pPr>
        <w:spacing w:after="0" w:line="19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With respect to A-101 for the treatment of common warts, we are aware of one company developing a prescription treatment for common warts and another company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programs.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color w:val="auto"/>
        </w:rPr>
        <w:t>We expect third-party payors generally will not cover the use of our drug candidates for the treatment of SK and, accordingly, our success will be dependent upon the willingness of patients to pay out of pocket for procedures using these drug candidates.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do not expect third-party payors to cover and reimburse providers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of A-101 and A-102 depends on the extent to which patients will be willing to pay out of pocket for the in-office procedure using these drug candidates.</w:t>
      </w:r>
    </w:p>
    <w:p>
      <w:pPr>
        <w:spacing w:after="0" w:line="186"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b w:val="1"/>
          <w:bCs w:val="1"/>
          <w:color w:val="auto"/>
        </w:rPr>
        <w:t>The success of our drug candidates for the treatment of common warts will depend significantly on continued coverage and adequate reimbursement or the willingness of patients to pay for these procedures.</w:t>
      </w:r>
    </w:p>
    <w:p>
      <w:pPr>
        <w:spacing w:after="0" w:line="1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drug candidates.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Further, from time to time, typically on an annual basis, payment amounts are updated and revised by third-party payors. To the extent that the procedures using our drug candidates, if approved, are covered, the cost of our products are generally recovered by the healthcare provider as part of the payment for performing a procedure and not separately reimbursed. Accordingly, these updates could impact the demand for our drug candidates, if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the resulting decrease in payment may adversely affect our revenue and results of operations. In addition, the Medicare physician fee schedule has been adapted by some private payors into their plan-specific physician payment schedule. We cannot predict how pending and future healthcare legislation will impact our business, and any changes in coverage and reimbursement that further restricts coverage of our drug candidates or lowers reimbursement for procedures using our products could harm our business.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There can be no assurance that our drug candidates for the treatment of common warts, if they are approved for sale in the United States or in other countries, will be considered medically reasonable and necessary, that they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drugs candidates profitably if they are approved for sale.</w:t>
      </w:r>
    </w:p>
    <w:p>
      <w:pPr>
        <w:spacing w:after="0" w:line="17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color w:val="auto"/>
        </w:rPr>
        <w:t>Product liability lawsuits against us could cause us to incur substantial liabilities and to limit commercialization of any drugs that we may develop.</w:t>
      </w:r>
    </w:p>
    <w:p>
      <w:pPr>
        <w:spacing w:after="0" w:line="17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drugs that we may develop. If we cannot successfully defend ourselves against claims that our drug candidates or drugs caused injuries, we will incur substantial liabilities. Regardless of merit or eventual outcome, liability claims may result in:</w:t>
      </w:r>
    </w:p>
    <w:p>
      <w:pPr>
        <w:spacing w:after="0" w:line="21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demand for any drug candidates or drugs that we may develop;</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paid to trial participants or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reduced resources of our management to pursue our business strategy;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any drugs that we may develop.</w:t>
      </w:r>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drug candidates. Insurance coverage is increasingly expensive. We may not be able to maintain insurance coverage at a reasonable cost or in an amount adequate to satisfy any liability that may arise.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and operations would suffer in the event of computer system failures, cyber-attacks or a deficiency in our cyber-security.</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1" w:lineRule="exact"/>
        <w:rPr>
          <w:sz w:val="20"/>
          <w:szCs w:val="20"/>
          <w:color w:val="auto"/>
        </w:rPr>
      </w:pPr>
    </w:p>
    <w:p>
      <w:pPr>
        <w:ind w:right="880"/>
        <w:spacing w:after="0" w:line="276" w:lineRule="auto"/>
        <w:rPr>
          <w:sz w:val="20"/>
          <w:szCs w:val="20"/>
          <w:color w:val="auto"/>
        </w:rPr>
      </w:pPr>
      <w:r>
        <w:rPr>
          <w:rFonts w:ascii="Arial" w:cs="Arial" w:eastAsia="Arial" w:hAnsi="Arial"/>
          <w:sz w:val="17"/>
          <w:szCs w:val="17"/>
          <w:b w:val="1"/>
          <w:bCs w:val="1"/>
          <w:color w:val="auto"/>
        </w:rPr>
        <w:t>We expect to rely on third parties to conduct our future clinical trials for drug candidates, and those third parties may not perform satisfactorily, including failing to meet deadlines for the completion of such trials.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expect to engage a CRO to conduct our planned clinical trials of A-101 or any of our other drug candidates that may progress to clinical development. We expect to continue to rely on third parties, such as clinical data management organizations, medical institutions and 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Consequently, our results of operations and the commercial prospects for our drug candidates would be harmed, our costs could increase substantially and our ability to generate revenue could be delayed significantly.</w:t>
      </w:r>
    </w:p>
    <w:p>
      <w:pPr>
        <w:spacing w:after="0" w:line="205"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04"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Any performance failure on the part of our distributors could delay clinical development or marketing approval of our drug candidates or commercialization of our drugs, producing additional losses and depriving us of potential revenue.</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color w:val="auto"/>
        </w:rPr>
        <w:t>We contract with third parties for the manufacture of A-101 for preclinical and clinical testing and expect to continue to do so for commercialization. This reliance on third parties increases the risk that we will not have sufficient quantities of A-101 or such quantities at an acceptable cost, which could delay, prevent or impair our development or commercialization efforts.</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do not have any manufacturing facilities or personnel. We currently rely, and expect to continue to rely, on third parties for the manufacture of A-101 for preclinical and clinical testing, as well as for commercial manufacture if any of our drug candidates, including A-101, receive marketing approval. For example, we have entered into an exclusive, ten-year, automatically renewable supply agreement with PeroxyChem LLC, or PeroxyChem, a manufacturer of hydrogen peroxide, to provide the active pharmaceutical ingredient that can be used in A-101 for the treatment of SK. This reliance on third parties increases the risk that we will not have sufficient quantities of A-101 or such quantities at an acceptable cost or quality, which could delay, prevent or impair our ability to timely conduct our clinical trials or our other development or commercialization efforts.</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also expect to rely on third-party manufacturers or third-party collaborators for the manufacture of commercial supply of A-101 or any other drug candidates for which we obtain marketing approval. The facilities used by our contract manufacturers to manufacture our drug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9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may be unable to establish any agreements with future third-party manufacturers or to do so on acceptable terms. Even if we are able to establish agreements with third-party manufacturers, reliance on third-party manufacturers entails additional risks, including:</w:t>
      </w:r>
    </w:p>
    <w:p>
      <w:pPr>
        <w:spacing w:after="0" w:line="206"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increase in costs by PeroxyChem for the active pharmaceutical ingredient in A-101;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supplies of our drugs.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We may incur added costs and delays in identifying and qualifying any such replacement.</w:t>
      </w:r>
    </w:p>
    <w:p>
      <w:pPr>
        <w:spacing w:after="0" w:line="19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expect to continue to depend on third-party contract manufacturers for the foreseeable future. 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color w:val="auto"/>
        </w:rPr>
        <w:t>We may seek collaborations with third parties for the development or commercialization of our drug candidates. If those collaborations are not successful, we may not be able to capitalize on the market potential of these drug candidates.</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may seek third-party collaborators for the development and commercialization of our drug candidates, including for the commercialization of any of our drug candidates that are approved for marketing outside the United States. Our likely collaborators for any collaboration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collaborators dedicate to the development or commercialization of our drug candidates. Our ability to generate revenue from these arrangements will depend on our collaborators' abilities to successfully perform the functions assigned to them in these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drug candidates would pose the following risks to us:</w:t>
      </w:r>
    </w:p>
    <w:p>
      <w:pPr>
        <w:spacing w:after="0" w:line="224"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line="24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drug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11"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192"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drug candidates if the collaborators believe that competitive products are more likely to be successfully developed or can be commercialized under terms that are more economically attractive than ours;</w:t>
      </w:r>
    </w:p>
    <w:p>
      <w:pPr>
        <w:spacing w:after="0" w:line="198"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drug candidates discovered in collaboration with us may be viewed by our collaborators as competitive with their own drug candidates or drugs, which may cause collaborators to cease to devote resources to the commercialization of our drug candidates;</w:t>
      </w:r>
    </w:p>
    <w:p>
      <w:pPr>
        <w:spacing w:after="0" w:line="205"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drug candidates that achieve regulatory approval may not commit sufficient resources to the marketing and distribution of such drugs;</w:t>
      </w:r>
    </w:p>
    <w:p>
      <w:pPr>
        <w:spacing w:after="0" w:line="192" w:lineRule="exact"/>
        <w:rPr>
          <w:rFonts w:ascii="Arial" w:cs="Arial" w:eastAsia="Arial" w:hAnsi="Arial"/>
          <w:sz w:val="17"/>
          <w:szCs w:val="17"/>
          <w:color w:val="auto"/>
        </w:rPr>
      </w:pPr>
    </w:p>
    <w:p>
      <w:pPr>
        <w:ind w:left="1060" w:right="360" w:hanging="531"/>
        <w:spacing w:after="0" w:line="245"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drug candidates, might lead to additional responsibilities for us with respect to drug candidates, or might result in litigation or arbitration, any of which would be time-consuming and expensive;</w:t>
      </w:r>
    </w:p>
    <w:p>
      <w:pPr>
        <w:spacing w:after="0" w:line="198"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210"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drug candidates.</w:t>
      </w:r>
    </w:p>
    <w:p>
      <w:pPr>
        <w:spacing w:after="0" w:line="193"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establish collaborations, we may have to alter our development and commercialization plans.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drug development programs and the potential commercialization of our drug candidates will require substantial additional capital. For some of our drug candidates, we may decide to collaborate with pharmaceutical and biotechnology companies for the development and potential commercialization of those drug candidates.</w:t>
      </w:r>
    </w:p>
    <w:p>
      <w:pPr>
        <w:spacing w:after="0" w:line="19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11" w:lineRule="exact"/>
        <w:rPr>
          <w:sz w:val="20"/>
          <w:szCs w:val="20"/>
          <w:color w:val="auto"/>
        </w:rPr>
      </w:pPr>
    </w:p>
    <w:p>
      <w:pPr>
        <w:jc w:val="both"/>
        <w:ind w:right="360"/>
        <w:spacing w:after="0" w:line="259" w:lineRule="auto"/>
        <w:rPr>
          <w:sz w:val="20"/>
          <w:szCs w:val="20"/>
          <w:color w:val="auto"/>
        </w:rPr>
      </w:pPr>
      <w:r>
        <w:rPr>
          <w:rFonts w:ascii="Arial" w:cs="Arial" w:eastAsia="Arial" w:hAnsi="Arial"/>
          <w:sz w:val="17"/>
          <w:szCs w:val="17"/>
          <w:b w:val="1"/>
          <w:bCs w:val="1"/>
          <w:color w:val="auto"/>
        </w:rPr>
        <w:t>If we are unable to obtain and maintain patent protection for our drug candidates, or if the scope of the patent protection obtained is not sufficiently broad, our competitors could develop and commercialize technology and drugs similar or identical to ours, and our ability to successfully commercialize our technology and drug candidates may be impaired.</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drug candidates. We seek to protect our proprietary position by filing patent applications in the United States and abroad related to our drug candidates.</w:t>
      </w:r>
    </w:p>
    <w:p>
      <w:pPr>
        <w:spacing w:after="0" w:line="19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 xml:space="preserve">Moreover, we may be subject to a third-party preissuance submission of prior art to the U.S. Patent and Trademark Office, or USPTO, or become involved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20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drugs in a non-infringing manner.</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w:t>
      </w:r>
    </w:p>
    <w:p>
      <w:pPr>
        <w:spacing w:after="0" w:line="181" w:lineRule="exact"/>
        <w:rPr>
          <w:sz w:val="20"/>
          <w:szCs w:val="20"/>
          <w:color w:val="auto"/>
        </w:rPr>
      </w:pPr>
    </w:p>
    <w:p>
      <w:pPr>
        <w:ind w:right="640"/>
        <w:spacing w:after="0" w:line="276" w:lineRule="auto"/>
        <w:rPr>
          <w:sz w:val="20"/>
          <w:szCs w:val="20"/>
          <w:color w:val="auto"/>
        </w:rPr>
      </w:pPr>
      <w:r>
        <w:rPr>
          <w:rFonts w:ascii="Arial" w:cs="Arial" w:eastAsia="Arial" w:hAnsi="Arial"/>
          <w:sz w:val="17"/>
          <w:szCs w:val="17"/>
          <w:b w:val="1"/>
          <w:bCs w:val="1"/>
          <w:color w:val="auto"/>
        </w:rPr>
        <w:t>We may become involved in lawsuits to protect or enforce our patents or other intellectual property, which could be expensive, time-consuming and unsuccessful.</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our intellectual property rights throughout the world.</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and our intellectual property rights in some countries outside the United States can be less extensive than those in the United States. For example, the use of A-101 for the treatment of SK is covered in the United States, Australia, India and New Zealand, but not Europe. In addition, the laws of some foreign countries do not protect intellectual property rights to the same extent as federal and state laws in the United States. Consequently, we may not be able to prevent third parties from practicing our invention in such countries.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ind w:right="880"/>
        <w:spacing w:after="0" w:line="276" w:lineRule="auto"/>
        <w:rPr>
          <w:sz w:val="20"/>
          <w:szCs w:val="20"/>
          <w:color w:val="auto"/>
        </w:rPr>
      </w:pPr>
      <w:r>
        <w:rPr>
          <w:rFonts w:ascii="Arial" w:cs="Arial" w:eastAsia="Arial" w:hAnsi="Arial"/>
          <w:sz w:val="17"/>
          <w:szCs w:val="17"/>
          <w:b w:val="1"/>
          <w:bCs w:val="1"/>
          <w:color w:val="auto"/>
        </w:rPr>
        <w:t>We may need to license intellectual property from third parties, and such licenses may not be available or may not be available on commercially reasonable terms.</w:t>
      </w:r>
    </w:p>
    <w:p>
      <w:pPr>
        <w:spacing w:after="0" w:line="17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It may be necessary for us to use the patented or proprietary technology of third parties to commercialize our drug candidates, in which case we would be required to obtain a license from these third parties on commercially reasonable terms, or our business could be harmed, possibly materially.</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commercial success depends upon our ability to develop, manufacture, market and sell our drug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drugs and technology, including interference or derivation proceedings before the USPTO. Numerous U.S. and foreign issued patents and pending patent applications owned by third parties exist in the fields in which we are developing our drug candidates. Third parties may assert infringement claims against us based on existing patents or patents that may be granted in the future.</w:t>
      </w:r>
    </w:p>
    <w:p>
      <w:pPr>
        <w:spacing w:after="0" w:line="202" w:lineRule="exact"/>
        <w:rPr>
          <w:sz w:val="20"/>
          <w:szCs w:val="20"/>
          <w:color w:val="auto"/>
        </w:rPr>
      </w:pPr>
    </w:p>
    <w:p>
      <w:pPr>
        <w:ind w:right="840"/>
        <w:spacing w:after="0" w:line="25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drugs and technology. However, we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drug. In addition, we could be found liable for monetary damages, including treble damages and attorneys' fees if we are found to have willfully infringed a patent.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redesign our infringing product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6"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We may be subject to claims by third parties asserting that we or our employees have misappropriated their intellectual property, or claiming ownership of what we regard as our own intellectual property.</w:t>
      </w:r>
    </w:p>
    <w:p>
      <w:pPr>
        <w:spacing w:after="0" w:line="17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Many of our employees were previously employed at other biotechnology or pharmaceutical companies.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9"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We may be involved in lawsuits to protect or enforce our patents, which could be expensive, time-consuming and unsuccessful. Further, our issued patents could be found invalid or unenforceable if challenged in court.</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If we were to initiate legal proceedings against a third party to enforce a patent directed at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drug candidates. Such a loss of patent protection would harm our business.</w:t>
      </w:r>
    </w:p>
    <w:p>
      <w:pPr>
        <w:spacing w:after="0" w:line="20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to it from the prevailing party. Our business could be harmed if the prevailing party does not offer us a license on commercially reasonable terms.</w:t>
      </w:r>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Most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litigation could cause us to spend substantial resources and distract our personnel from their normal responsibilities.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protect the confidentiality of our trade secrets, our business and competitive position would be harmed.</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In addition to seeking patents for our drug candidates, we also rely on trade secrets, including unpatented know-how, technology and other proprietary information, to maintain our competitive position.</w:t>
      </w:r>
    </w:p>
    <w:p>
      <w:pPr>
        <w:spacing w:after="0" w:line="19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trade secrets were to be disclosed to or independently developed by a competitor, our competitive position would be harmed.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validity, scope and enforceability of any patents listed in the Orange Book that cover A-101 can be challenged by competitors.</w:t>
      </w:r>
    </w:p>
    <w:p>
      <w:pPr>
        <w:spacing w:after="0" w:line="23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If A-101 is approved by the FDA, one or more third parties may challenge the patents covering A-101, which could result in the invalidation of, or render unenforceable, some or all of the relevant patent claims. For example, if a third party files an Abbreviated New Drug Application, or ANDA, for a generic drug containing A-101, and relies in whole or in part on studies conducted by or for us, the third party will be required to certify to the FDA that either:</w:t>
      </w:r>
    </w:p>
    <w:p>
      <w:pPr>
        <w:spacing w:after="0" w:line="1" w:lineRule="exact"/>
        <w:rPr>
          <w:sz w:val="20"/>
          <w:szCs w:val="20"/>
          <w:color w:val="auto"/>
        </w:rPr>
      </w:pPr>
    </w:p>
    <w:p>
      <w:pPr>
        <w:ind w:right="20" w:firstLine="5"/>
        <w:spacing w:after="0" w:line="242" w:lineRule="auto"/>
        <w:tabs>
          <w:tab w:leader="none" w:pos="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drug candidates.</w:t>
      </w:r>
    </w:p>
    <w:p>
      <w:pPr>
        <w:spacing w:after="0" w:line="18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color w:val="auto"/>
        </w:rPr>
        <w:t>If we do not obtain protection under the Hatch-Waxman Amendments by extending the patent term and obtaining data exclusivity for our drug candidates, our business may be materially harmed.</w:t>
      </w:r>
    </w:p>
    <w:p>
      <w:pPr>
        <w:spacing w:after="0" w:line="173"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commercial success will largely depend on our ability to obtain and maintain patent and other intellectual property in the United States and other countries with respect to our proprietary technology, drug candidates and our target indications. Our issued U.S. patents, with claims directed to treatment of SK and acrochordons, are set to expire in 2022. Given the amount of time required for the development, testing and regulatory review of new drug candidates, patents protecting our drug candidates might expire before or shortly after such candidates begin to be commercialized. We expect to seek extensions of patent terms in the U.S. and, if available, in other countries where we are prosecuting patents.</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Depending upon the timing, duration and specifics of FDA marketing approval of our drug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We also intend to pursue additional patent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protection for our drug candidates that, if issued, would naturally expire in 2035 or later. However, we may not obtain such patent protection.</w:t>
      </w:r>
    </w:p>
    <w:p>
      <w:pPr>
        <w:spacing w:after="0" w:line="211" w:lineRule="exact"/>
        <w:rPr>
          <w:sz w:val="20"/>
          <w:szCs w:val="20"/>
          <w:color w:val="auto"/>
        </w:rPr>
      </w:pPr>
    </w:p>
    <w:p>
      <w:pPr>
        <w:jc w:val="both"/>
        <w:ind w:right="320"/>
        <w:spacing w:after="0" w:line="246" w:lineRule="auto"/>
        <w:rPr>
          <w:sz w:val="20"/>
          <w:szCs w:val="20"/>
          <w:color w:val="auto"/>
        </w:rPr>
      </w:pPr>
      <w:r>
        <w:rPr>
          <w:rFonts w:ascii="Arial" w:cs="Arial" w:eastAsia="Arial" w:hAnsi="Arial"/>
          <w:sz w:val="17"/>
          <w:szCs w:val="17"/>
          <w:color w:val="auto"/>
        </w:rPr>
        <w:t>If we are unable to extend the expiration date of our existing patents or obtain new patents with longer expiry dates, our competitors may be able to take advantage of our investment in development and clinical trials by referencing our clinical and pre clinical data to obtain approval of competing products following our patent expiration and launch their product earlier than might otherwise be the case.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trademarks we have obtained or may obtain may be infringed or successfully challenged, resulting in harm to our business.</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expect to rely on trademarks as one means to distinguish any of our drug candidates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182"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b w:val="1"/>
          <w:b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drug candidates in order to save costs. We may be forced to abandon or return the rights to specific patents due to a lack of financial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 do not necessarily address all potential threats to our competitive advantage.</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6" w:lineRule="exact"/>
        <w:rPr>
          <w:sz w:val="20"/>
          <w:szCs w:val="20"/>
          <w:color w:val="auto"/>
        </w:rPr>
      </w:pPr>
    </w:p>
    <w:p>
      <w:pPr>
        <w:ind w:left="1060" w:right="10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others may be able to make formulations or compositions that are the same as or similar to A-101 but that are not covered by the claims of the patents that we own;</w:t>
      </w:r>
    </w:p>
    <w:p>
      <w:pPr>
        <w:spacing w:after="0" w:line="205"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any collaborators might not have been the first to make the inventions covered by the issued patents or pending patent applications that we own;</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might not have been the first to file patent applications covering certain of our inventions;</w:t>
      </w:r>
    </w:p>
    <w:p>
      <w:pPr>
        <w:spacing w:after="0" w:line="210" w:lineRule="exact"/>
        <w:rPr>
          <w:rFonts w:ascii="Arial" w:cs="Arial" w:eastAsia="Arial" w:hAnsi="Arial"/>
          <w:sz w:val="17"/>
          <w:szCs w:val="17"/>
          <w:color w:val="auto"/>
        </w:rPr>
      </w:pPr>
    </w:p>
    <w:p>
      <w:pPr>
        <w:ind w:left="1060" w:right="82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lead to issued patents;</w:t>
      </w:r>
    </w:p>
    <w:p>
      <w:pPr>
        <w:spacing w:after="0" w:line="210"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issued patents that we own may not provide us with any competitive advantages, or may be held invalid or unenforceable as a result of legal challenges;</w:t>
      </w:r>
    </w:p>
    <w:p>
      <w:pPr>
        <w:spacing w:after="0" w:line="192" w:lineRule="exact"/>
        <w:rPr>
          <w:rFonts w:ascii="Arial" w:cs="Arial" w:eastAsia="Arial" w:hAnsi="Arial"/>
          <w:sz w:val="17"/>
          <w:szCs w:val="17"/>
          <w:color w:val="auto"/>
        </w:rPr>
      </w:pPr>
    </w:p>
    <w:p>
      <w:pPr>
        <w:ind w:left="1060" w:right="260" w:hanging="531"/>
        <w:spacing w:after="0" w:line="245"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and</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Drug Candidates and Other Legal Compliance Matters</w:t>
      </w:r>
    </w:p>
    <w:p>
      <w:pPr>
        <w:spacing w:after="0" w:line="2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If we are not able to obtain, or if there are delays in obtaining, required regulatory approvals, we will not be able to commercialize our drug candidates, and our ability to generate revenue will be materially impaired.</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drug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drug candidate will prevent us from commercializing the drug candidate. We have not received approval to market any of our drug candidates from regulatory authorities in any jurisdiction.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drug candidate's safety and efficacy. Securing marketing approval also requires the submission of information about the drug manufacturing process to, and inspection of manufacturing facilities by, the regulatory authorities. Our drug candidates may not be effective, may be only moderately effective or may prove to have undesirable or unintended side effects, toxicities or other characteristics that may preclude our obtaining marketing approval or prevent or limit commercial use. If any of our drug candidates receives marketing approval, the accompanying label may limit the approved use of our drug in this way, which could limit sales of the drug.</w:t>
      </w:r>
    </w:p>
    <w:p>
      <w:pPr>
        <w:spacing w:after="0" w:line="20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drug candidate. Any marketing approval we ultimately obtain may be limited or subject to restrictions or post-approval commitments that render the approved drug not commercially viable.</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the commercial prospects for our drug candidates may be harmed and our ability to generate revenue will be materially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marketing approval in international jurisdictions would prevent our drug candidates from being marketed abroad.</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order to market and sell our drugs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drugs in any market.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variety of risks associated with marketing our drug candidates internationally could harm our business.</w:t>
      </w:r>
    </w:p>
    <w:p>
      <w:pPr>
        <w:spacing w:after="0" w:line="23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We may seek regulatory approval for A-101 and our other drug candidates outside of the United States and, accordingly, we expect that we will be subject to additional risks related to operating in foreign countries if we obtain the necessary approvals, including:</w:t>
      </w:r>
    </w:p>
    <w:p>
      <w:pPr>
        <w:spacing w:after="0" w:line="206"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differing regulatory requirements in foreign countries;</w:t>
      </w:r>
    </w:p>
    <w:p>
      <w:pPr>
        <w:spacing w:after="0" w:line="224"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224"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difficulties staffing and managing foreign operations;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of 1977 or comparable foreign regulations;</w:t>
      </w:r>
    </w:p>
    <w:p>
      <w:pPr>
        <w:spacing w:after="0" w:line="210"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These and other risks associated with our international operations may compromise our ability to achieve or maintain profitability.</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Any drug candidate for which we obtain marketing approval could be subject to post-marketing restrictions or recall or withdrawal from the market, and we may be subject to penalties if we fail to comply with regulatory requirements or if we experience unanticipated problems with our drug candidates, when and if any of them are approved.</w:t>
      </w:r>
    </w:p>
    <w:p>
      <w:pPr>
        <w:spacing w:after="0" w:line="187"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Any drug candidate for which we obtain marketing approval, along with the manufacturing processes, post-approval clinical data, labeling, advertising and promotional activities for such drug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drug candidate is granted, the approval may be subject to limitations on the indicated uses for which the drug candidate may be marketed or to the conditions of approval, including the requirement to implement a risk evaluation and mitigation strategy. If any of our drug candidates receives marketing approval, the accompanying label may limit the approved use of our drug, which could limit sales of the drug.</w:t>
      </w:r>
    </w:p>
    <w:p>
      <w:pPr>
        <w:spacing w:after="0" w:line="206"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provisions of the approved labeling. The FDA imposes stringent restrictions on manufacturers' communications regarding off-label use and if we do not market our drugs for their approved indications, we may be subject to enforcement action for off-label marketing.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98"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In addition, later discovery of previously unknown adverse events or other problems with our drugs, manufacturers or manufacturing processes, or failure to comply with regulatory requirements, may have negative consequences, including:</w:t>
      </w:r>
    </w:p>
    <w:p>
      <w:pPr>
        <w:spacing w:after="0" w:line="206"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such drugs, manufacturers or manufacturing processes;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the labeling or marketing of a drug;</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drug distribution or use;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recall or withdrawal of the drugs from the market;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clinical holds;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suspension or withdrawal of marketing approvals;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to permit the import or export of our drugs;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drug seizure;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Non-compliance with the European Union's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79"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b w:val="1"/>
          <w:bCs w:val="1"/>
          <w:color w:val="auto"/>
        </w:rPr>
        <w:t>Our current and future relationships with third-party payors, health care professionals and customers in the United States and elsewhere may be subject, directly or indirectly, to applicable anti-kickback, fraud and abuse, false claims, physician payment transparency, health information privacy and security and other healthcare laws and regulations, which could expose us to significant penalties.</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health care professionals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sell, market and distribute any drugs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227" w:lineRule="exact"/>
        <w:rPr>
          <w:sz w:val="20"/>
          <w:szCs w:val="20"/>
          <w:color w:val="auto"/>
        </w:rPr>
      </w:pPr>
    </w:p>
    <w:p>
      <w:pPr>
        <w:ind w:left="1060" w:hanging="531"/>
        <w:spacing w:after="0" w:line="261"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100" w:hanging="531"/>
        <w:spacing w:after="0" w:line="245"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impose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211" w:lineRule="exact"/>
        <w:rPr>
          <w:rFonts w:ascii="Arial" w:cs="Arial" w:eastAsia="Arial" w:hAnsi="Arial"/>
          <w:sz w:val="17"/>
          <w:szCs w:val="17"/>
          <w:color w:val="auto"/>
        </w:rPr>
      </w:pPr>
    </w:p>
    <w:p>
      <w:pPr>
        <w:ind w:left="1060" w:right="120" w:hanging="531"/>
        <w:spacing w:after="0" w:line="245"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98" w:lineRule="exact"/>
        <w:rPr>
          <w:rFonts w:ascii="Arial" w:cs="Arial" w:eastAsia="Arial" w:hAnsi="Arial"/>
          <w:sz w:val="17"/>
          <w:szCs w:val="17"/>
          <w:color w:val="auto"/>
        </w:rPr>
      </w:pPr>
    </w:p>
    <w:p>
      <w:pPr>
        <w:ind w:left="1060" w:right="40" w:hanging="531"/>
        <w:spacing w:after="0" w:line="265"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83" w:lineRule="exact"/>
        <w:rPr>
          <w:rFonts w:ascii="Arial" w:cs="Arial" w:eastAsia="Arial" w:hAnsi="Arial"/>
          <w:sz w:val="16"/>
          <w:szCs w:val="16"/>
          <w:color w:val="auto"/>
        </w:rPr>
      </w:pPr>
    </w:p>
    <w:p>
      <w:pPr>
        <w:ind w:left="1060" w:right="20" w:hanging="531"/>
        <w:spacing w:after="0" w:line="230"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Patient Protection and Affordable Care Act, as amended by the Health Care and Education Reconciliation Act, or collectively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which is defined to include doctors, dentists, optometrists, podiatrists and chiropractors, and teaching hospitals and applicable manufacturers to report annually to CMS ownership and investment interests held by the physicians and their immediate family members by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each calendar year. All such reported information is publicly available; and</w:t>
      </w:r>
    </w:p>
    <w:p>
      <w:pPr>
        <w:spacing w:after="0" w:line="215" w:lineRule="exact"/>
        <w:rPr>
          <w:rFonts w:ascii="Arial" w:cs="Arial" w:eastAsia="Arial" w:hAnsi="Arial"/>
          <w:sz w:val="17"/>
          <w:szCs w:val="17"/>
          <w:color w:val="auto"/>
        </w:rPr>
      </w:pPr>
    </w:p>
    <w:p>
      <w:pPr>
        <w:ind w:left="1060" w:hanging="531"/>
        <w:spacing w:after="0" w:line="242"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0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and/or prescribe our drug candidates, if approved, may not comply with current or future statutes, regulations or case law involving applicable fraud and abuse or other healthcare laws and regulations. By way of example, some of our consulting arrangements with physicians may not meet all of the criteria of the personal services safe harbor under the federal Anti-Kickback Statute. Accordingly, they may not qualify for safe harbor protection from government prosecution. A business arrangement that does not substantially comply with a safe harbor, however, is not necessarily illegal under the Anti-Kickback Statute, but may be subject to additional scrutiny by the government.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imprisonment, exclusion from participation in government healthcare programs, such as Medicare and Medicaid, and the curtailment or restructuring of our operations, which could have a material adverse effect on our business. If any of the physicians or other healthcare providers or entities with whom we expect to do business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82"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color w:val="auto"/>
        </w:rPr>
        <w:t>Recently enacted and future legislation may increase the difficulty and cost for us to obtain marketing approval of and commercialize our drug candidates and affect the prices we may obtain.</w:t>
      </w:r>
    </w:p>
    <w:p>
      <w:pPr>
        <w:spacing w:after="0" w:line="173"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Among the provisions of the Affordable Care Act of importance to our potential drug candidates are the following:</w:t>
      </w:r>
    </w:p>
    <w:p>
      <w:pPr>
        <w:spacing w:after="0" w:line="224" w:lineRule="exact"/>
        <w:rPr>
          <w:sz w:val="20"/>
          <w:szCs w:val="20"/>
          <w:color w:val="auto"/>
        </w:rPr>
      </w:pPr>
    </w:p>
    <w:p>
      <w:pPr>
        <w:ind w:left="1060" w:right="72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205"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for branded and generic drugs, respectively;</w:t>
      </w:r>
    </w:p>
    <w:p>
      <w:pPr>
        <w:spacing w:after="0" w:line="192" w:lineRule="exact"/>
        <w:rPr>
          <w:rFonts w:ascii="Arial" w:cs="Arial" w:eastAsia="Arial" w:hAnsi="Arial"/>
          <w:sz w:val="17"/>
          <w:szCs w:val="17"/>
          <w:color w:val="auto"/>
        </w:rPr>
      </w:pPr>
    </w:p>
    <w:p>
      <w:pPr>
        <w:ind w:left="1060" w:right="72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which include new government investigative powers and enhanced penalties for non-compliance;</w:t>
      </w:r>
    </w:p>
    <w:p>
      <w:pPr>
        <w:spacing w:after="0" w:line="192" w:lineRule="exact"/>
        <w:rPr>
          <w:rFonts w:ascii="Arial" w:cs="Arial" w:eastAsia="Arial" w:hAnsi="Arial"/>
          <w:sz w:val="17"/>
          <w:szCs w:val="17"/>
          <w:color w:val="auto"/>
        </w:rPr>
      </w:pPr>
    </w:p>
    <w:p>
      <w:pPr>
        <w:ind w:left="1060" w:right="460" w:hanging="531"/>
        <w:spacing w:after="0" w:line="24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11"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92"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new requirements under the federal Open Payments program and its implementing regulations;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340" w:hanging="531"/>
        <w:spacing w:after="0" w:line="252"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2024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0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We expect that the Affordable Care Act,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8"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Additionally, new litigation challenging the federal tax subsidies received by individuals to purchase health insurance under the Affordable Care Act is currently pending before the U.S, Supreme Court that could affect our business. Final regulations, guidance, and judicial orders are anticipated in the near future and we will continue to assess the Affordable Care Act's impact on us as final regulations, guidance, and orders are issued.</w:t>
      </w:r>
    </w:p>
    <w:p>
      <w:pPr>
        <w:spacing w:after="0" w:line="199"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U.S.</w:t>
      </w:r>
    </w:p>
    <w:p>
      <w:pPr>
        <w:spacing w:after="0" w:line="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Congress of the FDA's approval process may significantly delay or prevent marketing approval, as well as subject us to more stringent drug labeling and post-marketing testing and other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obtain five-year FDA regulatory exclusivity as an NCE.</w:t>
      </w:r>
    </w:p>
    <w:p>
      <w:pPr>
        <w:spacing w:after="0" w:line="23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such applications, while three-year exclusivity precludes the approval of such applications. We intend to seek new chemical entity, or NCE, status for A-101, and we may seek NCE status for other drug candidates as appropriate. Five years of exclusivity are available to NCEs following the approval of an NDA by the FDA. An NCE is a drug that contains no active moiety that has been approved by FDA in any other NDA. If a drug is not eligible for the NCE exclusivity, it may be eligible for three years of exclusivity. Three-year exclusivity is available to the holder of an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206"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There is a risk that the FDA may disagree with any claim that we may make that A-101 or any of our other drug candidates are NCEs and therefore entitled to five-year exclusivity.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do obtain either five or three years of exclusivity, such exclusivity will not block all potential competitors from the market. Five-year exclusivity does not block complete 505(b)(1) NDAs and the scope of three-year exclusivity is limited to the conditions for use approved in the NDA.</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Governments outside the United States tend to impose strict price controls, which may adversely affect our revenue, if any.</w:t>
      </w:r>
    </w:p>
    <w:p>
      <w:pPr>
        <w:spacing w:after="0" w:line="23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drug candidate to other available procedures. If reimbursement of our drugs is unavailable or limited in scope or amount, or if pricing is set at unsatisfactory levels, our business could be harmed, possibly materially.</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If we fail to comply with environmental, health and safety laws and regulations, we could become subject to fines or penalties or incur costs that could harm our business.</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2"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development or production efforts. Our failure to comply with these laws and regulations also may result in substantial fines, penalties or other sanctions.</w:t>
      </w:r>
    </w:p>
    <w:p>
      <w:pPr>
        <w:spacing w:after="0" w:line="17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The inherent dangers in production and transportation of hydrogen peroxide could cause disruptions and could expose us to potentially significant losses, costs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are subject to significant hazards and risks inherent in the use and transport of hydrogen peroxide, the active ingredient of A-101 and A-</w:t>
      </w:r>
    </w:p>
    <w:p>
      <w:pPr>
        <w:spacing w:after="0" w:line="1" w:lineRule="exact"/>
        <w:rPr>
          <w:sz w:val="20"/>
          <w:szCs w:val="20"/>
          <w:color w:val="auto"/>
        </w:rPr>
      </w:pPr>
    </w:p>
    <w:p>
      <w:pPr>
        <w:jc w:val="both"/>
        <w:ind w:right="280" w:firstLine="5"/>
        <w:spacing w:after="0" w:line="244" w:lineRule="auto"/>
        <w:tabs>
          <w:tab w:leader="none" w:pos="379" w:val="left"/>
        </w:tabs>
        <w:numPr>
          <w:ilvl w:val="0"/>
          <w:numId w:val="36"/>
        </w:numPr>
        <w:rPr>
          <w:rFonts w:ascii="Arial" w:cs="Arial" w:eastAsia="Arial" w:hAnsi="Arial"/>
          <w:sz w:val="17"/>
          <w:szCs w:val="17"/>
          <w:color w:val="auto"/>
        </w:rPr>
      </w:pPr>
      <w:r>
        <w:rPr>
          <w:rFonts w:ascii="Arial" w:cs="Arial" w:eastAsia="Arial" w:hAnsi="Arial"/>
          <w:sz w:val="17"/>
          <w:szCs w:val="17"/>
          <w:color w:val="auto"/>
        </w:rPr>
        <w:t>Hydrogen peroxide can decompose in the presence of organic materials and is categorized as an oxidizer and is corrosive. Hydrogen peroxide should be stored in cool, dry, well-ventilated areas and away from any flammable or combustible substances. The hazards and risks associated with producing and transporting hydrogen peroxide include fires, explosions, third-party interference (including terrorism) and mechanical failure of equipment at our facilities or those of our supplier of hydrogen peroxide. The occurrence of any of these events could result in production and distribution difficulties and disruptions, personal injury or wrongful death claims and other damage to properties.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are subject to governmental economic sanctions and export and import controls that could impair our ability to compete in international markets or subject us to liability if we are not in compliance with applicable laws.</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a U.S. company, we are subject to U.S. import and export controls and economic sanctions laws and regulations, and we are required to import and export our drug candidates, technology and services in compliance with those laws and regulations, including the U.S. Export Administration Regulations, the International Traffic in Arms Regulations, and economic embargo and trade sanction programs administered by the Treasury Department's Office of Foreign Assets Control.</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 drug candidates, if approved, are not exported or used by countries, governments and persons targeted by U.S. sanctions, such measures may be circumvented.</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Furthermore, if we export our drug candidates, if approved, the exports may require authorizations, including a license, a license exception or other appropriate government authorization. Complying with export control and sanctions regulations for a particular sale may be time-consuming and may result in the delay or loss of sales opportunities. Failure to comply with export control and sanctions regulations for a particular sale may expose us to government investigations and penalties.</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7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We are subject to anti-corruption and anti-money laundering laws with respect to our operations and non-compliance with such laws can subject us to criminal and/or civil liability and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w:t>
      </w:r>
    </w:p>
    <w:p>
      <w:pPr>
        <w:spacing w:after="0" w:line="1" w:lineRule="exact"/>
        <w:rPr>
          <w:sz w:val="20"/>
          <w:szCs w:val="20"/>
          <w:color w:val="auto"/>
        </w:rPr>
      </w:pPr>
    </w:p>
    <w:p>
      <w:pPr>
        <w:ind w:right="140" w:firstLine="5"/>
        <w:spacing w:after="0" w:line="242" w:lineRule="auto"/>
        <w:tabs>
          <w:tab w:leader="none" w:pos="1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As we commercialize our drug candidates and eventually commence international sales and business, we may engage with collaborators and third-party intermediaries to sell our products abroad and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and Managing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success depends on our ability to retain key executives and to attract, retain and motivate qualified personnel.</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highly dependent on the management, development, clinical, financial and business development expertise of Dr. Neal Walker, our Chief Executive Officer, Christopher Powala, our Chief Operating Officer, Dr. Stuart Shanler, our Chief Scientific Officer, Frank Ruffo, our Chief Financial Officer, and Kamil Ali-Jackson, our Chief Legal Officer, as well as the other members of our scientific and clinical teams. Although we intend to enter into new employment agreements with our executive officers that will be effective upon the closing of this offering, each of them may currently terminate their employment with us at any time and will continue to be able to do so after the closing of this offering. We do not maintain "key person" insurance for any of our executives or employees other than Dr. Walker and Mr. Powala.</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drug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As of March 31, 2015, we had ten full-time employees. As our development progresses, we expect to experience significant growth in the number of our employees and the scope of our operations, particularly in the areas of drug development, regulatory affairs and, if any of our drug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b w:val="1"/>
          <w:bCs w:val="1"/>
          <w:color w:val="auto"/>
        </w:rPr>
        <w:t>Our employees, independent contractors, consultants, commercial collaborators, principal investigators, prospective CROs and vendors may engage in misconduct or other improper activities, including non-compliance with regulatory standards and requirements.</w:t>
      </w:r>
    </w:p>
    <w:p>
      <w:pPr>
        <w:spacing w:after="0" w:line="173" w:lineRule="exact"/>
        <w:rPr>
          <w:sz w:val="20"/>
          <w:szCs w:val="20"/>
          <w:color w:val="auto"/>
        </w:rPr>
      </w:pPr>
    </w:p>
    <w:p>
      <w:pPr>
        <w:jc w:val="both"/>
        <w:ind w:right="300"/>
        <w:spacing w:after="0" w:line="246"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prospective CROs and vendors may engage in fraudulent conduct or other illegal activity. Misconduct by these parties could include intentional, reckless and/or negligent conduct or disclosure of unauthorized activities to us that violates FDA regulations, including those laws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Effective upon the closing of this offering, we will adopt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and the curtailment or restructuring of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Ownership of Our Common Stock and Our Status as a Public Company</w:t>
      </w:r>
    </w:p>
    <w:p>
      <w:pPr>
        <w:spacing w:after="0" w:line="2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b w:val="1"/>
          <w:bCs w:val="1"/>
          <w:color w:val="auto"/>
        </w:rPr>
        <w:t>An active trading market for our common stock may not develop and you may not be able to resell your shares of our common stock at or above the initial offering price, if at all.</w:t>
      </w:r>
    </w:p>
    <w:p>
      <w:pPr>
        <w:spacing w:after="0" w:line="17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intend to apply to list our common stock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the shares of our common stock may be volatile, and purchasers of our common stock could incur substantial losses.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212" w:lineRule="exact"/>
        <w:rPr>
          <w:sz w:val="20"/>
          <w:szCs w:val="20"/>
          <w:color w:val="auto"/>
        </w:rPr>
      </w:pPr>
    </w:p>
    <w:p>
      <w:pPr>
        <w:ind w:left="1060" w:right="380" w:hanging="531"/>
        <w:spacing w:after="0" w:line="252"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commencement, enrollment or results of the planned clinical trials of A-101 in patients with SK or any future clinical trials we may conduct, or changes in the development status of our drug candidates;</w:t>
      </w:r>
    </w:p>
    <w:p>
      <w:pPr>
        <w:spacing w:after="0" w:line="205" w:lineRule="exact"/>
        <w:rPr>
          <w:rFonts w:ascii="Arial" w:cs="Arial" w:eastAsia="Arial" w:hAnsi="Arial"/>
          <w:sz w:val="17"/>
          <w:szCs w:val="17"/>
          <w:color w:val="auto"/>
        </w:rPr>
      </w:pPr>
    </w:p>
    <w:p>
      <w:pPr>
        <w:ind w:left="1060" w:right="80" w:hanging="531"/>
        <w:spacing w:after="0" w:line="246"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delay in our regulatory filings for A-101 for the treatment of SK or any other drug candidate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adverse results from, delays in or termination of clinical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A-101 or any other drug candidate;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financial estimates by us or by any securities analysts who might cover our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conditions or trends in our industry;</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4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biopharmaceutical industry;</w:t>
      </w:r>
    </w:p>
    <w:p>
      <w:pPr>
        <w:spacing w:after="0" w:line="205"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 securities analysts;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announcements of investigations or regulatory scrutiny of our operations or lawsuits filed against us;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investors' general perception of our company and our business;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0"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1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7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color w:val="auto"/>
        </w:rPr>
        <w:t>If equity research analysts do not publish research or reports, or publish unfavorable research or reports, about us, our business or our market, our stock price and trading volume could decline.</w:t>
      </w:r>
    </w:p>
    <w:p>
      <w:pPr>
        <w:spacing w:after="0" w:line="173"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We do not currently have and may never obtain research coverage by equity research analysts. Equity research analysts may elect not to provide research coverage of our common stock after this offering,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purchase shares of our common stock in this offering, you will suffer immediate dilution of your investment.</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the initial public offering price of our common stock to be substantially higher than the net tangible book value per share of our common stock. Therefore, if you purchase shares of our common stock in this offering, you will pay a price per share that substantially exceeds our pro forma as</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adjusted net tangible book value per share after this offering. Based on an assumed initial public offering price of $ per share, which is the midpoint of the price range set forth on the cover page of this prospectus, you will experience immediate dilution of $ per share, representing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our pro forma as adjusted net tangible book value per share after this offering and the assumed initial public offering price.</w:t>
      </w:r>
    </w:p>
    <w:p>
      <w:pPr>
        <w:spacing w:after="0" w:line="21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In addition, as of January 31, 2015, we had outstanding stock options to purchase an aggregate of 1,725,961 shares of common stock at a weighted average exercise price of $0.35 per share. To the extent these outstanding options are exercised, there will be further dilution to investors in this offering.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significant portion of our total outstanding shares are restricted from immediate resale but may be sold into the market in the near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could cause the market price of our common stock to drop significantly, even if our business is doing well.</w:t>
      </w:r>
    </w:p>
    <w:p>
      <w:pPr>
        <w:spacing w:after="0" w:line="21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following this offering, the market price of our common stock could decline significantly.</w:t>
      </w:r>
    </w:p>
    <w:p>
      <w:pPr>
        <w:spacing w:after="0" w:line="19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Upon the closing of this offering, we will have outstanding shares of common stock, after giving effect to the conversion of our redeemable convertible preferred stock outstanding as of January 31, 2015 into 27,341,057 shares of our common stock, and assuming no exercise of outstanding</w:t>
      </w:r>
    </w:p>
    <w:p>
      <w:pPr>
        <w:spacing w:after="0" w:line="1"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options. Of these shares, the shares sold in this offering and additional shares will be freely tradable, additional shares of common stock will be eligible for sale in the public market beginning 90 days after the date of this prospectus, subject to volume, manner of sale and</w:t>
      </w:r>
    </w:p>
    <w:p>
      <w:pPr>
        <w:spacing w:after="0" w:line="1" w:lineRule="exact"/>
        <w:rPr>
          <w:sz w:val="20"/>
          <w:szCs w:val="20"/>
          <w:color w:val="auto"/>
        </w:rPr>
      </w:pPr>
    </w:p>
    <w:p>
      <w:pPr>
        <w:spacing w:after="0"/>
        <w:tabs>
          <w:tab w:leader="none" w:pos="4240" w:val="left"/>
        </w:tabs>
        <w:rPr>
          <w:sz w:val="20"/>
          <w:szCs w:val="20"/>
          <w:color w:val="auto"/>
        </w:rPr>
      </w:pPr>
      <w:r>
        <w:rPr>
          <w:rFonts w:ascii="Arial" w:cs="Arial" w:eastAsia="Arial" w:hAnsi="Arial"/>
          <w:sz w:val="17"/>
          <w:szCs w:val="17"/>
          <w:color w:val="auto"/>
        </w:rPr>
        <w:t>other limitations of Rule 144 and Rule 701, and</w:t>
      </w:r>
      <w:r>
        <w:rPr>
          <w:sz w:val="20"/>
          <w:szCs w:val="20"/>
          <w:color w:val="auto"/>
        </w:rPr>
        <w:tab/>
      </w:r>
      <w:r>
        <w:rPr>
          <w:rFonts w:ascii="Arial" w:cs="Arial" w:eastAsia="Arial" w:hAnsi="Arial"/>
          <w:sz w:val="17"/>
          <w:szCs w:val="17"/>
          <w:color w:val="auto"/>
        </w:rPr>
        <w:t>additional shares of common stock will be available for sale in the public market beginning</w:t>
      </w:r>
    </w:p>
    <w:p>
      <w:pPr>
        <w:spacing w:after="0" w:line="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180 days after the date of this prospectus following the expiration of lock-up agreements between some of our stockholders and the underwriters. The representatives of the underwriters may release these stockholders from their lock-up agreements with the underwriters at any time and without notice, which would allow for earlier sales of shares in the public market.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 addition, promptly following the closing of this offering, we intend to file one or more registration statements on Form S-8 registering the issuance of</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approximately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our company, even if a change of control was considered favorable by you and other stockholders. For</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including:</w:t>
      </w:r>
    </w:p>
    <w:p>
      <w:pPr>
        <w:spacing w:after="0" w:line="224"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only one of our three classes of directors will be elected each year;</w:t>
      </w:r>
    </w:p>
    <w:p>
      <w:pPr>
        <w:spacing w:after="0" w:line="195"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34"/>
          <w:szCs w:val="34"/>
          <w:color w:val="auto"/>
          <w:vertAlign w:val="superscript"/>
        </w:rPr>
      </w:pPr>
      <w:r>
        <w:rPr>
          <w:rFonts w:ascii="Arial" w:cs="Arial" w:eastAsia="Arial" w:hAnsi="Arial"/>
          <w:sz w:val="17"/>
          <w:szCs w:val="17"/>
          <w:color w:val="auto"/>
        </w:rPr>
        <w:t>stockholders will not be entitled to remove directors other than by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vote and only for cause;</w:t>
      </w:r>
    </w:p>
    <w:p>
      <w:pPr>
        <w:spacing w:after="0" w:line="82" w:lineRule="exact"/>
        <w:rPr>
          <w:rFonts w:ascii="Arial" w:cs="Arial" w:eastAsia="Arial" w:hAnsi="Arial"/>
          <w:sz w:val="34"/>
          <w:szCs w:val="34"/>
          <w:color w:val="auto"/>
          <w:vertAlign w:val="superscript"/>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stockholders will not be permitted to take actions by written consent;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stockholders cannot call a special meeting of stockholders;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submit proposals for consideration at stockholder meetings.</w:t>
      </w:r>
    </w:p>
    <w:p>
      <w:pPr>
        <w:spacing w:after="0" w:line="21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b w:val="1"/>
          <w:bCs w:val="1"/>
          <w:color w:val="auto"/>
        </w:rPr>
        <w:t>Concentration of ownership of our common stock among our existing executive officers, directors and principal stockholders may prevent new investors from influencing significant corporate decisions.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Upon the closing of this offering, our executive officers, directors and current beneficial owners of 5% or more of our common stock and their respective</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affiliates will, in the aggregate, beneficially own approximately %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78"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color w:val="auto"/>
        </w:rPr>
        <w:t>We are an "emerging growth company" and, as a result of the reduced disclosure and governance requirements applicable to emerging growth companies, our common stock may be less attractive to investors.</w:t>
      </w:r>
    </w:p>
    <w:p>
      <w:pPr>
        <w:spacing w:after="0" w:line="173" w:lineRule="exact"/>
        <w:rPr>
          <w:sz w:val="20"/>
          <w:szCs w:val="20"/>
          <w:color w:val="auto"/>
        </w:rPr>
      </w:pPr>
    </w:p>
    <w:p>
      <w:pPr>
        <w:ind w:right="660"/>
        <w:spacing w:after="0" w:line="24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225" w:lineRule="exact"/>
        <w:rPr>
          <w:sz w:val="20"/>
          <w:szCs w:val="20"/>
          <w:color w:val="auto"/>
        </w:rPr>
      </w:pPr>
    </w:p>
    <w:p>
      <w:pPr>
        <w:ind w:left="1060" w:right="360" w:hanging="531"/>
        <w:spacing w:after="0" w:line="246"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10" w:lineRule="exact"/>
        <w:rPr>
          <w:rFonts w:ascii="Arial" w:cs="Arial" w:eastAsia="Arial" w:hAnsi="Arial"/>
          <w:sz w:val="17"/>
          <w:szCs w:val="17"/>
          <w:color w:val="auto"/>
        </w:rPr>
      </w:pPr>
    </w:p>
    <w:p>
      <w:pPr>
        <w:ind w:left="1060" w:right="240" w:hanging="531"/>
        <w:spacing w:after="0" w:line="246"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11"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92"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 being required to hold a nonbinding advisory vote on executive compensation and shareholder approval of any golden parachute payments not previously approved.</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that is held by non-affiliates exceeds $700 million as of the prior June 30th, and (2) the date on which we have issued more than $1.0 billion in non-convertible debt during the prior three-year period.</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b w:val="1"/>
          <w:bCs w:val="1"/>
          <w:color w:val="auto"/>
        </w:rPr>
        <w:t>If we fail to maintain proper and effective internal controls, our ability to produce accurate financial statements on a timely basis could be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After the closing of this offering, we will be subject to the reporting requirements of the Securities Exchange Act of 1934, the Sarbanes-Oxley Act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rules and regulations of the stock market on which our common stock is listed. The Sarbanes-Oxley Act requires, among other things, that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maintain effective disclosure controls and procedures and internal control over financial reporting. Commencing with our fiscal year ending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we must perform system and process evaluation and testing of our internal control over financial reporting to allow management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the effectiveness of our internal control over financial reporting in our Form 10-K filing for that year, as required by Section 404 of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Sarbanes-Oxley Act. This will require that we incur substantial additional professional fees and internal costs to expand our accounting and finance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functions and that we expend significant management efforts. Prior to this offering, we have never been required to test our internal control within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specified period, and, as a result, we may experience difficulty in meeting these reporting requirements in a timely manner.</w:t>
      </w:r>
    </w:p>
    <w:p>
      <w:pPr>
        <w:spacing w:after="0" w:line="21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9"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We will have broad discretion in the use of proceeds from this offering and may invest or spend the proceeds in ways with which you do not agree and in ways that may not increase the value of your investment.</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cash equivalents and marketable securities, to complete our planned clinical trials and seek regulatory approval of A-101 for the treatment of SK, to fund continued research and development of A-101 for the treatment of common warts and A-102 gel dosage form for the treatment of SK and common warts, and for working capital and general corporate purposes. In addition, we may use a portion of the proceeds from this offering to pursue our strategy to in-license or acquire additional drug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700"/>
        <w:spacing w:after="0" w:line="276" w:lineRule="auto"/>
        <w:rPr>
          <w:sz w:val="20"/>
          <w:szCs w:val="20"/>
          <w:color w:val="auto"/>
        </w:rPr>
      </w:pPr>
      <w:r>
        <w:rPr>
          <w:rFonts w:ascii="Arial" w:cs="Arial" w:eastAsia="Arial" w:hAnsi="Arial"/>
          <w:sz w:val="17"/>
          <w:szCs w:val="17"/>
          <w:b w:val="1"/>
          <w:bCs w:val="1"/>
          <w:color w:val="auto"/>
        </w:rPr>
        <w:t>We might not be able to utilize a significant portion of our net operating loss carryforwards and research and development tax credit carryforwards.</w:t>
      </w:r>
    </w:p>
    <w:p>
      <w:pPr>
        <w:spacing w:after="0" w:line="1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December 31, 2014, we had federal and state net operating loss carryforwards of $13.8 million and $13.8 million, respectively, and federal research and development tax credit carryforwards of $0.2 million, each of which if not utilized will begin to expire in 2032. These net operating loss and tax credit carryforwards could expire unused and be unavailable to offset future income tax liabilities.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including this offering, some of which may be outside of our control. If we determine that an ownership change has occurred and our ability to use our historical net operating loss and tax credit carryforwards is materially limited, it would harm our future operating results by effectively increasing our future tax obligations.</w:t>
      </w:r>
    </w:p>
    <w:p>
      <w:pPr>
        <w:spacing w:after="0" w:line="18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existing or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will incur increased costs and demands upon management as a result of being a public company.</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costs, which we anticipate could be between $1.0 million and $2.0 million annually.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6"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entitled "Prospectus Summary," "Risk Factors," "Management's Discussion and Analysis of Financial Condition and Results of Operations" and "Business," but are also contained elsewhere in this prospectus. In some cases, you can identify forward-looking statements by the words "may," "might," "will," "could," "would," "should," "expect," "intend," "plan,"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important factors currently known by us and our expectations of the future, about which we cannot be certain. Forward-looking statements include statements about:</w:t>
      </w:r>
    </w:p>
    <w:p>
      <w:pPr>
        <w:spacing w:after="0" w:line="218"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plans to develop and commercialize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our planned clinical trials of A-101 in patients with SK and our other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our NDA filing for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drug candidates;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clinical utility of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expectations about the willingness of patients to pay out of pocket for procedures using our drug candidates for the treatment of SK;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expectations about the willingness of dermatologists to use A-101 for the treatment of SK;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plans to in-license or acquire additional drug candidates for other dermatological conditions to build a fully integrated dermatology company;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estimates regarding future revenue, expenses and needs for additional financing.</w:t>
      </w:r>
    </w:p>
    <w:p>
      <w:pPr>
        <w:spacing w:after="0" w:line="21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You should refer to the "Risk Factors" section of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and studies conducted by third parties, as well estimates by our management based on such data. All of the market data and estimates used in this prospectus involves a number of assumptions and limitations, and you are cautioned not to give undue weight to such data and estimates.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USE OF PROCEEDS</w:t>
      </w:r>
    </w:p>
    <w:p>
      <w:pPr>
        <w:spacing w:after="0" w:line="231" w:lineRule="exact"/>
        <w:rPr>
          <w:sz w:val="20"/>
          <w:szCs w:val="20"/>
          <w:color w:val="auto"/>
        </w:rPr>
      </w:pPr>
    </w:p>
    <w:p>
      <w:pPr>
        <w:spacing w:after="0"/>
        <w:tabs>
          <w:tab w:leader="none" w:pos="5580" w:val="left"/>
          <w:tab w:leader="none" w:pos="10240" w:val="left"/>
        </w:tabs>
        <w:rPr>
          <w:sz w:val="20"/>
          <w:szCs w:val="20"/>
          <w:color w:val="auto"/>
        </w:rPr>
      </w:pPr>
      <w:r>
        <w:rPr>
          <w:rFonts w:ascii="Arial" w:cs="Arial" w:eastAsia="Arial" w:hAnsi="Arial"/>
          <w:sz w:val="17"/>
          <w:szCs w:val="17"/>
          <w:color w:val="auto"/>
        </w:rPr>
        <w:t>We estimate that the net proceeds from our issuance and sale of</w:t>
      </w:r>
      <w:r>
        <w:rPr>
          <w:sz w:val="20"/>
          <w:szCs w:val="20"/>
          <w:color w:val="auto"/>
        </w:rPr>
        <w:tab/>
      </w:r>
      <w:r>
        <w:rPr>
          <w:rFonts w:ascii="Arial" w:cs="Arial" w:eastAsia="Arial" w:hAnsi="Arial"/>
          <w:sz w:val="17"/>
          <w:szCs w:val="17"/>
          <w:color w:val="auto"/>
        </w:rPr>
        <w:t>shares of our common stock in this offering will be $</w:t>
      </w:r>
      <w:r>
        <w:rPr>
          <w:sz w:val="20"/>
          <w:szCs w:val="20"/>
          <w:color w:val="auto"/>
        </w:rPr>
        <w:tab/>
      </w:r>
      <w:r>
        <w:rPr>
          <w:rFonts w:ascii="Arial" w:cs="Arial" w:eastAsia="Arial" w:hAnsi="Arial"/>
          <w:sz w:val="16"/>
          <w:szCs w:val="16"/>
          <w:color w:val="auto"/>
        </w:rPr>
        <w:t>million, or</w:t>
      </w:r>
    </w:p>
    <w:p>
      <w:pPr>
        <w:spacing w:after="0" w:line="1" w:lineRule="exact"/>
        <w:rPr>
          <w:sz w:val="20"/>
          <w:szCs w:val="20"/>
          <w:color w:val="auto"/>
        </w:rPr>
      </w:pPr>
    </w:p>
    <w:p>
      <w:pPr>
        <w:ind w:left="860" w:hanging="855"/>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million if the underwriters exercise their option to purchase additional shares in full, based upon an assumed initial public offering price of</w:t>
      </w:r>
    </w:p>
    <w:p>
      <w:pPr>
        <w:spacing w:after="0" w:line="1" w:lineRule="exact"/>
        <w:rPr>
          <w:sz w:val="20"/>
          <w:szCs w:val="20"/>
          <w:color w:val="auto"/>
        </w:rPr>
      </w:pPr>
    </w:p>
    <w:p>
      <w:pPr>
        <w:ind w:right="120" w:firstLine="5"/>
        <w:spacing w:after="0" w:line="252" w:lineRule="auto"/>
        <w:tabs>
          <w:tab w:leader="none" w:pos="8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after deducting the estimated underwriting discounts and commissions and estimated offering expenses payable by us.</w:t>
      </w:r>
    </w:p>
    <w:p>
      <w:pPr>
        <w:spacing w:after="0" w:line="193"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same and after deducting the estimated underwriting discounts and commissions. We may also increase or decrease the number of shares we are offering. Each increase or decrease of 1.0 million in the number of shares we are offering would increase or decrease the net proceeds to us from this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offering by $ million, assuming no change in the assumed initial public offering price and after deducting the estimated underwriting discounts and commissions.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currently estimate that we will use the net proceeds from this offering, together with our existing cash, cash equivalents and marketable securities, as follows:</w:t>
      </w:r>
    </w:p>
    <w:p>
      <w:pPr>
        <w:sectPr>
          <w:pgSz w:w="11900" w:h="16838" w:orient="portrait"/>
          <w:cols w:equalWidth="0" w:num="1">
            <w:col w:w="11420"/>
          </w:cols>
          <w:pgMar w:left="240" w:top="143" w:right="23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approximately $ treatment of SK;</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million to complete our three planned Phase 3 clinical trials and seek regulatory approval of A-101 for the</w:t>
      </w:r>
    </w:p>
    <w:p>
      <w:pPr>
        <w:spacing w:after="0" w:line="382" w:lineRule="exact"/>
        <w:rPr>
          <w:sz w:val="20"/>
          <w:szCs w:val="20"/>
          <w:color w:val="auto"/>
        </w:rPr>
      </w:pPr>
    </w:p>
    <w:p>
      <w:pPr>
        <w:sectPr>
          <w:pgSz w:w="11900" w:h="16838" w:orient="portrait"/>
          <w:cols w:equalWidth="0" w:num="3">
            <w:col w:w="620" w:space="440"/>
            <w:col w:w="1240" w:space="720"/>
            <w:col w:w="8400"/>
          </w:cols>
          <w:pgMar w:left="240" w:top="143"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19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million to fund continued research and development of A-101 for the treatment of common warts, including the</w:t>
      </w:r>
    </w:p>
    <w:p>
      <w:pPr>
        <w:spacing w:after="0" w:line="9" w:lineRule="exact"/>
        <w:rPr>
          <w:sz w:val="20"/>
          <w:szCs w:val="20"/>
          <w:color w:val="auto"/>
        </w:rPr>
      </w:pPr>
    </w:p>
    <w:p>
      <w:pPr>
        <w:sectPr>
          <w:pgSz w:w="11900" w:h="16838" w:orient="portrait"/>
          <w:cols w:equalWidth="0" w:num="2">
            <w:col w:w="620" w:space="440"/>
            <w:col w:w="10360"/>
          </w:cols>
          <w:pgMar w:left="240" w:top="143" w:right="239" w:bottom="1440" w:gutter="0" w:footer="0" w:header="0"/>
          <w:type w:val="continuous"/>
        </w:sectPr>
      </w:pPr>
    </w:p>
    <w:p>
      <w:pPr>
        <w:ind w:left="1060"/>
        <w:spacing w:after="0"/>
        <w:rPr>
          <w:sz w:val="20"/>
          <w:szCs w:val="20"/>
          <w:color w:val="auto"/>
        </w:rPr>
      </w:pPr>
      <w:r>
        <w:rPr>
          <w:rFonts w:ascii="Arial" w:cs="Arial" w:eastAsia="Arial" w:hAnsi="Arial"/>
          <w:sz w:val="17"/>
          <w:szCs w:val="17"/>
          <w:color w:val="auto"/>
        </w:rPr>
        <w:t>completion of our planned Phase 2 clinical trials for this indication; and</w:t>
      </w:r>
    </w:p>
    <w:p>
      <w:pPr>
        <w:spacing w:after="0" w:line="203" w:lineRule="exact"/>
        <w:rPr>
          <w:sz w:val="20"/>
          <w:szCs w:val="20"/>
          <w:color w:val="auto"/>
        </w:rPr>
      </w:pPr>
    </w:p>
    <w:p>
      <w:pPr>
        <w:ind w:left="1060" w:right="20" w:hanging="531"/>
        <w:spacing w:after="0" w:line="245"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remainder to fund other research and development activities, including the development of A-102 for the treatment of SK and common warts, as well as for working capital and other general corporate purposes, including to pursue our strategy to in-license or acquire additional drug candidates, although we have no agreements or commitments for any specific acquisitions or in-licenses as of the date of this prospectus.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believe that the net proceeds from this offering will be sufficient to enable us to fund our operating expenses and capital expenditure requirements through at least the next months, including the completion of our three planned Phase 3 clinical trials for A-101 for the treatment of SK, the submission of our NDA to the FDA for the approval of A-101 for the treatment of SK in the United States and the completion of our planned Phase 2 clinical trials of A-101 for the treatment of common warts. We have based this estimate on assumptions that may prove to be incorrect, and we could use our available capital resources sooner than we currently expect.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19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December 31, 2014:</w:t>
      </w:r>
    </w:p>
    <w:p>
      <w:pPr>
        <w:spacing w:after="0" w:line="224"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basis to give effect to:</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580" w:right="160" w:hanging="526"/>
        <w:spacing w:after="0" w:line="252" w:lineRule="auto"/>
        <w:tabs>
          <w:tab w:leader="none" w:pos="15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conversion of all outstanding shares of our redeemable convertible preferred stock into an aggregate of 27,341,057 shares of our common stock, which will occur upon the closing of this offering; and</w:t>
      </w:r>
    </w:p>
    <w:p>
      <w:pPr>
        <w:spacing w:after="0" w:line="192" w:lineRule="exact"/>
        <w:rPr>
          <w:rFonts w:ascii="Arial" w:cs="Arial" w:eastAsia="Arial" w:hAnsi="Arial"/>
          <w:sz w:val="17"/>
          <w:szCs w:val="17"/>
          <w:color w:val="auto"/>
        </w:rPr>
      </w:pPr>
    </w:p>
    <w:p>
      <w:pPr>
        <w:ind w:left="1580" w:right="60" w:hanging="526"/>
        <w:spacing w:after="0" w:line="252" w:lineRule="auto"/>
        <w:tabs>
          <w:tab w:leader="none" w:pos="15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prior to the closing of this offering; and</w:t>
      </w:r>
    </w:p>
    <w:p>
      <w:pPr>
        <w:sectPr>
          <w:pgSz w:w="11900" w:h="16838" w:orient="portrait"/>
          <w:cols w:equalWidth="0" w:num="1">
            <w:col w:w="11440"/>
          </w:cols>
          <w:pgMar w:left="240" w:top="143" w:right="219" w:bottom="1440" w:gutter="0" w:footer="0" w:header="0"/>
        </w:sectPr>
      </w:pPr>
    </w:p>
    <w:p>
      <w:pPr>
        <w:spacing w:after="0" w:line="3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on a pro forma as adjusted basis to give further effect to our sale of shares of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99" w:lineRule="exact"/>
        <w:rPr>
          <w:sz w:val="20"/>
          <w:szCs w:val="20"/>
          <w:color w:val="auto"/>
        </w:rPr>
      </w:pPr>
    </w:p>
    <w:p>
      <w:pPr>
        <w:sectPr>
          <w:pgSz w:w="11900" w:h="16838" w:orient="portrait"/>
          <w:cols w:equalWidth="0" w:num="2">
            <w:col w:w="620" w:space="440"/>
            <w:col w:w="10380"/>
          </w:cols>
          <w:pgMar w:left="240" w:top="143" w:right="219" w:bottom="1440" w:gutter="0" w:footer="0" w:header="0"/>
          <w:type w:val="continuous"/>
        </w:sectPr>
      </w:pPr>
    </w:p>
    <w:p>
      <w:pPr>
        <w:ind w:right="100"/>
        <w:spacing w:after="0" w:line="245" w:lineRule="auto"/>
        <w:rPr>
          <w:sz w:val="20"/>
          <w:szCs w:val="20"/>
          <w:color w:val="auto"/>
        </w:rPr>
      </w:pPr>
      <w:r>
        <w:rPr>
          <w:rFonts w:ascii="Arial" w:cs="Arial" w:eastAsia="Arial" w:hAnsi="Arial"/>
          <w:sz w:val="17"/>
          <w:szCs w:val="17"/>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thereto included elsewhere in this prospectus and the sections of this prospectus titled "Selected Financial Data," "Management's Discussion and Analysis of Financial Condition and Results of Operations"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40" w:type="dxa"/>
            <w:vAlign w:val="bottom"/>
            <w:gridSpan w:val="9"/>
          </w:tcPr>
          <w:p>
            <w:pPr>
              <w:jc w:val="center"/>
              <w:ind w:right="1460"/>
              <w:spacing w:after="0"/>
              <w:rPr>
                <w:sz w:val="20"/>
                <w:szCs w:val="20"/>
                <w:color w:val="auto"/>
              </w:rPr>
            </w:pPr>
            <w:r>
              <w:rPr>
                <w:rFonts w:ascii="Arial" w:cs="Arial" w:eastAsia="Arial" w:hAnsi="Arial"/>
                <w:sz w:val="14"/>
                <w:szCs w:val="14"/>
                <w:b w:val="1"/>
                <w:bCs w:val="1"/>
                <w:color w:val="auto"/>
                <w:w w:val="99"/>
              </w:rPr>
              <w:t>As of December 31, 2014</w:t>
            </w: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Pro Forma</w:t>
            </w:r>
          </w:p>
        </w:tc>
        <w:tc>
          <w:tcPr>
            <w:tcW w:w="13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As Adjusted</w:t>
            </w:r>
          </w:p>
        </w:tc>
        <w:tc>
          <w:tcPr>
            <w:tcW w:w="13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40" w:type="dxa"/>
            <w:vAlign w:val="bottom"/>
            <w:gridSpan w:val="9"/>
          </w:tcPr>
          <w:p>
            <w:pPr>
              <w:jc w:val="center"/>
              <w:ind w:right="1440"/>
              <w:spacing w:after="0" w:line="151" w:lineRule="exact"/>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5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16,648</w:t>
            </w: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20" w:type="dxa"/>
            <w:vAlign w:val="bottom"/>
            <w:gridSpan w:val="4"/>
            <w:vMerge w:val="restart"/>
          </w:tcPr>
          <w:p>
            <w:pPr>
              <w:ind w:left="20"/>
              <w:spacing w:after="0"/>
              <w:rPr>
                <w:sz w:val="20"/>
                <w:szCs w:val="20"/>
                <w:color w:val="auto"/>
              </w:rPr>
            </w:pPr>
            <w:r>
              <w:rPr>
                <w:rFonts w:ascii="Arial" w:cs="Arial" w:eastAsia="Arial" w:hAnsi="Arial"/>
                <w:sz w:val="17"/>
                <w:szCs w:val="17"/>
                <w:color w:val="auto"/>
              </w:rPr>
              <w:t>Redeemable convertible preferred stock (Series A and B), $0.00001 par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2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34,090,000 shares authorized, 27,341,057 shares issued and outstanding,</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actual; no shares authorized, issued or outstanding, pro forma and pro forma</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tcPr>
          <w:p>
            <w:pPr>
              <w:ind w:left="160"/>
              <w:spacing w:after="0" w:line="194" w:lineRule="exact"/>
              <w:rPr>
                <w:sz w:val="20"/>
                <w:szCs w:val="20"/>
                <w:color w:val="auto"/>
              </w:rPr>
            </w:pPr>
            <w:r>
              <w:rPr>
                <w:rFonts w:ascii="Arial" w:cs="Arial" w:eastAsia="Arial" w:hAnsi="Arial"/>
                <w:sz w:val="17"/>
                <w:szCs w:val="17"/>
                <w:color w:val="auto"/>
              </w:rPr>
              <w:t>as adjusted</w:t>
            </w: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36,677</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 (deficit):</w:t>
            </w:r>
          </w:p>
        </w:tc>
        <w:tc>
          <w:tcPr>
            <w:tcW w:w="5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tcPr>
          <w:p>
            <w:pPr>
              <w:ind w:left="160"/>
              <w:spacing w:after="0"/>
              <w:rPr>
                <w:sz w:val="20"/>
                <w:szCs w:val="20"/>
                <w:color w:val="auto"/>
              </w:rPr>
            </w:pPr>
            <w:r>
              <w:rPr>
                <w:rFonts w:ascii="Arial" w:cs="Arial" w:eastAsia="Arial" w:hAnsi="Arial"/>
                <w:sz w:val="17"/>
                <w:szCs w:val="17"/>
                <w:color w:val="auto"/>
              </w:rPr>
              <w:t>Preferred stock, $0.00001 par value; no shares authorized, issued 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840" w:type="dxa"/>
            <w:vAlign w:val="bottom"/>
          </w:tcPr>
          <w:p>
            <w:pPr>
              <w:ind w:left="320"/>
              <w:spacing w:after="0"/>
              <w:rPr>
                <w:sz w:val="20"/>
                <w:szCs w:val="20"/>
                <w:color w:val="auto"/>
              </w:rPr>
            </w:pPr>
            <w:r>
              <w:rPr>
                <w:rFonts w:ascii="Arial" w:cs="Arial" w:eastAsia="Arial" w:hAnsi="Arial"/>
                <w:sz w:val="17"/>
                <w:szCs w:val="17"/>
                <w:color w:val="auto"/>
              </w:rPr>
              <w:t>outstanding, actual;</w:t>
            </w:r>
          </w:p>
        </w:tc>
        <w:tc>
          <w:tcPr>
            <w:tcW w:w="4380" w:type="dxa"/>
            <w:vAlign w:val="bottom"/>
            <w:gridSpan w:val="3"/>
          </w:tcPr>
          <w:p>
            <w:pPr>
              <w:jc w:val="right"/>
              <w:ind w:right="395"/>
              <w:spacing w:after="0"/>
              <w:rPr>
                <w:sz w:val="20"/>
                <w:szCs w:val="20"/>
                <w:color w:val="auto"/>
              </w:rPr>
            </w:pPr>
            <w:r>
              <w:rPr>
                <w:rFonts w:ascii="Arial" w:cs="Arial" w:eastAsia="Arial" w:hAnsi="Arial"/>
                <w:sz w:val="17"/>
                <w:szCs w:val="17"/>
                <w:color w:val="auto"/>
              </w:rPr>
              <w:t>shares authorized and no shares issued or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440" w:type="dxa"/>
            <w:vAlign w:val="bottom"/>
            <w:gridSpan w:val="3"/>
          </w:tcPr>
          <w:p>
            <w:pPr>
              <w:ind w:left="320"/>
              <w:spacing w:after="0" w:line="194" w:lineRule="exact"/>
              <w:rPr>
                <w:sz w:val="20"/>
                <w:szCs w:val="20"/>
                <w:color w:val="auto"/>
              </w:rPr>
            </w:pPr>
            <w:r>
              <w:rPr>
                <w:rFonts w:ascii="Arial" w:cs="Arial" w:eastAsia="Arial" w:hAnsi="Arial"/>
                <w:sz w:val="17"/>
                <w:szCs w:val="17"/>
                <w:color w:val="auto"/>
              </w:rPr>
              <w:t>outstanding, pro forma and pro forma as adjusted</w:t>
            </w: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22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Common stock, $0.00001 par value; 77,000,000 shares authorized, 9,420,000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shares issued and outstanding, actual;</w:t>
            </w:r>
          </w:p>
        </w:tc>
        <w:tc>
          <w:tcPr>
            <w:tcW w:w="2360" w:type="dxa"/>
            <w:vAlign w:val="bottom"/>
            <w:gridSpan w:val="2"/>
            <w:shd w:val="clear" w:color="auto" w:fill="CCEEFF"/>
          </w:tcPr>
          <w:p>
            <w:pPr>
              <w:jc w:val="right"/>
              <w:ind w:right="795"/>
              <w:spacing w:after="0"/>
              <w:rPr>
                <w:sz w:val="20"/>
                <w:szCs w:val="20"/>
                <w:color w:val="auto"/>
              </w:rPr>
            </w:pPr>
            <w:r>
              <w:rPr>
                <w:rFonts w:ascii="Arial" w:cs="Arial" w:eastAsia="Arial" w:hAnsi="Arial"/>
                <w:sz w:val="17"/>
                <w:szCs w:val="17"/>
                <w:color w:val="auto"/>
              </w:rPr>
              <w:t>shares authorized,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4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36,761,057 shares issued and outstanding, pro forma;</w:t>
            </w:r>
          </w:p>
        </w:tc>
        <w:tc>
          <w:tcPr>
            <w:tcW w:w="178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shares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8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authorized,</w:t>
            </w:r>
          </w:p>
        </w:tc>
        <w:tc>
          <w:tcPr>
            <w:tcW w:w="4380" w:type="dxa"/>
            <w:vAlign w:val="bottom"/>
            <w:gridSpan w:val="3"/>
            <w:shd w:val="clear" w:color="auto" w:fill="CCEEFF"/>
          </w:tcPr>
          <w:p>
            <w:pPr>
              <w:jc w:val="right"/>
              <w:ind w:right="195"/>
              <w:spacing w:after="0" w:line="194" w:lineRule="exact"/>
              <w:rPr>
                <w:sz w:val="20"/>
                <w:szCs w:val="20"/>
                <w:color w:val="auto"/>
              </w:rPr>
            </w:pPr>
            <w:r>
              <w:rPr>
                <w:rFonts w:ascii="Arial" w:cs="Arial" w:eastAsia="Arial" w:hAnsi="Arial"/>
                <w:sz w:val="17"/>
                <w:szCs w:val="17"/>
                <w:color w:val="auto"/>
              </w:rPr>
              <w:t>shares issued and outstanding, pro forma as adjusted</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860" w:type="dxa"/>
            <w:vAlign w:val="bottom"/>
            <w:gridSpan w:val="2"/>
          </w:tcPr>
          <w:p>
            <w:pPr>
              <w:ind w:left="160"/>
              <w:spacing w:after="0"/>
              <w:rPr>
                <w:sz w:val="20"/>
                <w:szCs w:val="20"/>
                <w:color w:val="auto"/>
              </w:rPr>
            </w:pPr>
            <w:r>
              <w:rPr>
                <w:rFonts w:ascii="Arial" w:cs="Arial" w:eastAsia="Arial" w:hAnsi="Arial"/>
                <w:sz w:val="17"/>
                <w:szCs w:val="17"/>
                <w:color w:val="auto"/>
              </w:rPr>
              <w:t>Additional paid-in capital</w:t>
            </w: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36,677</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5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84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(20,749)</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(20,749)</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860" w:type="dxa"/>
            <w:vAlign w:val="bottom"/>
            <w:gridSpan w:val="2"/>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stockholders' equity (deficit)</w:t>
            </w:r>
          </w:p>
        </w:tc>
        <w:tc>
          <w:tcPr>
            <w:tcW w:w="5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(20,755)</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15,922</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vMerge w:val="restart"/>
          </w:tcPr>
          <w:p>
            <w:pPr>
              <w:ind w:left="20"/>
              <w:spacing w:after="0"/>
              <w:rPr>
                <w:sz w:val="20"/>
                <w:szCs w:val="20"/>
                <w:color w:val="auto"/>
              </w:rPr>
            </w:pPr>
            <w:r>
              <w:rPr>
                <w:rFonts w:ascii="Arial" w:cs="Arial" w:eastAsia="Arial" w:hAnsi="Arial"/>
                <w:sz w:val="17"/>
                <w:szCs w:val="17"/>
                <w:color w:val="auto"/>
              </w:rPr>
              <w:t>Total capitalization</w:t>
            </w: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15,922</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15,922</w:t>
            </w:r>
          </w:p>
        </w:tc>
        <w:tc>
          <w:tcPr>
            <w:tcW w:w="8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jc w:val="right"/>
              <w:ind w:right="1475"/>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tabs>
          <w:tab w:leader="none" w:pos="6680" w:val="left"/>
        </w:tabs>
        <w:rPr>
          <w:sz w:val="20"/>
          <w:szCs w:val="20"/>
          <w:color w:val="auto"/>
        </w:rPr>
      </w:pPr>
      <w:r>
        <w:rPr>
          <w:rFonts w:ascii="Arial" w:cs="Arial" w:eastAsia="Arial" w:hAnsi="Arial"/>
          <w:sz w:val="17"/>
          <w:szCs w:val="17"/>
          <w:color w:val="auto"/>
        </w:rPr>
        <w:t>Each $1.00 increase or decrease in the assumed initial public offering price of $</w:t>
      </w:r>
      <w:r>
        <w:rPr>
          <w:sz w:val="20"/>
          <w:szCs w:val="20"/>
          <w:color w:val="auto"/>
        </w:rPr>
        <w:tab/>
      </w:r>
      <w:r>
        <w:rPr>
          <w:rFonts w:ascii="Arial" w:cs="Arial" w:eastAsia="Arial" w:hAnsi="Arial"/>
          <w:sz w:val="17"/>
          <w:szCs w:val="17"/>
          <w:color w:val="auto"/>
        </w:rPr>
        <w:t>per share, which is the midpoint of the price range set forth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cover page of this prospectus, would increase or decrease the pro forma as adjusted amount of each of cash, cash equivalents and marketable</w:t>
      </w:r>
    </w:p>
    <w:p>
      <w:pPr>
        <w:spacing w:after="0" w:line="1" w:lineRule="exact"/>
        <w:rPr>
          <w:sz w:val="20"/>
          <w:szCs w:val="20"/>
          <w:color w:val="auto"/>
        </w:rPr>
      </w:pPr>
    </w:p>
    <w:p>
      <w:pPr>
        <w:jc w:val="both"/>
        <w:ind w:right="20"/>
        <w:spacing w:after="0" w:line="182" w:lineRule="auto"/>
        <w:rPr>
          <w:sz w:val="20"/>
          <w:szCs w:val="20"/>
          <w:color w:val="auto"/>
        </w:rPr>
      </w:pPr>
      <w:r>
        <w:rPr>
          <w:rFonts w:ascii="Arial" w:cs="Arial" w:eastAsia="Arial" w:hAnsi="Arial"/>
          <w:sz w:val="15"/>
          <w:szCs w:val="15"/>
          <w:color w:val="auto"/>
        </w:rPr>
        <w:t>securities, additional paid-in capital, total stockholders' equity and total capitalization by $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of cash, cash equivalents and marketable securities, additional paid-in capital, total stockholders' equity and total capitalization by $ million, assuming no change in the assumed initial public offering price per share.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in the table above does not include:</w:t>
      </w:r>
    </w:p>
    <w:p>
      <w:pPr>
        <w:spacing w:after="0" w:line="224" w:lineRule="exact"/>
        <w:rPr>
          <w:sz w:val="20"/>
          <w:szCs w:val="20"/>
          <w:color w:val="auto"/>
        </w:rPr>
      </w:pPr>
    </w:p>
    <w:p>
      <w:pPr>
        <w:ind w:left="1060" w:hanging="531"/>
        <w:spacing w:after="0" w:line="252"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plan as of December 31, 2014, at a weighted average exercise price of $0.35 per share; and</w:t>
      </w:r>
    </w:p>
    <w:p>
      <w:pPr>
        <w:spacing w:after="0" w:line="205" w:lineRule="exact"/>
        <w:rPr>
          <w:rFonts w:ascii="Arial" w:cs="Arial" w:eastAsia="Arial" w:hAnsi="Arial"/>
          <w:sz w:val="17"/>
          <w:szCs w:val="17"/>
          <w:color w:val="auto"/>
        </w:rPr>
      </w:pPr>
    </w:p>
    <w:p>
      <w:pPr>
        <w:ind w:left="1060" w:right="400" w:hanging="531"/>
        <w:spacing w:after="0" w:line="246" w:lineRule="auto"/>
        <w:tabs>
          <w:tab w:leader="none" w:pos="17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199"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Our historical net tangible book value (deficit) as of December 31, 2014 was $(20.8) million, or $(2.20) per share of our common stock. Our historical net tangible book value (deficit) is the amount of our total tangible assets less our total liabilities and redeemable convertible preferred stock, which is not included within stockholders' equity (deficit). Historical net tangible book value per share represents historical net tangible book value (deficit) divided by the 9,420,000 shares of our common stock outstanding as of December 31, 2014.</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Our pro forma net tangible book value as of December 31, 2014 was $15.9 million, or $0.43 per share of our common stock. Pro forma net tangible book value represents the amount of our total tangible assets less our total liabilities, after giving effect to the conversion of all shares of our redeemable convertible preferred stock outstanding as of December 31, 2014 into an aggregate of 27,341,057 shares of our common stock, which will occur upon the closing of this offering. Pro forma net tangible book value per share represents pro forma net tangible book value divided by the total number of shares outstanding as of December 31, 2014, after giving effect to the conversion of all shares of our redeemable convertible preferred stock outstanding as of December 31, 2014 into an aggregate of 27,341,057 shares of our common stock, which will occur upon the closing of this offering.</w:t>
      </w:r>
    </w:p>
    <w:p>
      <w:pPr>
        <w:spacing w:after="0" w:line="20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After giving further effect to our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December 31, 2014 would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have been $</w:t>
            </w:r>
          </w:p>
        </w:tc>
        <w:tc>
          <w:tcPr>
            <w:tcW w:w="1920" w:type="dxa"/>
            <w:vAlign w:val="bottom"/>
          </w:tcPr>
          <w:p>
            <w:pPr>
              <w:ind w:left="560"/>
              <w:spacing w:after="0"/>
              <w:rPr>
                <w:sz w:val="20"/>
                <w:szCs w:val="20"/>
                <w:color w:val="auto"/>
              </w:rPr>
            </w:pPr>
            <w:r>
              <w:rPr>
                <w:rFonts w:ascii="Arial" w:cs="Arial" w:eastAsia="Arial" w:hAnsi="Arial"/>
                <w:sz w:val="17"/>
                <w:szCs w:val="17"/>
                <w:color w:val="auto"/>
              </w:rPr>
              <w:t>million, or $</w:t>
            </w:r>
          </w:p>
        </w:tc>
        <w:tc>
          <w:tcPr>
            <w:tcW w:w="7980" w:type="dxa"/>
            <w:vAlign w:val="bottom"/>
            <w:gridSpan w:val="7"/>
          </w:tcPr>
          <w:p>
            <w:pPr>
              <w:ind w:left="220"/>
              <w:spacing w:after="0"/>
              <w:rPr>
                <w:sz w:val="20"/>
                <w:szCs w:val="20"/>
                <w:color w:val="auto"/>
              </w:rPr>
            </w:pPr>
            <w:r>
              <w:rPr>
                <w:rFonts w:ascii="Arial" w:cs="Arial" w:eastAsia="Arial" w:hAnsi="Arial"/>
                <w:sz w:val="17"/>
                <w:szCs w:val="17"/>
                <w:color w:val="auto"/>
              </w:rPr>
              <w:t>per share. This represents an immediate increase in pro forma as adjusted net tangible book value of</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60" w:type="dxa"/>
            <w:vAlign w:val="bottom"/>
          </w:tcPr>
          <w:p>
            <w:pPr>
              <w:spacing w:after="0"/>
              <w:rPr>
                <w:sz w:val="20"/>
                <w:szCs w:val="20"/>
                <w:color w:val="auto"/>
              </w:rPr>
            </w:pPr>
            <w:r>
              <w:rPr>
                <w:rFonts w:ascii="Arial" w:cs="Arial" w:eastAsia="Arial" w:hAnsi="Arial"/>
                <w:sz w:val="17"/>
                <w:szCs w:val="17"/>
                <w:color w:val="auto"/>
              </w:rPr>
              <w:t>$</w:t>
            </w:r>
          </w:p>
        </w:tc>
        <w:tc>
          <w:tcPr>
            <w:tcW w:w="8320" w:type="dxa"/>
            <w:vAlign w:val="bottom"/>
            <w:gridSpan w:val="4"/>
          </w:tcPr>
          <w:p>
            <w:pPr>
              <w:ind w:left="360"/>
              <w:spacing w:after="0"/>
              <w:rPr>
                <w:sz w:val="20"/>
                <w:szCs w:val="20"/>
                <w:color w:val="auto"/>
              </w:rPr>
            </w:pPr>
            <w:r>
              <w:rPr>
                <w:rFonts w:ascii="Arial" w:cs="Arial" w:eastAsia="Arial" w:hAnsi="Arial"/>
                <w:sz w:val="17"/>
                <w:szCs w:val="17"/>
                <w:color w:val="auto"/>
              </w:rPr>
              <w:t>per share to existing stockholders and an immediate dilution in pro forma net tangible book value of $</w:t>
            </w:r>
          </w:p>
        </w:tc>
        <w:tc>
          <w:tcPr>
            <w:tcW w:w="2660" w:type="dxa"/>
            <w:vAlign w:val="bottom"/>
            <w:gridSpan w:val="7"/>
          </w:tcPr>
          <w:p>
            <w:pPr>
              <w:ind w:left="360"/>
              <w:spacing w:after="0"/>
              <w:rPr>
                <w:sz w:val="20"/>
                <w:szCs w:val="20"/>
                <w:color w:val="auto"/>
              </w:rPr>
            </w:pPr>
            <w:r>
              <w:rPr>
                <w:rFonts w:ascii="Arial" w:cs="Arial" w:eastAsia="Arial" w:hAnsi="Arial"/>
                <w:sz w:val="17"/>
                <w:szCs w:val="17"/>
                <w:color w:val="auto"/>
              </w:rPr>
              <w:t>per share to new investors</w:t>
            </w:r>
          </w:p>
        </w:tc>
      </w:tr>
      <w:tr>
        <w:trPr>
          <w:trHeight w:val="197"/>
        </w:trPr>
        <w:tc>
          <w:tcPr>
            <w:tcW w:w="11040" w:type="dxa"/>
            <w:vAlign w:val="bottom"/>
            <w:gridSpan w:val="10"/>
          </w:tcPr>
          <w:p>
            <w:pPr>
              <w:spacing w:after="0"/>
              <w:rPr>
                <w:sz w:val="20"/>
                <w:szCs w:val="20"/>
                <w:color w:val="auto"/>
              </w:rPr>
            </w:pPr>
            <w:r>
              <w:rPr>
                <w:rFonts w:ascii="Arial" w:cs="Arial" w:eastAsia="Arial" w:hAnsi="Arial"/>
                <w:sz w:val="17"/>
                <w:szCs w:val="17"/>
                <w:color w:val="auto"/>
              </w:rPr>
              <w:t>purchasing common stock in this offering. Dilution per share to new investors is determined by subtracting pro forma as adjusted net tangible book</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1040" w:type="dxa"/>
            <w:vAlign w:val="bottom"/>
            <w:gridSpan w:val="10"/>
          </w:tcPr>
          <w:p>
            <w:pPr>
              <w:spacing w:after="0"/>
              <w:rPr>
                <w:sz w:val="20"/>
                <w:szCs w:val="20"/>
                <w:color w:val="auto"/>
              </w:rPr>
            </w:pPr>
            <w:r>
              <w:rPr>
                <w:rFonts w:ascii="Arial" w:cs="Arial" w:eastAsia="Arial" w:hAnsi="Arial"/>
                <w:sz w:val="17"/>
                <w:szCs w:val="17"/>
                <w:color w:val="auto"/>
              </w:rPr>
              <w:t>value per share after this offering from the assumed initial public offering price per share paid by new investors. The following table illustrates this</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3060" w:type="dxa"/>
            <w:vAlign w:val="bottom"/>
            <w:gridSpan w:val="3"/>
          </w:tcPr>
          <w:p>
            <w:pPr>
              <w:spacing w:after="0"/>
              <w:rPr>
                <w:sz w:val="20"/>
                <w:szCs w:val="20"/>
                <w:color w:val="auto"/>
              </w:rPr>
            </w:pPr>
            <w:r>
              <w:rPr>
                <w:rFonts w:ascii="Arial" w:cs="Arial" w:eastAsia="Arial" w:hAnsi="Arial"/>
                <w:sz w:val="17"/>
                <w:szCs w:val="17"/>
                <w:color w:val="auto"/>
              </w:rPr>
              <w:t>dilution on a per share basis:</w:t>
            </w:r>
          </w:p>
        </w:tc>
        <w:tc>
          <w:tcPr>
            <w:tcW w:w="3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gridSpan w:val="2"/>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560" w:type="dxa"/>
            <w:vAlign w:val="bottom"/>
            <w:gridSpan w:val="2"/>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208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40" w:type="dxa"/>
            <w:vAlign w:val="bottom"/>
            <w:gridSpan w:val="3"/>
          </w:tcPr>
          <w:p>
            <w:pPr>
              <w:ind w:left="160"/>
              <w:spacing w:after="0"/>
              <w:rPr>
                <w:sz w:val="20"/>
                <w:szCs w:val="20"/>
                <w:color w:val="auto"/>
              </w:rPr>
            </w:pPr>
            <w:r>
              <w:rPr>
                <w:rFonts w:ascii="Arial" w:cs="Arial" w:eastAsia="Arial" w:hAnsi="Arial"/>
                <w:sz w:val="17"/>
                <w:szCs w:val="17"/>
                <w:color w:val="auto"/>
              </w:rPr>
              <w:t>Historical net tangible book value (deficit) per share as of December 31, 2014</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  (2.20)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Increase per share attributable to the conversion of all outstanding shares of redeemable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convertible preferred stock</w:t>
            </w:r>
          </w:p>
        </w:tc>
        <w:tc>
          <w:tcPr>
            <w:tcW w:w="20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2.63</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6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Pro forma net tangible book value per share as of December 31, 2014</w:t>
            </w:r>
          </w:p>
        </w:tc>
        <w:tc>
          <w:tcPr>
            <w:tcW w:w="208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0.43</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Increase in pro forma as adjusted net tangible book value per share attributable to new investors</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purchasing shares in this offering</w:t>
            </w:r>
          </w:p>
        </w:tc>
        <w:tc>
          <w:tcPr>
            <w:tcW w:w="20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60" w:type="dxa"/>
            <w:vAlign w:val="bottom"/>
            <w:gridSpan w:val="2"/>
          </w:tcPr>
          <w:p>
            <w:pPr>
              <w:ind w:left="20"/>
              <w:spacing w:after="0" w:line="189" w:lineRule="exact"/>
              <w:rPr>
                <w:sz w:val="20"/>
                <w:szCs w:val="20"/>
                <w:color w:val="auto"/>
              </w:rPr>
            </w:pPr>
            <w:r>
              <w:rPr>
                <w:rFonts w:ascii="Arial" w:cs="Arial" w:eastAsia="Arial" w:hAnsi="Arial"/>
                <w:sz w:val="17"/>
                <w:szCs w:val="17"/>
                <w:color w:val="auto"/>
                <w:w w:val="99"/>
              </w:rPr>
              <w:t>Pro forma as adjusted net tangible book value per share after this offering</w:t>
            </w:r>
          </w:p>
        </w:tc>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5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20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
        </w:trPr>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403"/>
        </w:trPr>
        <w:tc>
          <w:tcPr>
            <w:tcW w:w="6700" w:type="dxa"/>
            <w:vAlign w:val="bottom"/>
            <w:gridSpan w:val="4"/>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340" w:type="dxa"/>
            <w:vAlign w:val="bottom"/>
            <w:gridSpan w:val="6"/>
          </w:tcPr>
          <w:p>
            <w:pPr>
              <w:spacing w:after="0"/>
              <w:rPr>
                <w:sz w:val="20"/>
                <w:szCs w:val="20"/>
                <w:color w:val="auto"/>
              </w:rPr>
            </w:pPr>
            <w:r>
              <w:rPr>
                <w:rFonts w:ascii="Arial" w:cs="Arial" w:eastAsia="Arial" w:hAnsi="Arial"/>
                <w:sz w:val="17"/>
                <w:szCs w:val="17"/>
                <w:color w:val="auto"/>
              </w:rPr>
              <w:t>per share would increase or decrease our pro forma as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3060" w:type="dxa"/>
            <w:vAlign w:val="bottom"/>
            <w:gridSpan w:val="3"/>
          </w:tcPr>
          <w:p>
            <w:pPr>
              <w:spacing w:after="0"/>
              <w:rPr>
                <w:sz w:val="20"/>
                <w:szCs w:val="20"/>
                <w:color w:val="auto"/>
              </w:rPr>
            </w:pPr>
            <w:r>
              <w:rPr>
                <w:rFonts w:ascii="Arial" w:cs="Arial" w:eastAsia="Arial" w:hAnsi="Arial"/>
                <w:sz w:val="17"/>
                <w:szCs w:val="17"/>
                <w:color w:val="auto"/>
              </w:rPr>
              <w:t>adjusted net tangible book value by $</w:t>
            </w:r>
          </w:p>
        </w:tc>
        <w:tc>
          <w:tcPr>
            <w:tcW w:w="7980" w:type="dxa"/>
            <w:vAlign w:val="bottom"/>
            <w:gridSpan w:val="7"/>
          </w:tcPr>
          <w:p>
            <w:pPr>
              <w:ind w:left="520"/>
              <w:spacing w:after="0"/>
              <w:rPr>
                <w:sz w:val="20"/>
                <w:szCs w:val="20"/>
                <w:color w:val="auto"/>
              </w:rPr>
            </w:pPr>
            <w:r>
              <w:rPr>
                <w:rFonts w:ascii="Arial" w:cs="Arial" w:eastAsia="Arial" w:hAnsi="Arial"/>
                <w:sz w:val="17"/>
                <w:szCs w:val="17"/>
                <w:color w:val="auto"/>
              </w:rPr>
              <w:t>million, our pro forma as adjusted net tangible book value per share after this offering by $</w:t>
            </w:r>
          </w:p>
        </w:tc>
        <w:tc>
          <w:tcPr>
            <w:tcW w:w="400" w:type="dxa"/>
            <w:vAlign w:val="bottom"/>
            <w:gridSpan w:val="2"/>
          </w:tcPr>
          <w:p>
            <w:pPr>
              <w:ind w:left="20"/>
              <w:spacing w:after="0"/>
              <w:rPr>
                <w:sz w:val="20"/>
                <w:szCs w:val="20"/>
                <w:color w:val="auto"/>
              </w:rPr>
            </w:pPr>
            <w:r>
              <w:rPr>
                <w:rFonts w:ascii="Arial" w:cs="Arial" w:eastAsia="Arial" w:hAnsi="Arial"/>
                <w:sz w:val="17"/>
                <w:szCs w:val="17"/>
                <w:color w:val="auto"/>
              </w:rPr>
              <w:t>and</w:t>
            </w:r>
          </w:p>
        </w:tc>
      </w:tr>
      <w:tr>
        <w:trPr>
          <w:trHeight w:val="204"/>
        </w:trPr>
        <w:tc>
          <w:tcPr>
            <w:tcW w:w="3060" w:type="dxa"/>
            <w:vAlign w:val="bottom"/>
            <w:gridSpan w:val="3"/>
          </w:tcPr>
          <w:p>
            <w:pPr>
              <w:spacing w:after="0"/>
              <w:rPr>
                <w:sz w:val="20"/>
                <w:szCs w:val="20"/>
                <w:color w:val="auto"/>
              </w:rPr>
            </w:pPr>
            <w:r>
              <w:rPr>
                <w:rFonts w:ascii="Arial" w:cs="Arial" w:eastAsia="Arial" w:hAnsi="Arial"/>
                <w:sz w:val="17"/>
                <w:szCs w:val="17"/>
                <w:color w:val="auto"/>
              </w:rPr>
              <w:t>dilution per share to new</w:t>
            </w:r>
          </w:p>
        </w:tc>
        <w:tc>
          <w:tcPr>
            <w:tcW w:w="3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6"/>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40" w:type="dxa"/>
            <w:vAlign w:val="bottom"/>
          </w:tcPr>
          <w:p>
            <w:pPr>
              <w:jc w:val="right"/>
              <w:ind w:right="815"/>
              <w:spacing w:after="0"/>
              <w:rPr>
                <w:sz w:val="20"/>
                <w:szCs w:val="20"/>
                <w:color w:val="auto"/>
              </w:rPr>
            </w:pPr>
            <w:r>
              <w:rPr>
                <w:rFonts w:ascii="Arial" w:cs="Arial" w:eastAsia="Arial" w:hAnsi="Arial"/>
                <w:sz w:val="17"/>
                <w:szCs w:val="17"/>
                <w:color w:val="auto"/>
              </w:rPr>
              <w:t>53</w:t>
            </w: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tabs>
          <w:tab w:leader="none" w:pos="4300" w:val="left"/>
        </w:tabs>
        <w:rPr>
          <w:sz w:val="20"/>
          <w:szCs w:val="20"/>
          <w:color w:val="auto"/>
        </w:rPr>
      </w:pPr>
      <w:r>
        <w:rPr>
          <w:rFonts w:ascii="Arial" w:cs="Arial" w:eastAsia="Arial" w:hAnsi="Arial"/>
          <w:sz w:val="17"/>
          <w:szCs w:val="17"/>
          <w:color w:val="auto"/>
        </w:rPr>
        <w:t>investors purchasing shares in this offering by $</w:t>
      </w:r>
      <w:r>
        <w:rPr>
          <w:sz w:val="20"/>
          <w:szCs w:val="20"/>
          <w:color w:val="auto"/>
        </w:rPr>
        <w:tab/>
      </w:r>
      <w:r>
        <w:rPr>
          <w:rFonts w:ascii="Arial" w:cs="Arial" w:eastAsia="Arial" w:hAnsi="Arial"/>
          <w:sz w:val="16"/>
          <w:szCs w:val="16"/>
          <w:color w:val="auto"/>
        </w:rPr>
        <w:t>, assuming that the number of shares offered by us, as set forth on the cover page of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prospectus, remains the same and after deducting the estimated underwriting discounts and commissions. An increase of 1.0 million in the number of</w:t>
      </w:r>
    </w:p>
    <w:p>
      <w:pPr>
        <w:spacing w:after="0" w:line="39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shares we are offering would increase the pro forma as adjusted net tangible book value per share after this offering by $ and decrease the dilution per share to new investors participating in this offering by $ , assuming no change in the assumed initial public offering price per share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after deducting the estimated underwriting discounts and commissions. A decrease of 1.0 million in the number of shares we are offering would</w:t>
      </w:r>
    </w:p>
    <w:p>
      <w:pPr>
        <w:spacing w:after="0" w:line="392"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decrease the pro forma as adjusted net tangible book value per share after this offering by $ and increase the dilution per share to new investors participating in this offering by $ , assuming no change in the assumed initial public offering price per share and after deducting the estimated underwriting discounts and commissions.</w:t>
      </w:r>
    </w:p>
    <w:p>
      <w:pPr>
        <w:spacing w:after="0" w:line="199" w:lineRule="exact"/>
        <w:rPr>
          <w:sz w:val="20"/>
          <w:szCs w:val="20"/>
          <w:color w:val="auto"/>
        </w:rPr>
      </w:pPr>
    </w:p>
    <w:p>
      <w:pPr>
        <w:spacing w:after="0"/>
        <w:tabs>
          <w:tab w:leader="none" w:pos="4560" w:val="left"/>
        </w:tabs>
        <w:rPr>
          <w:sz w:val="20"/>
          <w:szCs w:val="20"/>
          <w:color w:val="auto"/>
        </w:rPr>
      </w:pPr>
      <w:r>
        <w:rPr>
          <w:rFonts w:ascii="Arial" w:cs="Arial" w:eastAsia="Arial" w:hAnsi="Arial"/>
          <w:sz w:val="17"/>
          <w:szCs w:val="17"/>
          <w:color w:val="auto"/>
        </w:rPr>
        <w:t>If the underwriters exercise their option to purchase</w:t>
      </w:r>
      <w:r>
        <w:rPr>
          <w:sz w:val="20"/>
          <w:szCs w:val="20"/>
          <w:color w:val="auto"/>
        </w:rPr>
        <w:tab/>
      </w:r>
      <w:r>
        <w:rPr>
          <w:rFonts w:ascii="Arial" w:cs="Arial" w:eastAsia="Arial" w:hAnsi="Arial"/>
          <w:sz w:val="17"/>
          <w:szCs w:val="17"/>
          <w:color w:val="auto"/>
        </w:rPr>
        <w:t>additional shares in full, our pro forma as adjusted net tangible book value per share after</w:t>
      </w:r>
    </w:p>
    <w:p>
      <w:pPr>
        <w:spacing w:after="0" w:line="1" w:lineRule="exact"/>
        <w:rPr>
          <w:sz w:val="20"/>
          <w:szCs w:val="20"/>
          <w:color w:val="auto"/>
        </w:rPr>
      </w:pPr>
    </w:p>
    <w:p>
      <w:pPr>
        <w:spacing w:after="0"/>
        <w:tabs>
          <w:tab w:leader="none" w:pos="2440" w:val="left"/>
        </w:tabs>
        <w:rPr>
          <w:sz w:val="20"/>
          <w:szCs w:val="20"/>
          <w:color w:val="auto"/>
        </w:rPr>
      </w:pPr>
      <w:r>
        <w:rPr>
          <w:rFonts w:ascii="Arial" w:cs="Arial" w:eastAsia="Arial" w:hAnsi="Arial"/>
          <w:sz w:val="17"/>
          <w:szCs w:val="17"/>
          <w:color w:val="auto"/>
        </w:rPr>
        <w:t>this offering would be $</w:t>
      </w:r>
      <w:r>
        <w:rPr>
          <w:sz w:val="20"/>
          <w:szCs w:val="20"/>
          <w:color w:val="auto"/>
        </w:rPr>
        <w:tab/>
      </w:r>
      <w:r>
        <w:rPr>
          <w:rFonts w:ascii="Arial" w:cs="Arial" w:eastAsia="Arial" w:hAnsi="Arial"/>
          <w:sz w:val="17"/>
          <w:szCs w:val="17"/>
          <w:color w:val="auto"/>
        </w:rPr>
        <w:t>per share, representing an immediate increase in pro forma as adjusted net tangible book value per share of</w:t>
      </w:r>
    </w:p>
    <w:p>
      <w:pPr>
        <w:spacing w:after="0" w:line="1" w:lineRule="exact"/>
        <w:rPr>
          <w:sz w:val="20"/>
          <w:szCs w:val="20"/>
          <w:color w:val="auto"/>
        </w:rPr>
      </w:pPr>
    </w:p>
    <w:p>
      <w:pPr>
        <w:spacing w:after="0"/>
        <w:tabs>
          <w:tab w:leader="none" w:pos="800" w:val="left"/>
          <w:tab w:leader="none" w:pos="5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to existing stockholders and immediate dilution of $</w:t>
      </w:r>
      <w:r>
        <w:rPr>
          <w:sz w:val="20"/>
          <w:szCs w:val="20"/>
          <w:color w:val="auto"/>
        </w:rPr>
        <w:tab/>
      </w:r>
      <w:r>
        <w:rPr>
          <w:rFonts w:ascii="Arial" w:cs="Arial" w:eastAsia="Arial" w:hAnsi="Arial"/>
          <w:sz w:val="17"/>
          <w:szCs w:val="17"/>
          <w:color w:val="auto"/>
        </w:rPr>
        <w:t>in pro forma as adjusted net tangible book value per share to new investors</w:t>
      </w:r>
    </w:p>
    <w:p>
      <w:pPr>
        <w:spacing w:after="0" w:line="1" w:lineRule="exact"/>
        <w:rPr>
          <w:sz w:val="20"/>
          <w:szCs w:val="20"/>
          <w:color w:val="auto"/>
        </w:rPr>
      </w:pPr>
    </w:p>
    <w:p>
      <w:pPr>
        <w:spacing w:after="0"/>
        <w:tabs>
          <w:tab w:leader="none" w:pos="7140" w:val="left"/>
        </w:tabs>
        <w:rPr>
          <w:sz w:val="20"/>
          <w:szCs w:val="20"/>
          <w:color w:val="auto"/>
        </w:rPr>
      </w:pPr>
      <w:r>
        <w:rPr>
          <w:rFonts w:ascii="Arial" w:cs="Arial" w:eastAsia="Arial" w:hAnsi="Arial"/>
          <w:sz w:val="17"/>
          <w:szCs w:val="17"/>
          <w:color w:val="auto"/>
        </w:rPr>
        <w:t>purchasing common stock in this offering, assuming an initial public offering price of $</w:t>
      </w:r>
      <w:r>
        <w:rPr>
          <w:sz w:val="20"/>
          <w:szCs w:val="20"/>
          <w:color w:val="auto"/>
        </w:rPr>
        <w:tab/>
      </w:r>
      <w:r>
        <w:rPr>
          <w:rFonts w:ascii="Arial" w:cs="Arial" w:eastAsia="Arial" w:hAnsi="Arial"/>
          <w:sz w:val="17"/>
          <w:szCs w:val="17"/>
          <w:color w:val="auto"/>
        </w:rPr>
        <w:t>per share, which is the midpoint of the price range 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w:t>
      </w:r>
    </w:p>
    <w:p>
      <w:pPr>
        <w:spacing w:after="0" w:line="21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following table summarizes, on the pro forma as adjusted basis described above, the number of shares of our common stock, the total consideration and the average price per share (i) paid to us by existing stockholders and (ii) to be paid by investors purchasing shares of common stock</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 this offering at an assumed initial public offering price of $ per share, which is the midpoint of the price range set forth on the cover page on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Shares Purchased</w:t>
            </w: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Total Consideration</w:t>
            </w:r>
          </w:p>
        </w:tc>
        <w:tc>
          <w:tcPr>
            <w:tcW w:w="21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gridSpan w:val="3"/>
            <w:vMerge w:val="restart"/>
          </w:tcPr>
          <w:p>
            <w:pPr>
              <w:jc w:val="center"/>
              <w:ind w:right="1440"/>
              <w:spacing w:after="0" w:line="157"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13"/>
        </w:trPr>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7"/>
              </w:rPr>
              <w:t>Per Share</w:t>
            </w: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Existing stockholders</w:t>
            </w:r>
          </w:p>
        </w:tc>
        <w:tc>
          <w:tcPr>
            <w:tcW w:w="3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7"/>
                <w:szCs w:val="17"/>
                <w:color w:val="auto"/>
              </w:rPr>
              <w:t>New investors</w:t>
            </w:r>
          </w:p>
        </w:tc>
        <w:tc>
          <w:tcPr>
            <w:tcW w:w="30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2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100.0%$</w:t>
            </w:r>
          </w:p>
        </w:tc>
        <w:tc>
          <w:tcPr>
            <w:tcW w:w="740" w:type="dxa"/>
            <w:vAlign w:val="bottom"/>
            <w:shd w:val="clear" w:color="auto" w:fill="CCEEFF"/>
          </w:tcPr>
          <w:p>
            <w:pPr>
              <w:spacing w:after="0"/>
              <w:rPr>
                <w:sz w:val="16"/>
                <w:szCs w:val="16"/>
                <w:color w:val="auto"/>
              </w:rPr>
            </w:pPr>
          </w:p>
        </w:tc>
        <w:tc>
          <w:tcPr>
            <w:tcW w:w="114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100.0%</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6400" w:type="dxa"/>
            <w:vAlign w:val="bottom"/>
            <w:gridSpan w:val="5"/>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160" w:type="dxa"/>
            <w:vAlign w:val="bottom"/>
          </w:tcPr>
          <w:p>
            <w:pPr>
              <w:spacing w:after="0"/>
              <w:rPr>
                <w:sz w:val="24"/>
                <w:szCs w:val="24"/>
                <w:color w:val="auto"/>
              </w:rPr>
            </w:pPr>
          </w:p>
        </w:tc>
        <w:tc>
          <w:tcPr>
            <w:tcW w:w="4880" w:type="dxa"/>
            <w:vAlign w:val="bottom"/>
            <w:gridSpan w:val="11"/>
          </w:tcPr>
          <w:p>
            <w:pPr>
              <w:ind w:left="140"/>
              <w:spacing w:after="0"/>
              <w:rPr>
                <w:sz w:val="20"/>
                <w:szCs w:val="20"/>
                <w:color w:val="auto"/>
              </w:rPr>
            </w:pPr>
            <w:r>
              <w:rPr>
                <w:rFonts w:ascii="Arial" w:cs="Arial" w:eastAsia="Arial" w:hAnsi="Arial"/>
                <w:sz w:val="17"/>
                <w:szCs w:val="17"/>
                <w:color w:val="auto"/>
              </w:rPr>
              <w:t>per share would increase or decrease the total consideration</w:t>
            </w:r>
          </w:p>
        </w:tc>
        <w:tc>
          <w:tcPr>
            <w:tcW w:w="0" w:type="dxa"/>
            <w:vAlign w:val="bottom"/>
          </w:tcPr>
          <w:p>
            <w:pPr>
              <w:spacing w:after="0"/>
              <w:rPr>
                <w:sz w:val="1"/>
                <w:szCs w:val="1"/>
                <w:color w:val="auto"/>
              </w:rPr>
            </w:pPr>
          </w:p>
        </w:tc>
      </w:tr>
      <w:tr>
        <w:trPr>
          <w:trHeight w:val="197"/>
        </w:trPr>
        <w:tc>
          <w:tcPr>
            <w:tcW w:w="2760" w:type="dxa"/>
            <w:vAlign w:val="bottom"/>
            <w:gridSpan w:val="3"/>
          </w:tcPr>
          <w:p>
            <w:pPr>
              <w:spacing w:after="0"/>
              <w:rPr>
                <w:sz w:val="20"/>
                <w:szCs w:val="20"/>
                <w:color w:val="auto"/>
              </w:rPr>
            </w:pPr>
            <w:r>
              <w:rPr>
                <w:rFonts w:ascii="Arial" w:cs="Arial" w:eastAsia="Arial" w:hAnsi="Arial"/>
                <w:sz w:val="17"/>
                <w:szCs w:val="17"/>
                <w:color w:val="auto"/>
              </w:rPr>
              <w:t>paid by new investors by $</w:t>
            </w:r>
          </w:p>
        </w:tc>
        <w:tc>
          <w:tcPr>
            <w:tcW w:w="8680" w:type="dxa"/>
            <w:vAlign w:val="bottom"/>
            <w:gridSpan w:val="14"/>
          </w:tcPr>
          <w:p>
            <w:pPr>
              <w:ind w:left="20"/>
              <w:spacing w:after="0"/>
              <w:rPr>
                <w:sz w:val="20"/>
                <w:szCs w:val="20"/>
                <w:color w:val="auto"/>
              </w:rPr>
            </w:pPr>
            <w:r>
              <w:rPr>
                <w:rFonts w:ascii="Arial" w:cs="Arial" w:eastAsia="Arial" w:hAnsi="Arial"/>
                <w:sz w:val="17"/>
                <w:szCs w:val="17"/>
                <w:color w:val="auto"/>
              </w:rPr>
              <w:t>million and, in the case of an increase, would increase the percentage of total consideration paid by new investors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gridSpan w:val="16"/>
          </w:tcPr>
          <w:p>
            <w:pPr>
              <w:ind w:left="380"/>
              <w:spacing w:after="0"/>
              <w:rPr>
                <w:sz w:val="20"/>
                <w:szCs w:val="20"/>
                <w:color w:val="auto"/>
              </w:rPr>
            </w:pPr>
            <w:r>
              <w:rPr>
                <w:rFonts w:ascii="Arial" w:cs="Arial" w:eastAsia="Arial" w:hAnsi="Arial"/>
                <w:sz w:val="17"/>
                <w:szCs w:val="17"/>
                <w:color w:val="auto"/>
              </w:rPr>
              <w:t>percentage points and, in the case of a decrease, would decrease the percentage of total consideration paid by new investors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880" w:type="dxa"/>
            <w:vAlign w:val="bottom"/>
            <w:gridSpan w:val="16"/>
          </w:tcPr>
          <w:p>
            <w:pPr>
              <w:ind w:left="380"/>
              <w:spacing w:after="0"/>
              <w:rPr>
                <w:sz w:val="20"/>
                <w:szCs w:val="20"/>
                <w:color w:val="auto"/>
              </w:rPr>
            </w:pPr>
            <w:r>
              <w:rPr>
                <w:rFonts w:ascii="Arial" w:cs="Arial" w:eastAsia="Arial" w:hAnsi="Arial"/>
                <w:sz w:val="17"/>
                <w:szCs w:val="17"/>
                <w:color w:val="auto"/>
              </w:rPr>
              <w:t>percentage points, assuming that the number of shares offered by us, as set forth on the cover page of this prospectus, remains the same.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An increase or decrease of 1.0 million in the number of shares we are offering would increase or decrease the total consideration paid by new investors</w:t>
      </w:r>
    </w:p>
    <w:p>
      <w:pPr>
        <w:spacing w:after="0" w:line="392" w:lineRule="exact"/>
        <w:rPr>
          <w:sz w:val="20"/>
          <w:szCs w:val="20"/>
          <w:color w:val="auto"/>
        </w:rPr>
      </w:pPr>
    </w:p>
    <w:p>
      <w:pPr>
        <w:ind w:right="1220"/>
        <w:spacing w:after="0"/>
        <w:rPr>
          <w:sz w:val="20"/>
          <w:szCs w:val="20"/>
          <w:color w:val="auto"/>
        </w:rPr>
      </w:pPr>
      <w:r>
        <w:rPr>
          <w:rFonts w:ascii="Arial" w:cs="Arial" w:eastAsia="Arial" w:hAnsi="Arial"/>
          <w:sz w:val="17"/>
          <w:szCs w:val="17"/>
          <w:color w:val="auto"/>
        </w:rPr>
        <w:t>by $ million and, in the case of an increase, would increase the percentage of total consideration paid by new investors by percentage points and, in the case of a decrease, would decrease the percentage of total consideration paid by new investors percentage points, assuming no change in the assumed initial public offering price per share. by</w:t>
      </w:r>
    </w:p>
    <w:p>
      <w:pPr>
        <w:spacing w:after="0" w:line="213"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of our common stock outstanding after this offering, and the number of shares of common stock held by new investors participating in the offering would be increased to % of the total number of shares of our common stock outstanding after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tables and discussion above do not include:</w:t>
      </w:r>
    </w:p>
    <w:p>
      <w:pPr>
        <w:spacing w:after="0" w:line="224" w:lineRule="exact"/>
        <w:rPr>
          <w:sz w:val="20"/>
          <w:szCs w:val="20"/>
          <w:color w:val="auto"/>
        </w:rPr>
      </w:pPr>
    </w:p>
    <w:p>
      <w:pPr>
        <w:ind w:left="1060" w:right="20" w:hanging="531"/>
        <w:spacing w:after="0" w:line="252"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1,725,961 shares of our common stock issuable upon the exercise of stock options outstanding under our 2012 equity compensation plan as of December 31, 2014, at a weighted average exercise price of $0.35 per share; and</w:t>
      </w:r>
    </w:p>
    <w:p>
      <w:pPr>
        <w:spacing w:after="0" w:line="205" w:lineRule="exact"/>
        <w:rPr>
          <w:rFonts w:ascii="Arial" w:cs="Arial" w:eastAsia="Arial" w:hAnsi="Arial"/>
          <w:sz w:val="17"/>
          <w:szCs w:val="17"/>
          <w:color w:val="auto"/>
        </w:rPr>
      </w:pPr>
    </w:p>
    <w:p>
      <w:pPr>
        <w:ind w:left="1060" w:right="420" w:hanging="531"/>
        <w:spacing w:after="0" w:line="246" w:lineRule="auto"/>
        <w:tabs>
          <w:tab w:leader="none" w:pos="17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2015 equity incentive plan, which will become effective upon the closing of this offering, as well as any automatic increases in the number of shares of common stock reserved for future issuance under this plan.</w:t>
      </w:r>
    </w:p>
    <w:p>
      <w:pPr>
        <w:spacing w:after="0" w:line="19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SELECTED FINANCIAL DATA</w:t>
      </w:r>
    </w:p>
    <w:p>
      <w:pPr>
        <w:spacing w:after="0" w:line="23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You should read the following selected financial data together with our financial statements and the related notes thereto included elsewhere in this prospectus and the "Management's Discussion and Analysis of Financial Condition and Results of Operations" section of this prospectus. We have derived the statement of operations data for the years ended December 31, 2013 and 2014 and the balance sheet data as of December 31, 2013 and 2014 from our audited financial statements included elsewhere in this prospectus. Our historical results are not necessarily indicative of the results that should be expected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9"/>
          </w:tcPr>
          <w:p>
            <w:pPr>
              <w:jc w:val="center"/>
              <w:ind w:right="144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6"/>
              <w:spacing w:after="0" w:line="151"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9"/>
          </w:tcPr>
          <w:p>
            <w:pPr>
              <w:jc w:val="center"/>
              <w:ind w:right="1440"/>
              <w:spacing w:after="0" w:line="139" w:lineRule="exact"/>
              <w:rPr>
                <w:sz w:val="20"/>
                <w:szCs w:val="20"/>
                <w:color w:val="auto"/>
              </w:rPr>
            </w:pPr>
            <w:r>
              <w:rPr>
                <w:rFonts w:ascii="Arial" w:cs="Arial" w:eastAsia="Arial" w:hAnsi="Arial"/>
                <w:sz w:val="14"/>
                <w:szCs w:val="14"/>
                <w:b w:val="1"/>
                <w:bCs w:val="1"/>
                <w:color w:val="auto"/>
              </w:rPr>
              <w:t>(in thousands, except per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left="298"/>
              <w:spacing w:after="0"/>
              <w:rPr>
                <w:sz w:val="20"/>
                <w:szCs w:val="20"/>
                <w:color w:val="auto"/>
              </w:rPr>
            </w:pPr>
            <w:r>
              <w:rPr>
                <w:rFonts w:ascii="Arial" w:cs="Arial" w:eastAsia="Arial" w:hAnsi="Arial"/>
                <w:sz w:val="14"/>
                <w:szCs w:val="14"/>
                <w:b w:val="1"/>
                <w:bCs w:val="1"/>
                <w:color w:val="auto"/>
                <w:w w:val="99"/>
              </w:rPr>
              <w:t>share data)</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7"/>
                <w:szCs w:val="17"/>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45"/>
              <w:spacing w:after="0"/>
              <w:rPr>
                <w:sz w:val="20"/>
                <w:szCs w:val="20"/>
                <w:color w:val="auto"/>
              </w:rPr>
            </w:pPr>
            <w:r>
              <w:rPr>
                <w:rFonts w:ascii="Arial" w:cs="Arial" w:eastAsia="Arial" w:hAnsi="Arial"/>
                <w:sz w:val="10"/>
                <w:szCs w:val="10"/>
                <w:color w:val="auto"/>
                <w:w w:val="71"/>
              </w:rPr>
              <w:t>$</w:t>
            </w:r>
          </w:p>
        </w:tc>
        <w:tc>
          <w:tcPr>
            <w:tcW w:w="1960" w:type="dxa"/>
            <w:vAlign w:val="bottom"/>
            <w:gridSpan w:val="4"/>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3,488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6,507</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1,769</w:t>
            </w: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2,026</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vMerge w:val="restart"/>
          </w:tcPr>
          <w:p>
            <w:pPr>
              <w:ind w:left="32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5,257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8,533</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3"/>
            <w:shd w:val="clear" w:color="auto" w:fill="CCEEFF"/>
          </w:tcPr>
          <w:p>
            <w:pPr>
              <w:jc w:val="right"/>
              <w:ind w:right="70"/>
              <w:spacing w:after="0" w:line="189" w:lineRule="exact"/>
              <w:rPr>
                <w:sz w:val="20"/>
                <w:szCs w:val="20"/>
                <w:color w:val="auto"/>
              </w:rPr>
            </w:pPr>
            <w:r>
              <w:rPr>
                <w:rFonts w:ascii="Arial" w:cs="Arial" w:eastAsia="Arial" w:hAnsi="Arial"/>
                <w:sz w:val="17"/>
                <w:szCs w:val="17"/>
                <w:color w:val="auto"/>
              </w:rPr>
              <w:t>(5,257)</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(8,533)</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3"/>
            <w:shd w:val="clear" w:color="auto" w:fill="CCEEFF"/>
          </w:tcPr>
          <w:p>
            <w:pPr>
              <w:jc w:val="right"/>
              <w:ind w:right="70"/>
              <w:spacing w:after="0" w:line="189" w:lineRule="exact"/>
              <w:rPr>
                <w:sz w:val="20"/>
                <w:szCs w:val="20"/>
                <w:color w:val="auto"/>
              </w:rPr>
            </w:pPr>
            <w:r>
              <w:rPr>
                <w:rFonts w:ascii="Arial" w:cs="Arial" w:eastAsia="Arial" w:hAnsi="Arial"/>
                <w:sz w:val="17"/>
                <w:szCs w:val="17"/>
                <w:color w:val="auto"/>
              </w:rPr>
              <w:t>(5,236)</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(8,517)</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70"/>
              <w:spacing w:after="0"/>
              <w:rPr>
                <w:sz w:val="20"/>
                <w:szCs w:val="20"/>
                <w:color w:val="auto"/>
              </w:rPr>
            </w:pPr>
            <w:r>
              <w:rPr>
                <w:rFonts w:ascii="Arial" w:cs="Arial" w:eastAsia="Arial" w:hAnsi="Arial"/>
                <w:sz w:val="17"/>
                <w:szCs w:val="17"/>
                <w:color w:val="auto"/>
              </w:rPr>
              <w:t>(1,740)</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(2,054)</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9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3"/>
            <w:shd w:val="clear" w:color="auto" w:fill="CCEEFF"/>
          </w:tcPr>
          <w:p>
            <w:pPr>
              <w:jc w:val="right"/>
              <w:ind w:right="70"/>
              <w:spacing w:after="0" w:line="189" w:lineRule="exact"/>
              <w:rPr>
                <w:sz w:val="20"/>
                <w:szCs w:val="20"/>
                <w:color w:val="auto"/>
              </w:rPr>
            </w:pPr>
            <w:r>
              <w:rPr>
                <w:rFonts w:ascii="Arial" w:cs="Arial" w:eastAsia="Arial" w:hAnsi="Arial"/>
                <w:sz w:val="17"/>
                <w:szCs w:val="17"/>
                <w:color w:val="auto"/>
              </w:rPr>
              <w:t>(6,976)</w:t>
            </w:r>
          </w:p>
        </w:tc>
        <w:tc>
          <w:tcPr>
            <w:tcW w:w="260" w:type="dxa"/>
            <w:vAlign w:val="bottom"/>
            <w:shd w:val="clear" w:color="auto" w:fill="CCEEFF"/>
          </w:tcPr>
          <w:p>
            <w:pPr>
              <w:jc w:val="right"/>
              <w:ind w:right="145"/>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(10,571)</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5"/>
                <w:szCs w:val="15"/>
                <w:color w:val="auto"/>
              </w:rPr>
            </w:pPr>
          </w:p>
        </w:tc>
        <w:tc>
          <w:tcPr>
            <w:tcW w:w="860" w:type="dxa"/>
            <w:vAlign w:val="bottom"/>
            <w:gridSpan w:val="3"/>
          </w:tcPr>
          <w:p>
            <w:pPr>
              <w:jc w:val="right"/>
              <w:ind w:right="70"/>
              <w:spacing w:after="0" w:line="176" w:lineRule="exact"/>
              <w:rPr>
                <w:sz w:val="20"/>
                <w:szCs w:val="20"/>
                <w:color w:val="auto"/>
              </w:rPr>
            </w:pPr>
            <w:r>
              <w:rPr>
                <w:rFonts w:ascii="Arial" w:cs="Arial" w:eastAsia="Arial" w:hAnsi="Arial"/>
                <w:sz w:val="17"/>
                <w:szCs w:val="17"/>
                <w:color w:val="auto"/>
              </w:rPr>
              <w:t>(1.87)</w:t>
            </w:r>
          </w:p>
        </w:tc>
        <w:tc>
          <w:tcPr>
            <w:tcW w:w="260" w:type="dxa"/>
            <w:vAlign w:val="bottom"/>
          </w:tcPr>
          <w:p>
            <w:pPr>
              <w:jc w:val="right"/>
              <w:ind w:right="145"/>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line="176" w:lineRule="exact"/>
              <w:rPr>
                <w:sz w:val="20"/>
                <w:szCs w:val="20"/>
                <w:color w:val="auto"/>
              </w:rPr>
            </w:pPr>
            <w:r>
              <w:rPr>
                <w:rFonts w:ascii="Arial" w:cs="Arial" w:eastAsia="Arial" w:hAnsi="Arial"/>
                <w:sz w:val="17"/>
                <w:szCs w:val="17"/>
                <w:color w:val="auto"/>
              </w:rPr>
              <w:t>(1.78)</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9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Weighted average common shares outstanding, basic and diluted</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7"/>
                <w:szCs w:val="17"/>
                <w:color w:val="auto"/>
              </w:rPr>
              <w:t>3,731</w:t>
            </w:r>
          </w:p>
        </w:tc>
        <w:tc>
          <w:tcPr>
            <w:tcW w:w="16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5,934</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share attributable to common stockholders,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960" w:type="dxa"/>
            <w:vAlign w:val="bottom"/>
          </w:tcPr>
          <w:p>
            <w:pPr>
              <w:ind w:left="160"/>
              <w:spacing w:after="0" w:line="194" w:lineRule="exact"/>
              <w:rPr>
                <w:sz w:val="20"/>
                <w:szCs w:val="20"/>
                <w:color w:val="auto"/>
              </w:rPr>
            </w:pPr>
            <w:r>
              <w:rPr>
                <w:rFonts w:ascii="Arial" w:cs="Arial" w:eastAsia="Arial" w:hAnsi="Arial"/>
                <w:sz w:val="17"/>
                <w:szCs w:val="17"/>
                <w:color w:val="auto"/>
              </w:rPr>
              <w:t>(unaudited)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jc w:val="right"/>
              <w:ind w:right="145"/>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(0.30)</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9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Pro forma weighted average common shares outstanding, basic and diluted (unaudited)</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28,468</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17"/>
        </w:trPr>
        <w:tc>
          <w:tcPr>
            <w:tcW w:w="11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8"/>
          </w:tcPr>
          <w:p>
            <w:pPr>
              <w:ind w:left="1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376"/>
              <w:spacing w:after="0" w:line="151" w:lineRule="exact"/>
              <w:rPr>
                <w:sz w:val="20"/>
                <w:szCs w:val="20"/>
                <w:color w:val="auto"/>
              </w:rPr>
            </w:pPr>
            <w:r>
              <w:rPr>
                <w:rFonts w:ascii="Arial" w:cs="Arial" w:eastAsia="Arial" w:hAnsi="Arial"/>
                <w:sz w:val="14"/>
                <w:szCs w:val="14"/>
                <w:b w:val="1"/>
                <w:bCs w:val="1"/>
                <w:color w:val="auto"/>
                <w:w w:val="76"/>
              </w:rPr>
              <w:t>thousands)</w:t>
            </w:r>
          </w:p>
        </w:tc>
        <w:tc>
          <w:tcPr>
            <w:tcW w:w="13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90"/>
              <w:spacing w:after="0"/>
              <w:rPr>
                <w:sz w:val="20"/>
                <w:szCs w:val="20"/>
                <w:color w:val="auto"/>
              </w:rPr>
            </w:pPr>
            <w:r>
              <w:rPr>
                <w:rFonts w:ascii="Arial" w:cs="Arial" w:eastAsia="Arial" w:hAnsi="Arial"/>
                <w:sz w:val="17"/>
                <w:szCs w:val="17"/>
                <w:color w:val="auto"/>
              </w:rPr>
              <w:t>14,126</w:t>
            </w:r>
          </w:p>
        </w:tc>
        <w:tc>
          <w:tcPr>
            <w:tcW w:w="260" w:type="dxa"/>
            <w:vAlign w:val="bottom"/>
          </w:tcPr>
          <w:p>
            <w:pPr>
              <w:jc w:val="right"/>
              <w:ind w:right="105"/>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16,648</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7"/>
                <w:szCs w:val="17"/>
                <w:color w:val="auto"/>
              </w:rPr>
              <w:t>13,019</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14,883</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90"/>
              <w:spacing w:after="0"/>
              <w:rPr>
                <w:sz w:val="20"/>
                <w:szCs w:val="20"/>
                <w:color w:val="auto"/>
              </w:rPr>
            </w:pPr>
            <w:r>
              <w:rPr>
                <w:rFonts w:ascii="Arial" w:cs="Arial" w:eastAsia="Arial" w:hAnsi="Arial"/>
                <w:sz w:val="17"/>
                <w:szCs w:val="17"/>
                <w:color w:val="auto"/>
              </w:rPr>
              <w:t>14,207</w:t>
            </w:r>
          </w:p>
        </w:tc>
        <w:tc>
          <w:tcPr>
            <w:tcW w:w="2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17,377</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7"/>
                <w:szCs w:val="17"/>
                <w:color w:val="auto"/>
              </w:rPr>
              <w:t>23,000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36,677</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Arial" w:cs="Arial" w:eastAsia="Arial" w:hAnsi="Arial"/>
                <w:sz w:val="17"/>
                <w:szCs w:val="17"/>
                <w:color w:val="auto"/>
              </w:rPr>
              <w:t>Total stockholders'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30"/>
              <w:spacing w:after="0"/>
              <w:rPr>
                <w:sz w:val="20"/>
                <w:szCs w:val="20"/>
                <w:color w:val="auto"/>
              </w:rPr>
            </w:pPr>
            <w:r>
              <w:rPr>
                <w:rFonts w:ascii="Arial" w:cs="Arial" w:eastAsia="Arial" w:hAnsi="Arial"/>
                <w:sz w:val="17"/>
                <w:szCs w:val="17"/>
                <w:color w:val="auto"/>
              </w:rPr>
              <w:t>(9,163)</w:t>
            </w:r>
          </w:p>
        </w:tc>
        <w:tc>
          <w:tcPr>
            <w:tcW w:w="2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(20,755)</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8100" w:type="dxa"/>
            <w:vAlign w:val="bottom"/>
            <w:gridSpan w:val="2"/>
          </w:tcPr>
          <w:p>
            <w:pPr>
              <w:jc w:val="right"/>
              <w:ind w:right="2215"/>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69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RESULTS OF OPERATIONS</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We plan to commence three Phase 3 clinical trials of A-101 in patients with SK in the second half of 2015 and, if the results of these trials are favorable, to submit a New Drug Application, or NDA, for A-101 for the treatment of SK to the U.S. Food and Drug Administration, or FDA, in the first half of 2016. We also intend to develop A-101 as a prescription treatment for common warts and A-102, a proprietary gel dosage form of hydrogen peroxide, as a prescription treatment for SK and common warts. In addition, we intend to in-license or acquire additional drug candidates for other dermatological conditions to build a fully integrated dermatology company.</w:t>
      </w:r>
    </w:p>
    <w:p>
      <w:pPr>
        <w:spacing w:after="0" w:line="205"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Since our inception in July 2012, we have devoted substantially all of our resources to organizing and staffing our company, business planning, raising capital, developing A-101 for the treatment of SK, building our intellectual property portfolio, developing our supply chain and engaging in other discovery and clinical activities in dermatology. To date, we have not generated any revenue and have financed our operations with $31.5 million of gross proceeds from sales of our redeemable convertible preferred stock. We do not expect to generate significant revenue unless and until we obtain marketing approval for and commercialize A-101 for the treatment of SK or one of our other future drug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Since our inception, we have incurred significant operating losses. Our net loss was $5.2 million for the year ended December 31, 2013 and</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$8.5 million for the year ended December 31, 2014. As of December 31, 2014, we had an accumulated deficit of $20.7 million. We expect to incur significant expenses and operating losses for the foreseeable future as we advance our drug candidates from discovery through preclinical development and clinical trials, and seek regulatory approval and pursue commercialization of any approved drug candidate. In addition, if we obtain marketing approval for any of our drug candidates, we expect to incur significant commercialization expenses related to product manufacturing, marketing, sales and distribution. In addition, we may incur expenses in connection with the in-license or acquisition of additional drug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201"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drug candidates or delay our pursuit of potential in-licenses or acquisitions.</w:t>
      </w:r>
    </w:p>
    <w:p>
      <w:pPr>
        <w:spacing w:after="0" w:line="19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As of December 31, 2014, we had cash, cash equivalents and marketable securities of $16.6 million. We believe that the anticipated net proceeds from this offering, together with our existing cash, cash equivalents and marketable securities, will enable us to fund our operating expenses and capital</w:t>
      </w:r>
    </w:p>
    <w:p>
      <w:pPr>
        <w:spacing w:after="0" w:line="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expenditure requirements for at least the next months. We have based this estimate on assumptions that may prove to be wrong, and we could utilize our available capital resources sooner than we expect. See "— Liquidity and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Agreements</w:t>
      </w:r>
    </w:p>
    <w:p>
      <w:pPr>
        <w:spacing w:after="0" w:line="231"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auto"/>
        </w:rPr>
        <w:t>Under an assignment agreement, pursuant to which we acquired intellectual property, we have agreed to pay royalties on sales of A-101 or related products at rates ranging in low single-digit percentages of net sales, as defined in the agreement. Under this assignment agreement, we have paid aggregate milestone payments of $0.2 million and there are no remaining milestone payment obligations under this agreement.</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connection with this acquisition of intellectual property, we also entered into a finder's services agreement under which we have paid aggregate milestone payments of $0.2 million and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not generated any revenue since our inception and do not expect to generate any revenue from the sale of products in the near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Research and development expense consists of expenses incurred in connection with the discovery and development of our drug candidates. We expense research and development costs as incurred. These expenses include:</w:t>
      </w:r>
    </w:p>
    <w:p>
      <w:pPr>
        <w:spacing w:after="0" w:line="206" w:lineRule="exact"/>
        <w:rPr>
          <w:sz w:val="20"/>
          <w:szCs w:val="20"/>
          <w:color w:val="auto"/>
        </w:rPr>
      </w:pPr>
    </w:p>
    <w:p>
      <w:pPr>
        <w:ind w:left="1060" w:right="18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as well as investigative sites and consultants that conduct our clinical trials and preclinical studies;</w:t>
      </w:r>
    </w:p>
    <w:p>
      <w:pPr>
        <w:spacing w:after="0" w:line="205"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manufacturing scale-up expenses and the cost of acquiring and manufacturing preclinical and clinical trial materials and commercial materials, including manufacturing validation batches;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outsourced professional scientific development services;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payments made under a third-party assignment agreement, under which we acquired intellectual property;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expenses relating to regulatory activities, including filing fees paid to regulatory agencies;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laboratory materials and supplies used to support our research activities; and</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allocated expenses for utilities and other facility-related costs.</w:t>
      </w:r>
    </w:p>
    <w:p>
      <w:pPr>
        <w:spacing w:after="0" w:line="21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personnel costs, including stock-based compensation, commence Phase 3 clinical trials of A-101 in patients with SK and conduct other clinical trials and prepare regulatory filings for our drug candidates.</w:t>
      </w:r>
    </w:p>
    <w:p>
      <w:pPr>
        <w:spacing w:after="0" w:line="193"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successful development of our drug candidates is highly uncertain. At this time, we cannot reasonably estimate or know the nature, timing and costs of the efforts that will be necessary to complete the remainder of the development of, or when, if ever, material net cash inflows may commence from any of our other drug candidates. This uncertainty is due to the numerous risks and uncertainties associated with the duration and cost of clinical trials, which vary significantly over the life of a project as a result of many factors, including:</w:t>
      </w:r>
    </w:p>
    <w:p>
      <w:pPr>
        <w:spacing w:after="0" w:line="211" w:lineRule="exact"/>
        <w:rPr>
          <w:sz w:val="20"/>
          <w:szCs w:val="20"/>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number of clinical sites included in the trials;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length of time required to enroll suitable patients;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number of patients that ultimately participate in the trials;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number of doses patients receive;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duration of patient follow-up;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results of our clinical trials.</w:t>
      </w:r>
    </w:p>
    <w:p>
      <w:pPr>
        <w:spacing w:after="0" w:line="21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drug candidates. We may obtain unexpected results from our clinical trials. We may elect to discontinue, delay or modify clinical trials of some drug candidates or focus on others. A change in the outcome of any of these variables with respect to the development of a drug candidate could mean a significant change in the costs and timing associated with the development of that drug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Drug commercialization will take several years and millions of dollars in development costs.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31"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marketing, legal, auditing and tax services, insurance costs, as well as payments made under our related-party services agreement and milestone payments under our finder's services agreement.</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payroll, expanded infrastructure and higher consulting, legal and tax-related services associated with maintaining compliance with stock exchange listing and SEC requirements, accounting and investor relations costs, and director and officer insurance premiums associated with being a public company. We anticipate the additional costs for these services will increase our general and administrative expenses by approximately $1.0 million to $2.0 million on an annual basis. Additionally, if and when we believe a regulatory approval of a drug candidate appears likely, we anticipate an increase in payroll and expense as a result of our preparation for commercial operations, especially as it relates to the sales and marketing of our drug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our cash, cash equivalents and marketable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Since our inception in 2012, we have not recorded any U.S. federal or state income tax benefits for the net losses we have incurred in each year or our earned research and development tax credits, due to our uncertainty of realizing a benefit from those items. As of December 31, 2014, we had federal and state net operating loss carryforwards of $13.8 million and $13.8 million, respectively, both of which begin to expire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in 2032. As of December 31, 2014, we also had federal research and development tax credit carryforwards of $0.2 million, which begin to expire in 2032, and we had no state research and development tax credit carryforwards.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Our financial statements are prepared in accordance with generally accepted accounting principles in the United States of America, or GAAP. The preparation of our financial statements and related disclosures requires us to make estimates and judgments that affect the reported amounts of assets and liabilities, disclosure of contingent assets and liabilities at the date of the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and conditions.</w:t>
      </w:r>
    </w:p>
    <w:p>
      <w:pPr>
        <w:spacing w:after="0" w:line="201"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prospectus, we believe that the following accounting policies are those most critical to the judgments and estimates used in the preparation of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require advanced payments; however, some invoice us in arrears for services performed, on a pre-determined schedule or when contractual milestones are met. We make estimates of our accrued expenses as of each balance sheet date in the financial statements based on facts and circumstances known to us at that time. We periodically confirm the accuracy of the estimates with the service providers and makes adjustments if necessary. Examples of estimated accrued research and development expenses include fees paid to:</w:t>
      </w:r>
    </w:p>
    <w:p>
      <w:pPr>
        <w:spacing w:after="0" w:line="219" w:lineRule="exact"/>
        <w:rPr>
          <w:sz w:val="20"/>
          <w:szCs w:val="20"/>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vendors in connection with the preclinical development activities;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contract manufacturers in connection with commercial scale-up activities and the production of preclinical and clinical trial materials;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CROs in connection with clinical trials;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investigative sites in connection with clinical trials.</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made any material adjustments to our prior estimates of accrued research and development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9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98"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9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common stock valuations were performed using a hybrid method, which used market approaches to estimate our enterprise value. We selected the hybrid method based on the availability and the quality of information to develop the assumptions for the methodology. The hybrid method is a probability-weighted expected return method, or PWERM, where the equity value in one or more of the scenarios is calculated using an option-pricing method, or OPM. The PWERM is a scenario-based methodology that estimates the fair value of common stock based upon an analysis of future values for the company, assuming various outcomes. Under this method, the common stock value is based on the probability-weighted present value of expected future investment returns, considering each of the possible outcomes available, as well as the rights of each class of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or merger.</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the hybrid method used in each of our third-party valuations, six types of future-event scenarios were considered: two different OPM scenarios, a strategic sale scenario, a low-value and a high-value IPO scenario, and a liquidation scenario. The relative probability of each type of future-event scenario was based on our analysis of market conditions at the time, including then-current IPO valuations of similarly situated companies and expectations as to the timing and likely prospects of the future-event scenarios. To determine our enterprise values under the two OPM scenarios, we used the OPM backsolve approach. To determine our enterprise values under the two IPO scenarios, we used the guideline public company method under the market approach, which analyzed enterprise values at the IPO date of publicly traded dermatology-focused biopharmaceutical companies. To determine our enterprise value under the strategic sale scenario, we considered sale transactions of comparable companies. Finally, to determine our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enterprise value for the liquidation scenario, we assumed a sale at the net book value of our assets and liabilities. To derive the fair value of the common stock for each future-event scenario under the hybrid method, the proceeds to the common stockholders were calculated based on the conversion rights and preferences of the preferred stock. We then applied a discount for lack of marketability to the common stock to account for the lack of access to an active public market.</w:t>
      </w:r>
    </w:p>
    <w:p>
      <w:pPr>
        <w:spacing w:after="0" w:line="198"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We performed these contemporaneous valuations, with the assistance of a third-party valuation specialist, as of December 1, 2013, June 30, 2014 and December 8, 2014. In addition to these valuations, our board of directors considered various objective and subjective factors to determine the fair value of our common stock as of each grant date, including:</w:t>
      </w:r>
    </w:p>
    <w:p>
      <w:pPr>
        <w:spacing w:after="0" w:line="212" w:lineRule="exact"/>
        <w:rPr>
          <w:sz w:val="20"/>
          <w:szCs w:val="20"/>
          <w:color w:val="auto"/>
        </w:rPr>
      </w:pPr>
    </w:p>
    <w:p>
      <w:pPr>
        <w:ind w:left="1060" w:right="66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prices at which we sold shares of preferred stock and the superior rights and preferences of the preferred stock relative to our common stock at the time of each grant;</w:t>
      </w:r>
    </w:p>
    <w:p>
      <w:pPr>
        <w:spacing w:after="0" w:line="205" w:lineRule="exact"/>
        <w:rPr>
          <w:rFonts w:ascii="Arial" w:cs="Arial" w:eastAsia="Arial" w:hAnsi="Arial"/>
          <w:sz w:val="17"/>
          <w:szCs w:val="17"/>
          <w:color w:val="auto"/>
        </w:rPr>
      </w:pPr>
    </w:p>
    <w:p>
      <w:pPr>
        <w:ind w:left="1060" w:right="76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progress of our research and development programs, including the status of preclinical studies and clinical trials for our drug candidates;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stage of development and commercialization and our business strategy;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external market conditions affecting the biotechnology industry, and trends within the biotechnology industry;</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lack of an active public market for our common stock and our preferred stock;</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IPO, or sale of our company in light of prevailing market conditions; and</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analysis of IPOs and the market performance of similar companies in the biopharmaceutical industry.</w:t>
      </w:r>
    </w:p>
    <w:p>
      <w:pPr>
        <w:spacing w:after="0" w:line="211"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the fair value of our common stock will be determined based on the quoted market price of our common stock.</w:t>
      </w:r>
    </w:p>
    <w:p>
      <w:pPr>
        <w:spacing w:after="0" w:line="21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Fair Value of</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3"/>
          </w:tcPr>
          <w:p>
            <w:pPr>
              <w:jc w:val="center"/>
              <w:ind w:right="460"/>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Per Share</w:t>
            </w:r>
          </w:p>
        </w:tc>
        <w:tc>
          <w:tcPr>
            <w:tcW w:w="11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 Subject</w:t>
            </w: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7"/>
              </w:rPr>
              <w:t>Per Share</w:t>
            </w:r>
          </w:p>
        </w:tc>
        <w:tc>
          <w:tcPr>
            <w:tcW w:w="140" w:type="dxa"/>
            <w:vAlign w:val="bottom"/>
          </w:tcPr>
          <w:p>
            <w:pPr>
              <w:spacing w:after="0"/>
              <w:rPr>
                <w:sz w:val="13"/>
                <w:szCs w:val="13"/>
                <w:color w:val="auto"/>
              </w:rPr>
            </w:pPr>
          </w:p>
        </w:tc>
        <w:tc>
          <w:tcPr>
            <w:tcW w:w="154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rPr>
              <w:t>per Share on</w:t>
            </w:r>
          </w:p>
        </w:tc>
        <w:tc>
          <w:tcPr>
            <w:tcW w:w="100" w:type="dxa"/>
            <w:vAlign w:val="bottom"/>
          </w:tcPr>
          <w:p>
            <w:pPr>
              <w:spacing w:after="0"/>
              <w:rPr>
                <w:sz w:val="13"/>
                <w:szCs w:val="13"/>
                <w:color w:val="auto"/>
              </w:rPr>
            </w:pPr>
          </w:p>
        </w:tc>
        <w:tc>
          <w:tcPr>
            <w:tcW w:w="12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Estimated Fair</w:t>
            </w:r>
          </w:p>
        </w:tc>
        <w:tc>
          <w:tcPr>
            <w:tcW w:w="114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To Options</w:t>
            </w:r>
          </w:p>
        </w:tc>
        <w:tc>
          <w:tcPr>
            <w:tcW w:w="13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3"/>
                <w:szCs w:val="13"/>
                <w:color w:val="auto"/>
              </w:rPr>
            </w:pPr>
          </w:p>
        </w:tc>
        <w:tc>
          <w:tcPr>
            <w:tcW w:w="154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w w:val="99"/>
              </w:rPr>
              <w:t>Option Grant</w:t>
            </w: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Value of</w:t>
            </w:r>
          </w:p>
        </w:tc>
        <w:tc>
          <w:tcPr>
            <w:tcW w:w="1140" w:type="dxa"/>
            <w:vAlign w:val="bottom"/>
          </w:tcPr>
          <w:p>
            <w:pPr>
              <w:spacing w:after="0"/>
              <w:rPr>
                <w:sz w:val="13"/>
                <w:szCs w:val="13"/>
                <w:color w:val="auto"/>
              </w:rPr>
            </w:pPr>
          </w:p>
        </w:tc>
      </w:tr>
      <w:tr>
        <w:trPr>
          <w:trHeight w:val="169"/>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Granted</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of Options</w:t>
            </w:r>
          </w:p>
        </w:tc>
        <w:tc>
          <w:tcPr>
            <w:tcW w:w="14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Options</w:t>
            </w:r>
          </w:p>
        </w:tc>
        <w:tc>
          <w:tcPr>
            <w:tcW w:w="1140" w:type="dxa"/>
            <w:vAlign w:val="bottom"/>
          </w:tcPr>
          <w:p>
            <w:pPr>
              <w:spacing w:after="0"/>
              <w:rPr>
                <w:sz w:val="14"/>
                <w:szCs w:val="1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3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January 29, 2014</w:t>
            </w:r>
          </w:p>
        </w:tc>
        <w:tc>
          <w:tcPr>
            <w:tcW w:w="11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180,000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0.12</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ind w:left="740"/>
              <w:spacing w:after="0" w:line="189" w:lineRule="exact"/>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0.10</w:t>
            </w:r>
          </w:p>
        </w:tc>
        <w:tc>
          <w:tcPr>
            <w:tcW w:w="1140" w:type="dxa"/>
            <w:vAlign w:val="bottom"/>
          </w:tcPr>
          <w:p>
            <w:pPr>
              <w:spacing w:after="0"/>
              <w:rPr>
                <w:sz w:val="16"/>
                <w:szCs w:val="16"/>
                <w:color w:val="auto"/>
              </w:rPr>
            </w:pPr>
          </w:p>
        </w:tc>
      </w:tr>
      <w:tr>
        <w:trPr>
          <w:trHeight w:val="197"/>
        </w:trPr>
        <w:tc>
          <w:tcPr>
            <w:tcW w:w="3680" w:type="dxa"/>
            <w:vAlign w:val="bottom"/>
            <w:gridSpan w:val="2"/>
          </w:tcPr>
          <w:p>
            <w:pPr>
              <w:spacing w:after="0"/>
              <w:rPr>
                <w:sz w:val="20"/>
                <w:szCs w:val="20"/>
                <w:color w:val="auto"/>
              </w:rPr>
            </w:pPr>
            <w:r>
              <w:rPr>
                <w:rFonts w:ascii="Arial" w:cs="Arial" w:eastAsia="Arial" w:hAnsi="Arial"/>
                <w:sz w:val="17"/>
                <w:szCs w:val="17"/>
                <w:color w:val="auto"/>
              </w:rPr>
              <w:t>August 13, 2014</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400,000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ind w:left="740"/>
              <w:spacing w:after="0" w:line="197" w:lineRule="exact"/>
              <w:rPr>
                <w:sz w:val="20"/>
                <w:szCs w:val="20"/>
                <w:color w:val="auto"/>
              </w:rPr>
            </w:pPr>
            <w:r>
              <w:rPr>
                <w:rFonts w:ascii="Arial" w:cs="Arial" w:eastAsia="Arial" w:hAnsi="Arial"/>
                <w:sz w:val="14"/>
                <w:szCs w:val="14"/>
                <w:color w:val="auto"/>
              </w:rPr>
              <w:t>0.41</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0.37</w:t>
            </w:r>
          </w:p>
        </w:tc>
        <w:tc>
          <w:tcPr>
            <w:tcW w:w="1140" w:type="dxa"/>
            <w:vAlign w:val="bottom"/>
          </w:tcPr>
          <w:p>
            <w:pPr>
              <w:spacing w:after="0"/>
              <w:rPr>
                <w:sz w:val="17"/>
                <w:szCs w:val="17"/>
                <w:color w:val="auto"/>
              </w:rPr>
            </w:pPr>
          </w:p>
        </w:tc>
      </w:tr>
      <w:tr>
        <w:trPr>
          <w:trHeight w:val="197"/>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8, 2014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1,145,961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shd w:val="clear" w:color="auto" w:fill="CCEEFF"/>
          </w:tcPr>
          <w:p>
            <w:pPr>
              <w:ind w:left="740"/>
              <w:spacing w:after="0" w:line="197" w:lineRule="exact"/>
              <w:rPr>
                <w:sz w:val="20"/>
                <w:szCs w:val="20"/>
                <w:color w:val="auto"/>
              </w:rPr>
            </w:pPr>
            <w:r>
              <w:rPr>
                <w:rFonts w:ascii="Arial" w:cs="Arial" w:eastAsia="Arial" w:hAnsi="Arial"/>
                <w:sz w:val="14"/>
                <w:szCs w:val="14"/>
                <w:color w:val="auto"/>
              </w:rPr>
              <w:t>0.53</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0.46</w:t>
            </w:r>
          </w:p>
        </w:tc>
        <w:tc>
          <w:tcPr>
            <w:tcW w:w="1140" w:type="dxa"/>
            <w:vAlign w:val="bottom"/>
          </w:tcPr>
          <w:p>
            <w:pPr>
              <w:spacing w:after="0"/>
              <w:rPr>
                <w:sz w:val="17"/>
                <w:szCs w:val="17"/>
                <w:color w:val="auto"/>
              </w:rPr>
            </w:pPr>
          </w:p>
        </w:tc>
      </w:tr>
      <w:tr>
        <w:trPr>
          <w:trHeight w:val="210"/>
        </w:trPr>
        <w:tc>
          <w:tcPr>
            <w:tcW w:w="6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bl>
    <w:p>
      <w:pPr>
        <w:spacing w:after="0" w:line="214" w:lineRule="exact"/>
        <w:rPr>
          <w:sz w:val="20"/>
          <w:szCs w:val="20"/>
          <w:color w:val="auto"/>
        </w:rPr>
      </w:pPr>
    </w:p>
    <w:p>
      <w:pPr>
        <w:ind w:left="1680" w:right="40" w:hanging="533"/>
        <w:spacing w:after="0" w:line="212" w:lineRule="auto"/>
        <w:tabs>
          <w:tab w:leader="none" w:pos="1680" w:val="left"/>
        </w:tabs>
        <w:numPr>
          <w:ilvl w:val="0"/>
          <w:numId w:val="54"/>
        </w:numPr>
        <w:rPr>
          <w:rFonts w:ascii="Arial" w:cs="Arial" w:eastAsia="Arial" w:hAnsi="Arial"/>
          <w:sz w:val="21"/>
          <w:szCs w:val="21"/>
          <w:color w:val="auto"/>
          <w:vertAlign w:val="superscript"/>
        </w:rPr>
      </w:pPr>
      <w:r>
        <w:rPr>
          <w:rFonts w:ascii="Arial" w:cs="Arial" w:eastAsia="Arial" w:hAnsi="Arial"/>
          <w:sz w:val="14"/>
          <w:szCs w:val="14"/>
          <w:color w:val="auto"/>
        </w:rPr>
        <w:t>At the time of the option grants on August 13, 2014, our board of directors determined that the fair value of our common stock of $0.21 per share calculated in the contemporaneous valuation as of June 30, 2014 reasonably reflected the per share fair value of common stock as of the grant date. However, as described below, the fair value of common stock at the date of these grants was adjusted to $0.41 per share in connection with a retrospective fair value assessment for accounting purposes.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0"/>
          <w:szCs w:val="20"/>
          <w:color w:val="auto"/>
        </w:rPr>
      </w:pPr>
    </w:p>
    <w:p>
      <w:pPr>
        <w:ind w:left="114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At the time of the option grants on December 8, 2014, our board of directors determined that the fair value of our common stock of $0.44 per share calculated in the contemporaneous valuation as of December 8, 2014 reasonably reflected the per share fair value of common stock as of the grant date. However, as described below, the fair value of common stock at the date of these grants was adjusted to $0.53 per share in connection with a retrospective fair value assessment for accounting purposes.</w:t>
      </w:r>
    </w:p>
    <w:p>
      <w:pPr>
        <w:spacing w:after="0" w:line="199" w:lineRule="exact"/>
        <w:rPr>
          <w:sz w:val="20"/>
          <w:szCs w:val="20"/>
          <w:color w:val="auto"/>
        </w:rPr>
      </w:pPr>
    </w:p>
    <w:p>
      <w:pPr>
        <w:sectPr>
          <w:pgSz w:w="11900" w:h="16838" w:orient="portrait"/>
          <w:cols w:equalWidth="0" w:num="2">
            <w:col w:w="1340" w:space="340"/>
            <w:col w:w="9760"/>
          </w:cols>
          <w:pgMar w:left="240" w:top="143" w:right="219" w:bottom="1440" w:gutter="0" w:footer="0" w:header="0"/>
        </w:sectPr>
      </w:pPr>
    </w:p>
    <w:p>
      <w:pPr>
        <w:ind w:right="60"/>
        <w:spacing w:after="0" w:line="242" w:lineRule="auto"/>
        <w:rPr>
          <w:sz w:val="20"/>
          <w:szCs w:val="20"/>
          <w:color w:val="auto"/>
        </w:rPr>
      </w:pPr>
      <w:r>
        <w:rPr>
          <w:rFonts w:ascii="Arial" w:cs="Arial" w:eastAsia="Arial" w:hAnsi="Arial"/>
          <w:sz w:val="17"/>
          <w:szCs w:val="17"/>
          <w:color w:val="auto"/>
        </w:rPr>
        <w:t>In the course of preparing for this offering, in March 2015, we performed a retrospective fair value assessment and concluded that the fair value of our common stock underlying stock options we granted in August 2014 was $0.41 per share for accounting purposes and that the fair value of our common stock underlying stock options we granted in December 2014 was $0.53 per share for accounting purposes. These reassessed values, which we applied to determine the fair values of the August 2014 and December 2014 option grants to determine stock-based compensation expense for accounting purposes, were based in part upon revised valuations of our common stock as of June 30, 2014 and December 8, 2014, performed on a retrospective basis with the assistance of a third-party specialist, taking into account an increased probability of executing a successful initial public offering in 2015 and an increased probability of a successful result in our Phase 2 clinical trial of A-101 in patients with SK on the trunk and extremities. These revised common stock valuations were performed using the hybrid method.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2013 and 2014</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8"/>
              <w:spacing w:after="0" w:line="151"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7"/>
              <w:spacing w:after="0" w:line="151"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3,488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1,769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5,257</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(8,533)</w:t>
            </w:r>
          </w:p>
        </w:tc>
        <w:tc>
          <w:tcPr>
            <w:tcW w:w="140" w:type="dxa"/>
            <w:vAlign w:val="bottom"/>
          </w:tcPr>
          <w:p>
            <w:pPr>
              <w:spacing w:after="0"/>
              <w:rPr>
                <w:sz w:val="16"/>
                <w:szCs w:val="16"/>
                <w:color w:val="auto"/>
              </w:rPr>
            </w:pP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(3,276)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5620" w:type="dxa"/>
            <w:vAlign w:val="bottom"/>
            <w:vMerge w:val="continue"/>
          </w:tcPr>
          <w:p>
            <w:pPr>
              <w:spacing w:after="0"/>
              <w:rPr>
                <w:sz w:val="16"/>
                <w:szCs w:val="16"/>
                <w:color w:val="auto"/>
              </w:rPr>
            </w:pPr>
          </w:p>
        </w:tc>
        <w:tc>
          <w:tcPr>
            <w:tcW w:w="2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(5,236)</w:t>
            </w:r>
          </w:p>
        </w:tc>
        <w:tc>
          <w:tcPr>
            <w:tcW w:w="3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(8,517)</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(3,281)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5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Research and development expenses were $3.5 million for the year ended December 31, 2013, compared to $6.5 million for the year ended December 31, 2014. The increase of $3.0 million was primarily attributable to an increase of $3.1 million in direct costs associated with the three Phase 2 clinical trials of our lead drug candidate, A-101 for the treatment of SK, being conducted during the year, comprised of increases of $1.9 million in clinical expenses, $1.1 million in manufacturing scale-up expenses and $0.1 million in development-related expenses. We also had an increase of $0.1 million in personnel-related expenses. These increases were partially offset by a decrease of $0.2 million in expenses due to a $0.2 million milestone payment made in 2013 under our assignment agreement, compared to no milestone payments made in 2014.</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General and administrative expenses were $1.8 million for the year ended December 31, 2013, compared to $2.0 million for the year ended December 31, 2014. The increase of $0.2 million was primarily attributable to increases of $0.1 million in market research expenses and $0.1 million in related-party management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Since our inception, we have not generated any revenue and have incurred net losses and negative cash flows from our operations. We have financed our operations since inception through sales of our redeemable convertible preferred stock, receiving aggregate gross proceeds of $31.5 million.</w:t>
      </w:r>
    </w:p>
    <w:p>
      <w:pPr>
        <w:spacing w:after="0" w:line="193"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As of December 31, 2014, we had cash, cash equivalents and marketable securities of $16.6 million. Cash in excess of immediate requirements is invested in accordance with our investment policy, primarily with a view to liquidity and capital preservation.</w:t>
      </w:r>
    </w:p>
    <w:p>
      <w:pPr>
        <w:spacing w:after="0" w:line="193"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We currently have no ongoing material financing commitments, such as lines of credit or guarantees, that are expected to affect our liquidity over the next five years, other than our lease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years ended December 31,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50"/>
        </w:trPr>
        <w:tc>
          <w:tcPr>
            <w:tcW w:w="114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1"/>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0"/>
        </w:trPr>
        <w:tc>
          <w:tcPr>
            <w:tcW w:w="114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41"/>
              <w:spacing w:after="0" w:line="151"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ind w:right="498"/>
              <w:spacing w:after="0" w:line="151" w:lineRule="exact"/>
              <w:rPr>
                <w:sz w:val="20"/>
                <w:szCs w:val="20"/>
                <w:color w:val="auto"/>
              </w:rPr>
            </w:pPr>
            <w:r>
              <w:rPr>
                <w:rFonts w:ascii="Arial" w:cs="Arial" w:eastAsia="Arial" w:hAnsi="Arial"/>
                <w:sz w:val="14"/>
                <w:szCs w:val="14"/>
                <w:b w:val="1"/>
                <w:bCs w:val="1"/>
                <w:color w:val="auto"/>
                <w:w w:val="71"/>
              </w:rPr>
              <w:t>thousands)</w:t>
            </w:r>
          </w:p>
        </w:tc>
        <w:tc>
          <w:tcPr>
            <w:tcW w:w="1320" w:type="dxa"/>
            <w:vAlign w:val="bottom"/>
            <w:gridSpan w:val="2"/>
          </w:tcPr>
          <w:p>
            <w:pPr>
              <w:spacing w:after="0"/>
              <w:rPr>
                <w:sz w:val="13"/>
                <w:szCs w:val="13"/>
                <w:color w:val="auto"/>
              </w:rPr>
            </w:pPr>
          </w:p>
        </w:tc>
      </w:tr>
      <w:tr>
        <w:trPr>
          <w:trHeight w:val="197"/>
        </w:trPr>
        <w:tc>
          <w:tcPr>
            <w:tcW w:w="114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(4,920)</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(7,636)</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160" w:type="dxa"/>
            <w:vAlign w:val="bottom"/>
          </w:tcPr>
          <w:p>
            <w:pPr>
              <w:spacing w:after="0"/>
              <w:rPr>
                <w:sz w:val="17"/>
                <w:szCs w:val="17"/>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7"/>
                <w:szCs w:val="17"/>
                <w:color w:val="auto"/>
              </w:rPr>
              <w:t>(4,535)</w:t>
            </w:r>
          </w:p>
        </w:tc>
        <w:tc>
          <w:tcPr>
            <w:tcW w:w="2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(1,779)</w:t>
            </w: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10,584</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0"/>
        </w:trPr>
        <w:tc>
          <w:tcPr>
            <w:tcW w:w="1140" w:type="dxa"/>
            <w:vAlign w:val="bottom"/>
          </w:tcPr>
          <w:p>
            <w:pPr>
              <w:spacing w:after="0"/>
              <w:rPr>
                <w:sz w:val="16"/>
                <w:szCs w:val="16"/>
                <w:color w:val="auto"/>
              </w:rPr>
            </w:pPr>
          </w:p>
        </w:tc>
        <w:tc>
          <w:tcPr>
            <w:tcW w:w="6860" w:type="dxa"/>
            <w:vAlign w:val="bottom"/>
          </w:tcPr>
          <w:p>
            <w:pPr>
              <w:ind w:left="20"/>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
              <w:spacing w:after="0" w:line="189" w:lineRule="exact"/>
              <w:rPr>
                <w:sz w:val="20"/>
                <w:szCs w:val="20"/>
                <w:color w:val="auto"/>
              </w:rPr>
            </w:pPr>
            <w:r>
              <w:rPr>
                <w:rFonts w:ascii="Arial" w:cs="Arial" w:eastAsia="Arial" w:hAnsi="Arial"/>
                <w:sz w:val="17"/>
                <w:szCs w:val="17"/>
                <w:color w:val="auto"/>
              </w:rPr>
              <w:t>(9,455)</w:t>
            </w: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1,169</w:t>
            </w:r>
          </w:p>
        </w:tc>
        <w:tc>
          <w:tcPr>
            <w:tcW w:w="11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bl>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During the year ended December 31, 2014, operating activities used $7.6 million of cash, primarily resulting from our net loss of</w:t>
      </w:r>
      <w:r>
        <w:rPr>
          <w:rFonts w:ascii="Arial" w:cs="Arial" w:eastAsia="Arial" w:hAnsi="Arial"/>
          <w:sz w:val="17"/>
          <w:szCs w:val="17"/>
          <w:i w:val="1"/>
          <w:iCs w:val="1"/>
          <w:color w:val="auto"/>
        </w:rPr>
        <w:t xml:space="preserve"> </w:t>
      </w:r>
      <w:r>
        <w:rPr>
          <w:rFonts w:ascii="Arial" w:cs="Arial" w:eastAsia="Arial" w:hAnsi="Arial"/>
          <w:sz w:val="17"/>
          <w:szCs w:val="17"/>
          <w:color w:val="auto"/>
        </w:rPr>
        <w:t>$8.5 million and non-cash charges of $0.1 million, partially offset by cash provided by changes in our operating assets and liabilities of $0.8 million. Net cash provided by changes in our operating assets and liabilities during the year ended December 31, 2014 consisted primarily of a $0.8 million increase in accounts payable and a $0.2 increase in accrued expenses, partially offset by a $0.2 million increase in prepaid expenses and other current assets.</w:t>
      </w:r>
    </w:p>
    <w:p>
      <w:pPr>
        <w:spacing w:after="0" w:line="3"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The increases in accounts payable and accrued expenses were primarily due to higher clinical trial costs incurred in 2014 than in 2013 related to A-101. The increase in prepaid expenses and other current assets was primarily due to a prepayment for manufacturing scale-up expenses.</w:t>
      </w:r>
    </w:p>
    <w:p>
      <w:pPr>
        <w:spacing w:after="0" w:line="193"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During the year ended December 31, 2013, our operating activities used $4.9 million of cash, primarily resulting from our net loss of $5.2 million, partially offset by cash provided by net changes in our operating assets and liabilities of $0.3 million, which primarily consisted of an increase in accounts payable. The increase in accounts payable was primarily due to costs incurred in connection with the commencement of preclinical studies and a clinical trial of A-101 in 2013.</w:t>
      </w:r>
    </w:p>
    <w:p>
      <w:pPr>
        <w:spacing w:after="0" w:line="180"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year ended December 31, 2014, we used cash of $1.8 million in investing activities, consisting of purchases of</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securities of $5.0 million and purchases of equipment of $0.4 million, partially offset by proceeds from sales and maturities of marketable securities of $3.7 million.</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2013, we used cash of $4.5 million in investing activities, consisting of purchases of marketable securities.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During the year ended December 31, 2014, net cash provided by financing activities was $10.6 million as a result of net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our issuance of Series B redeemable convertible preferred stock in September 2014. We had no cash flows from financing activities during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We plan to focus in the near term on the development, regulatory approval and potential commercialization of A-101 for the treatment of SK. We anticipate we will incur net losses for the next several years as we complete clinical development of A-101 for the treatment of SK and continue research and development of A-101 for the treatment of common warts and A-102 for the treatment of SK and common warts. In addition, we plan to continue to invest in discovery efforts to explore additional drug candidates, potentially build commercial capabilities and expand our corporate infrastructure. We may not be able to complete the development and initiate commercialization of these programs if, among other things, our clinical trials are not successful or if the FDA does not approve our drug candidates arising out of our current clinical trials when we expect, or at all.</w:t>
      </w:r>
    </w:p>
    <w:p>
      <w:pPr>
        <w:spacing w:after="0" w:line="20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costs, external research and development services, laboratory and related supplies, legal and other regulatory expenses, and administrative and overhead costs. Our future funding requirements will be heavily determined by the resources needed to support development of our drug candidates.</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Following this offering, we will be a publicly traded company and will incur significant legal, accounting and other expenses that we were not required to incur as a private company. In addition, the Sarbanes-Oxley Act of 2002, as well as rules adopted by the SEC and The NASDAQ Stock Market, requires public companies to implement specified corporate governance practices that are currently inapplicable to us as a private company. We expect these rules and regulations will increase our legal and financial compliance costs and will make some activities more time-consuming and costly.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anticipated net proceeds from this offering, together with our existing cash, cash equivalents and marketable securities, will enable</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us to fund our operating expenses and capital expenditure requirements for at least the next months, including the completion of our three planned Phase 3 clinical trials for A-101 for the treatment of SK, the submission of our NDA with the FDA for the approval of A-101 for the treatment of SK in the United States and the completion of our planned Phase 2 clinical trials for A-101 for the treatment of common warts. We have based this estimate on assumptions that may prove to be wrong, and we could utilize our available capital resources sooner than we expect. We expect that we will require additional capital to commercialize A-101 for the treatment of SK, if we receive regulatory approval, and to pursue in-licenses or acquisitions of other drug candidates. If we receive regulatory approval for A-101 for the treatment of SK, we expect to incur significant commercialization expenses related to product manufacturing, sales, marketing and distribution, depending on where we choose to commercialize. Additional funds may not be available on a timely basis, on favorable terms, or at all, and such funds, if raised, may not be sufficient to enable us to continue to implement our long-term business strategy. If we are unable to raise sufficient additional capital, we may need to substantially curtail our planned operations and the pursuit of our growth strategy.</w:t>
      </w:r>
    </w:p>
    <w:p>
      <w:pPr>
        <w:spacing w:after="0" w:line="20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may raise additional capital through the sale of equity or convertible debt securities. In such an event, your ownership will be diluted, and the terms of these securities may include liquidation or other preferences that adversely affect your rights as a holder of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500"/>
        <w:spacing w:after="0" w:line="252"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pharmaceutical drugs, we are unable to estimate the exact amount of our working capital requirements. Our future funding requirements will depend on many factors, including:</w:t>
      </w:r>
    </w:p>
    <w:p>
      <w:pPr>
        <w:spacing w:after="0" w:line="206"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number and characteristics of the drug candidates we pursue;</w:t>
      </w:r>
    </w:p>
    <w:p>
      <w:pPr>
        <w:spacing w:after="0" w:line="224"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drug candidates, and conducting preclinical studies and clinical trials;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our drug candidates;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 of manufacturing our drug candidates and any drugs we successfully commercialize;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agreements;</w:t>
      </w:r>
    </w:p>
    <w:p>
      <w:pPr>
        <w:spacing w:after="0" w:line="210"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defending and enforcing patent claims, including litigation costs and the outcome of such litigation; and</w:t>
      </w:r>
    </w:p>
    <w:p>
      <w:pPr>
        <w:spacing w:after="0" w:line="192" w:lineRule="exact"/>
        <w:rPr>
          <w:rFonts w:ascii="Arial" w:cs="Arial" w:eastAsia="Arial" w:hAnsi="Arial"/>
          <w:sz w:val="17"/>
          <w:szCs w:val="17"/>
          <w:color w:val="auto"/>
        </w:rPr>
      </w:pPr>
    </w:p>
    <w:p>
      <w:pPr>
        <w:ind w:right="180" w:firstLine="529"/>
        <w:spacing w:after="0" w:line="486" w:lineRule="auto"/>
        <w:tabs>
          <w:tab w:leader="none" w:pos="104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receipt and amount of sales of, or milestone payments related to or royalties on, our current or future drug candidates, if any. See "Risk Factors" for additional risks associated with our substantial capital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following table summarizes our contractual obligations at December 31, 2014 and the effect such obligations are expected to have on our liquidity and cash flows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Less Than</w:t>
            </w:r>
          </w:p>
        </w:tc>
        <w:tc>
          <w:tcPr>
            <w:tcW w:w="100" w:type="dxa"/>
            <w:vAlign w:val="bottom"/>
          </w:tcPr>
          <w:p>
            <w:pPr>
              <w:spacing w:after="0"/>
              <w:rPr>
                <w:sz w:val="12"/>
                <w:szCs w:val="12"/>
                <w:color w:val="auto"/>
              </w:rPr>
            </w:pPr>
          </w:p>
        </w:tc>
        <w:tc>
          <w:tcPr>
            <w:tcW w:w="460" w:type="dxa"/>
            <w:vAlign w:val="bottom"/>
          </w:tcPr>
          <w:p>
            <w:pPr>
              <w:jc w:val="center"/>
              <w:ind w:right="22"/>
              <w:spacing w:after="0" w:line="139" w:lineRule="exact"/>
              <w:rPr>
                <w:sz w:val="20"/>
                <w:szCs w:val="20"/>
                <w:color w:val="auto"/>
              </w:rPr>
            </w:pPr>
            <w:r>
              <w:rPr>
                <w:rFonts w:ascii="Arial" w:cs="Arial" w:eastAsia="Arial" w:hAnsi="Arial"/>
                <w:sz w:val="14"/>
                <w:szCs w:val="14"/>
                <w:b w:val="1"/>
                <w:bCs w:val="1"/>
                <w:color w:val="auto"/>
                <w:w w:val="99"/>
              </w:rPr>
              <w:t>1 - 3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2"/>
              <w:spacing w:after="0" w:line="139" w:lineRule="exact"/>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8"/>
              </w:rPr>
              <w:t>More than</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6"/>
          </w:tcPr>
          <w:p>
            <w:pPr>
              <w:jc w:val="center"/>
              <w:ind w:left="464"/>
              <w:spacing w:after="0" w:line="151" w:lineRule="exact"/>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7"/>
                <w:szCs w:val="2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201</w:t>
            </w:r>
          </w:p>
        </w:tc>
        <w:tc>
          <w:tcPr>
            <w:tcW w:w="1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680" w:hanging="533"/>
        <w:spacing w:after="0"/>
        <w:tabs>
          <w:tab w:leader="none" w:pos="1680" w:val="left"/>
        </w:tabs>
        <w:numPr>
          <w:ilvl w:val="0"/>
          <w:numId w:val="56"/>
        </w:numPr>
        <w:rPr>
          <w:rFonts w:ascii="Arial" w:cs="Arial" w:eastAsia="Arial" w:hAnsi="Arial"/>
          <w:sz w:val="21"/>
          <w:szCs w:val="21"/>
          <w:color w:val="auto"/>
          <w:vertAlign w:val="superscript"/>
        </w:rPr>
      </w:pPr>
      <w:r>
        <w:rPr>
          <w:rFonts w:ascii="Arial" w:cs="Arial" w:eastAsia="Arial" w:hAnsi="Arial"/>
          <w:sz w:val="14"/>
          <w:szCs w:val="14"/>
          <w:color w:val="auto"/>
        </w:rPr>
        <w:t>We lease office space in Malvern, Pennsylvania under an operating lease agreement that, as amended, expires in November 2016.</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Under various agreements, we will be required to make milestone payments and pay royalties and other amounts to third parties. We have not included any contingent payment obligations, such as milestones or royalties, in the table above as the amount, timing and likelihood of such payments are not known.</w:t>
      </w:r>
    </w:p>
    <w:p>
      <w:pPr>
        <w:spacing w:after="0" w:line="19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Under the assignment agreement pursuant to which we acquired intellectual property, we have agreed to pay royalties on sales of A-101 or related products at rates ranging in low single-digit percentages of net sales, as defined in the agreement. Under the related finder's services agreement, we have agreed to make aggregate payments of up to $1.3 million upon the achievement of specified pre-commercialization milestones, such as clinical trials and regulatory approvals, as described in the agreement. We have also agreed to make aggregate payments of up to $4.5 million upon the achievement of specified commercial milestones. In addition, we have agreed to pay royalties on sales of A-101 or related products at a low single-digit percentage of net sales, as defined in the agreement.</w:t>
      </w:r>
    </w:p>
    <w:p>
      <w:pPr>
        <w:spacing w:after="0" w:line="202"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Under a commercial supply agreement with a third party, we have agreed to pay a termination fee of up to $0.4 million in the event we terminate the agreement without cause or the third party terminates the agreement for cause.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1" w:lineRule="exact"/>
        <w:rPr>
          <w:sz w:val="20"/>
          <w:szCs w:val="20"/>
          <w:color w:val="auto"/>
        </w:rPr>
      </w:pPr>
    </w:p>
    <w:p>
      <w:pPr>
        <w:ind w:right="780"/>
        <w:spacing w:after="0" w:line="252"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1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 xml:space="preserve">In June 2014, the Financial Accounting Standards Board, or FASB, issued Accounting Standards Update, or ASU 2014-10, </w:t>
      </w:r>
      <w:r>
        <w:rPr>
          <w:rFonts w:ascii="Arial" w:cs="Arial" w:eastAsia="Arial" w:hAnsi="Arial"/>
          <w:sz w:val="17"/>
          <w:szCs w:val="17"/>
          <w:i w:val="1"/>
          <w:iCs w:val="1"/>
          <w:color w:val="auto"/>
        </w:rPr>
        <w:t>Development Stage</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The amendments in this update removed all incremental financial reporting requirements, including inception-to-date information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We elected to early adopt this guidance and, therefore, have not presented inception-to-date information and other related disclosures in our financial statements.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We are currently evaluating the potential impact of the adoption of this standard, but we believe its adoption will have no impact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are exposed to market risk related to changes in interest rates. Our cash, cash equivalents and marketable securities consist of money market funds, corporate debt securities and government agency debt. Our primary exposure to market risk is interest rate sensitivity, which is affected by changes in the general level of U.S. interest rates. Our marketable securities are subject to interest rate risk and will fall in value if market interest rates increase. However, due to the short-term nature and low-risk profile of our investment portfolio, we do not expect that an immediate 10% change in market interest rates would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are a clinical-stage specialty pharmaceutical company focused on identifying, developing and commercializing innovative and differentiated topical drugs to address significant unmet needs in dermatology. Our lead drug candidate, A-101, is a proprietary high-concentration hydrogen peroxide topical solution that we are developing as a prescription treatment for seborrheic keratosis, or SK, a common non-malignant skin tumor. We have completed three Phase 2 clinical trials of A-101 in over 300 patients with SK. In these trials, following one or two applications of A-101, we observed clinically relevant and statistically significant improvements in clearing SK lesions on the face, trunk and extremities of the body. Clinically relevant means that the observed results suggest a potential meaningful medical benefit, and statistically significant means that there is a low statistical probability, typically less than 5%, that the observed results occurred by chance alone. We plan to commence three Phase 3 clinical trials of A-101 in patients with SK in the second half of 2015 and, if the results of these trials are favorable, to submit a New Drug Application, or NDA, for A-101 for the treatment of SK to the U.S. Food and Drug Administration, or FDA, in the first half of 2016. We also intend to develop A-101 as a prescription treatment for common warts and A-102, a proprietary gel dosage form of hydrogen peroxide, as a prescription treatment for SK and common warts. In addition, we intend to in-license or acquire additional drug candidates for other dermatological conditions to build a fully integrated dermatology company.</w:t>
      </w:r>
    </w:p>
    <w:p>
      <w:pPr>
        <w:spacing w:after="0" w:line="205"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SK lesions are among the most common non-malignant skin tumors and one of the most frequent diagnoses made by dermatologists. SK lesions typically have a waxy, scaly, slightly elevated appearance, and multiple lesions are often present. Though the lesions are non-malignant, patients often elect to have their condition treated by a dermatologist, either because the lesions have become inflamed or because the patient feels they are cosmetically unattractive. SK lesions are usually treated by cryosurgery, electrodesiccation, curettage or excision. Each of these methods may be painful or can result in pigmentary changes or scarring at the treatment site. No drugs have been approved by the FDA for the treatment of SK.</w:t>
      </w:r>
    </w:p>
    <w:p>
      <w:pPr>
        <w:spacing w:after="0" w:line="19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 study published in the Journal of The American Academy of Dermatology in 2006, which we refer to as the AAD study,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June 2014, we completed our Phase 2 clinical trial of A-101 in 35 patients with four SK lesions on the trunk; in December 2014, we completed our Phase 2 clinical trial of A-101 in 172 patients with four SK lesions on the trunk or extremities; and in March 2015, we completed our Phase 2 clinical trial of A-101 in 119 patients with a single SK lesion on the face. In each of these trials, following one or two applications of the two highest concentrations of A-101, we observed clinically relevant and statistically significant improvements in clearing SK lesions.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held an end-of-Phase 2 meeting with the FDA in May 2015. Based on the FDA's feedback regarding our proposed design of the three planned Phase 3 clinical trials of A-101 in patients with SK lesions on the face, trunk and extremities, we plan to commence these trials in the second half of 2015. If the results of the Phase 3 clinical trials are favorable, we intend to submit our NDA for A-101 for the treatment of SK to the FDA in the first half of 2016 and build a specialty sales force to market the product to dermatologists in the United States. We have also requested scientific advice from the European Medicines Agency, or EMA, for A-101 for the treatment of SK. We plan to seek a collaborator to commercialize A-101, if approved, in the European Union. We have the exclusive right to commercialize A-101, if approved, throughout the world.</w:t>
      </w:r>
    </w:p>
    <w:p>
      <w:pPr>
        <w:spacing w:after="0" w:line="20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We also plan to develop A-101 for the treatment of common warts. Although common warts are generally not harmful and in most cases eventually clear without any medical treatment, they may be painful and aesthetically unattractive and are contagious. On an annual basis, 1.9 million people are diagnosed with common warts. The AAD study estimated that annual direct expenditures for patients seeking treatment for warts of all types in a medical office were $939 million, including the cost of the office visit as well as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treatments. We estimate that approximately one-half of those expenditures were for the treatment of common warts. Common warts can be removed with slow-acting, over-the-counter products containing salicylic acid. As with SK, cryosurgery is the most frequently used in-office treatment for common warts. No prescription drugs have been approved by the FDA for the treatment of common warts. We are conducting toxicology studies and plan to commence Phase 2 clinical trials of A-101 for the treatment of common warts in the second half of 2015. In addition to A-101, we are also developing A-102, a proprietary topical gel dosage form of hydrogen peroxide, for the treatment of both SK and common warts.</w:t>
      </w:r>
    </w:p>
    <w:p>
      <w:pPr>
        <w:spacing w:after="0" w:line="19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intellectual property portfolio contains issued patents directed to methods of use for A-101. Our issued patents begin to expire in 2022, subject to any applicable patent term adjustment or extension. Our intellectual property portfolio also contains provisional patent applications directed to, among other things, formulations and methods of use for A-101 and a single-use, self-contained, pre-filled, disposable pen-type applicator. Our pending U.S. provisional patent applications, if they issue as patents, would be expected to expire beginning in 2035. We intend to file two non-provisional patent applications in the second quarter of 2015 for our formulations and methods of use for A-101 and our pen-type applicator.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Management Experience</w:t>
      </w:r>
    </w:p>
    <w:p>
      <w:pPr>
        <w:spacing w:after="0" w:line="2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were founded in 2012 and are headquartered in Malvern, Pennsylvania. Our management team has extensive experience in dermatological product development from drug discovery through commercialization, with experience as practicing dermatologists and in leadership roles at a number of dermatology companies. Members of our management team founded and led Vicept Therapeutics, Inc., a dermatology company that was acquired by Allergan, Inc. in 2011. In addition, several of our management team members worked together at CollaGenex Pharmaceuticals, Inc., a dermatology-focused specialty pharmaceutical company that was acquired by Galderma Laboratories, LP in 2008, and Trigenesis Therapeutics, Inc., a dermatology company that was acquired by Dr. Reddy's Laboratories Inc. in 2004. We believe that the experience of our management team and our broad network of relationships with leaders within the industry and medical community provides us with insight into product development and identification of other commercial opportunities in dermatology.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Drug Candidates</w:t>
      </w:r>
    </w:p>
    <w:p>
      <w:pPr>
        <w:spacing w:after="0" w:line="23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We have utilized our experience to establish a pipeline of drug candidates that we believe will address significant unmet needs in dermatology. Our pipeline of drug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120015</wp:posOffset>
            </wp:positionV>
            <wp:extent cx="5652135" cy="3204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2135" cy="320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Our goal is to develop and commercialize innovative and differentiated dermatology products that address significant unmet medical needs. The key components of our strategy to achieve this goal are to:</w:t>
      </w:r>
    </w:p>
    <w:p>
      <w:pPr>
        <w:spacing w:after="0" w:line="186" w:lineRule="exact"/>
        <w:rPr>
          <w:sz w:val="20"/>
          <w:szCs w:val="20"/>
          <w:color w:val="auto"/>
        </w:rPr>
      </w:pPr>
    </w:p>
    <w:p>
      <w:pPr>
        <w:ind w:left="1060" w:right="60" w:hanging="531"/>
        <w:spacing w:after="0" w:line="248"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Complete Clinical Development and Obtain Regulatory Approval for A-101 for the Treatment of SK. </w:t>
      </w:r>
      <w:r>
        <w:rPr>
          <w:rFonts w:ascii="Arial" w:cs="Arial" w:eastAsia="Arial" w:hAnsi="Arial"/>
          <w:sz w:val="17"/>
          <w:szCs w:val="17"/>
          <w:color w:val="auto"/>
        </w:rPr>
        <w:t>We plan to focus in the near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on the development, regulatory approval and potential commercialization of A-101 for the treatment of SK. We recently held an end-of-Phase 2 meeting for A-101 with the FDA in May 2015. Based on the FDA's feedback at that meeting, we plan to commence three Phase 3 clinical trials in the second half of 2015 for the treatment of SK on the face, trunk and extremities. If the results of these clinical trials are favorable, we intend to submit our NDA for A-101 for the treatment of SK to the FDA in the first half of 2016. We have also requested scientific advice from the EMA for A-101 for the treatment of SK.</w:t>
      </w:r>
    </w:p>
    <w:p>
      <w:pPr>
        <w:spacing w:after="0" w:line="190" w:lineRule="exact"/>
        <w:rPr>
          <w:rFonts w:ascii="Arial" w:cs="Arial" w:eastAsia="Arial" w:hAnsi="Arial"/>
          <w:sz w:val="17"/>
          <w:szCs w:val="17"/>
          <w:color w:val="auto"/>
        </w:rPr>
      </w:pPr>
    </w:p>
    <w:p>
      <w:pPr>
        <w:ind w:left="1060" w:right="20" w:hanging="531"/>
        <w:spacing w:after="0" w:line="259"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A-101 for the Treatment of Common Warts and Develop Our Other Drug Candidates. </w:t>
      </w:r>
      <w:r>
        <w:rPr>
          <w:rFonts w:ascii="Arial" w:cs="Arial" w:eastAsia="Arial" w:hAnsi="Arial"/>
          <w:sz w:val="17"/>
          <w:szCs w:val="17"/>
          <w:color w:val="auto"/>
        </w:rPr>
        <w:t>We are conducting toxicology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studies and plan to commence Phase 2 clinical trials of A-101 for the treatment of common warts in the second half of 2015. In addition to A-101, we are also developing A-102 for the treatment of SK and common warts.</w:t>
      </w:r>
    </w:p>
    <w:p>
      <w:pPr>
        <w:spacing w:after="0" w:line="166" w:lineRule="exact"/>
        <w:rPr>
          <w:rFonts w:ascii="Arial" w:cs="Arial" w:eastAsia="Arial" w:hAnsi="Arial"/>
          <w:sz w:val="17"/>
          <w:szCs w:val="17"/>
          <w:color w:val="auto"/>
        </w:rPr>
      </w:pPr>
    </w:p>
    <w:p>
      <w:pPr>
        <w:ind w:left="1060" w:right="440" w:hanging="531"/>
        <w:spacing w:after="0" w:line="25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Specialized Sales and Marketing Organization. </w:t>
      </w:r>
      <w:r>
        <w:rPr>
          <w:rFonts w:ascii="Arial" w:cs="Arial" w:eastAsia="Arial" w:hAnsi="Arial"/>
          <w:sz w:val="17"/>
          <w:szCs w:val="17"/>
          <w:color w:val="auto"/>
        </w:rPr>
        <w:t>We intend to commercialize our dermatology products, if approved,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building a specialized sales and marketing organization focused solely on dermatologists and their patients in the United States. We believe a scientifically oriented, customer-focused team of approximately 45 sales representatives would allow us to reach the approximately 5,000 dermatologists in the United States with the highest potential for using A-101.</w:t>
      </w:r>
    </w:p>
    <w:p>
      <w:pPr>
        <w:spacing w:after="0" w:line="172"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In-license or Acquire Additional Drug Candidates to Build a Fully Integrated Dermatology Company. </w:t>
      </w:r>
      <w:r>
        <w:rPr>
          <w:rFonts w:ascii="Arial" w:cs="Arial" w:eastAsia="Arial" w:hAnsi="Arial"/>
          <w:sz w:val="17"/>
          <w:szCs w:val="17"/>
          <w:color w:val="auto"/>
        </w:rPr>
        <w:t>We intend to in-license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 drug candidates for other dermatological conditions from a number of sources by leveraging the insights, network and experience of our management team. We will seek to maintain a well-balanced portfolio by in-licensing or acquiring additional drug candidates across various stages of development. We intend to focus on drug candidates that we believe have streamlined clinical development and regulatory pathways, including drug candidates that we believe have attractive profiles in early clinical testing and that we can advance into late-stage development. We may also seek to in-license or acquire dermatology products that have received regulatory approval in order to accelerate our commercial entry into the market or to expand the portfolio of products we can market to dermatologists. We have not entered into any collaboration or licensing agreements or acquired any additional drug candidates to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Lead Drug Candidate: A-101 for the Treatment of Seborrheic Keratosis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are developing A-101 for the treatment of SK. SK lesions typically have a waxy, scaly, slightly elevated appearance, and multiple lesions are often present. The lesions can vary in color from light tan to dark brown or black and typically appear on the face, trunk and extremities. Though the lesions are non-malignant, patients often elect to have their condition treated by a dermatologist, either because the lesions have become inflamed or because the patient feels they are cosmetically unattractive.</w:t>
      </w:r>
    </w:p>
    <w:p>
      <w:pPr>
        <w:spacing w:after="0" w:line="198"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have completed three Phase 2 clinical trials in over 300 patients with SK and observed clinically relevant and statistically significant improvements in clearing SK lesions on the face, trunk and extremities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of the body following one or two applications of A-101. The following table summarizes the design of these clinical trials:</w:t>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380" w:type="dxa"/>
            <w:vAlign w:val="bottom"/>
            <w:tcBorders>
              <w:top w:val="single" w:sz="8" w:color="auto"/>
              <w:left w:val="single" w:sz="8" w:color="auto"/>
              <w:right w:val="single" w:sz="8" w:color="auto"/>
            </w:tcBorders>
          </w:tcPr>
          <w:p>
            <w:pPr>
              <w:ind w:left="200"/>
              <w:spacing w:after="0" w:line="159" w:lineRule="exact"/>
              <w:rPr>
                <w:sz w:val="20"/>
                <w:szCs w:val="20"/>
                <w:color w:val="auto"/>
              </w:rPr>
            </w:pPr>
            <w:r>
              <w:rPr>
                <w:rFonts w:ascii="Arial" w:cs="Arial" w:eastAsia="Arial" w:hAnsi="Arial"/>
                <w:sz w:val="14"/>
                <w:szCs w:val="14"/>
                <w:b w:val="1"/>
                <w:bCs w:val="1"/>
                <w:color w:val="auto"/>
              </w:rPr>
              <w:t>Name of Clinical Trial and</w:t>
            </w:r>
          </w:p>
        </w:tc>
        <w:tc>
          <w:tcPr>
            <w:tcW w:w="186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20" w:type="dxa"/>
            <w:vAlign w:val="bottom"/>
            <w:tcBorders>
              <w:top w:val="single" w:sz="8" w:color="auto"/>
              <w:right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b w:val="1"/>
                <w:bCs w:val="1"/>
                <w:color w:val="auto"/>
              </w:rPr>
              <w:t>Number of</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Date</w:t>
            </w:r>
          </w:p>
        </w:tc>
        <w:tc>
          <w:tcPr>
            <w:tcW w:w="280" w:type="dxa"/>
            <w:vAlign w:val="bottom"/>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r>
      <w:tr>
        <w:trPr>
          <w:trHeight w:val="169"/>
        </w:trPr>
        <w:tc>
          <w:tcPr>
            <w:tcW w:w="238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Subjects Enrolled</w:t>
            </w:r>
          </w:p>
        </w:tc>
        <w:tc>
          <w:tcPr>
            <w:tcW w:w="18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SK Lesion Area</w:t>
            </w:r>
          </w:p>
        </w:tc>
        <w:tc>
          <w:tcPr>
            <w:tcW w:w="14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9"/>
              </w:rPr>
              <w:t>Completed</w:t>
            </w: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Trial Design</w:t>
            </w: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Trial Objective</w:t>
            </w:r>
          </w:p>
        </w:tc>
      </w:tr>
      <w:tr>
        <w:trPr>
          <w:trHeight w:val="129"/>
        </w:trPr>
        <w:tc>
          <w:tcPr>
            <w:tcW w:w="2380" w:type="dxa"/>
            <w:vAlign w:val="bottom"/>
            <w:tcBorders>
              <w:left w:val="single" w:sz="8" w:color="auto"/>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SEBK-203</w:t>
            </w:r>
          </w:p>
        </w:tc>
        <w:tc>
          <w:tcPr>
            <w:tcW w:w="18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Face</w:t>
            </w:r>
          </w:p>
        </w:tc>
        <w:tc>
          <w:tcPr>
            <w:tcW w:w="144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March 2015</w:t>
            </w:r>
          </w:p>
        </w:tc>
        <w:tc>
          <w:tcPr>
            <w:tcW w:w="28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Multicenter, randomized, double-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(n=119)</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blinded,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57"/>
        </w:trPr>
        <w:tc>
          <w:tcPr>
            <w:tcW w:w="23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One lesion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28"/>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9"/>
        </w:trPr>
        <w:tc>
          <w:tcPr>
            <w:tcW w:w="2380" w:type="dxa"/>
            <w:vAlign w:val="bottom"/>
            <w:tcBorders>
              <w:left w:val="single" w:sz="8" w:color="auto"/>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SEBK-202</w:t>
            </w:r>
          </w:p>
        </w:tc>
        <w:tc>
          <w:tcPr>
            <w:tcW w:w="18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Trunk and Extremities</w:t>
            </w:r>
          </w:p>
        </w:tc>
        <w:tc>
          <w:tcPr>
            <w:tcW w:w="144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December 2014</w:t>
            </w:r>
          </w:p>
        </w:tc>
        <w:tc>
          <w:tcPr>
            <w:tcW w:w="28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Multicenter, randomized, double-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Evaluate safety, efficacy, tolerability</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(n=172)</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blind, vehicle-controlled, parallel</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and dose-response profile of two</w:t>
            </w:r>
          </w:p>
        </w:tc>
      </w:tr>
      <w:tr>
        <w:trPr>
          <w:trHeight w:val="157"/>
        </w:trPr>
        <w:tc>
          <w:tcPr>
            <w:tcW w:w="23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group</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concentrations of A-101 vs. vehicle</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28"/>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32.5%, 40.0%</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316"/>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106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r>
        <w:trPr>
          <w:trHeight w:val="129"/>
        </w:trPr>
        <w:tc>
          <w:tcPr>
            <w:tcW w:w="2380" w:type="dxa"/>
            <w:vAlign w:val="bottom"/>
            <w:tcBorders>
              <w:left w:val="single" w:sz="8" w:color="auto"/>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SEBK-201</w:t>
            </w:r>
          </w:p>
        </w:tc>
        <w:tc>
          <w:tcPr>
            <w:tcW w:w="186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Trunk (Back)</w:t>
            </w:r>
          </w:p>
        </w:tc>
        <w:tc>
          <w:tcPr>
            <w:tcW w:w="144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color w:val="auto"/>
              </w:rPr>
              <w:t>June 2014</w:t>
            </w:r>
          </w:p>
        </w:tc>
        <w:tc>
          <w:tcPr>
            <w:tcW w:w="28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Double-blind, vehicle-controlled intra-</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26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Evaluate safety, efficacy and</w:t>
            </w:r>
          </w:p>
        </w:tc>
      </w:tr>
      <w:tr>
        <w:trPr>
          <w:trHeight w:val="157"/>
        </w:trPr>
        <w:tc>
          <w:tcPr>
            <w:tcW w:w="2380" w:type="dxa"/>
            <w:vAlign w:val="bottom"/>
            <w:tcBorders>
              <w:left w:val="single" w:sz="8" w:color="auto"/>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(n=35)</w:t>
            </w:r>
          </w:p>
        </w:tc>
        <w:tc>
          <w:tcPr>
            <w:tcW w:w="18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subject</w:t>
            </w:r>
          </w:p>
        </w:tc>
        <w:tc>
          <w:tcPr>
            <w:tcW w:w="260" w:type="dxa"/>
            <w:vAlign w:val="bottom"/>
          </w:tcPr>
          <w:p>
            <w:pPr>
              <w:spacing w:after="0"/>
              <w:rPr>
                <w:sz w:val="13"/>
                <w:szCs w:val="13"/>
                <w:color w:val="auto"/>
              </w:rPr>
            </w:pPr>
          </w:p>
        </w:tc>
        <w:tc>
          <w:tcPr>
            <w:tcW w:w="26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tolerability of three concentrations of</w:t>
            </w: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vs. vehicle control</w:t>
            </w:r>
          </w:p>
        </w:tc>
      </w:tr>
      <w:tr>
        <w:trPr>
          <w:trHeight w:val="193"/>
        </w:trPr>
        <w:tc>
          <w:tcPr>
            <w:tcW w:w="2380" w:type="dxa"/>
            <w:vAlign w:val="bottom"/>
            <w:tcBorders>
              <w:left w:val="single" w:sz="8" w:color="auto"/>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Four lesions treated</w:t>
            </w:r>
          </w:p>
        </w:tc>
        <w:tc>
          <w:tcPr>
            <w:tcW w:w="26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307"/>
        </w:trPr>
        <w:tc>
          <w:tcPr>
            <w:tcW w:w="2380" w:type="dxa"/>
            <w:vAlign w:val="bottom"/>
            <w:tcBorders>
              <w:left w:val="single" w:sz="8" w:color="auto"/>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A-101 concentrations: 25.0%, 32.5%,</w:t>
            </w:r>
          </w:p>
        </w:tc>
        <w:tc>
          <w:tcPr>
            <w:tcW w:w="26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r>
      <w:tr>
        <w:trPr>
          <w:trHeight w:val="168"/>
        </w:trPr>
        <w:tc>
          <w:tcPr>
            <w:tcW w:w="23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40.0%</w:t>
            </w:r>
          </w:p>
        </w:tc>
        <w:tc>
          <w:tcPr>
            <w:tcW w:w="260" w:type="dxa"/>
            <w:vAlign w:val="bottom"/>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r>
      <w:tr>
        <w:trPr>
          <w:trHeight w:val="325"/>
        </w:trPr>
        <w:tc>
          <w:tcPr>
            <w:tcW w:w="2380" w:type="dxa"/>
            <w:vAlign w:val="bottom"/>
            <w:tcBorders>
              <w:left w:val="single" w:sz="8" w:color="auto"/>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26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Duration: 78 days</w:t>
            </w: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Overview</w:t>
      </w:r>
    </w:p>
    <w:p>
      <w:pPr>
        <w:spacing w:after="0" w:line="231" w:lineRule="exact"/>
        <w:rPr>
          <w:sz w:val="20"/>
          <w:szCs w:val="20"/>
          <w:color w:val="auto"/>
        </w:rPr>
      </w:pPr>
    </w:p>
    <w:p>
      <w:pPr>
        <w:jc w:val="both"/>
        <w:ind w:right="340"/>
        <w:spacing w:after="0" w:line="245" w:lineRule="auto"/>
        <w:rPr>
          <w:sz w:val="20"/>
          <w:szCs w:val="20"/>
          <w:color w:val="auto"/>
        </w:rPr>
      </w:pPr>
      <w:r>
        <w:rPr>
          <w:rFonts w:ascii="Arial" w:cs="Arial" w:eastAsia="Arial" w:hAnsi="Arial"/>
          <w:sz w:val="17"/>
          <w:szCs w:val="17"/>
          <w:color w:val="auto"/>
        </w:rPr>
        <w:t>SK lesions are among the most common non-malignant skin tumors. Patients may be affected with just one SK lesion or dozens of SK lesions. SK lesions do not pose a health risk, although the lesions can become inflamed, which may lead to itching and bleeding from scratching or friction from clothing or shaving. SK lesions may appear to be skin cancer lesions and the presence of the lesions often motivates patients to seek a diagnosis, usually from a dermatologist. SK generally appears in middle-aged persons and the incidence of SK increases with age.</w:t>
      </w:r>
    </w:p>
    <w:p>
      <w:pPr>
        <w:spacing w:after="0" w:line="198"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A study published in the Journal of The American Academy of Dermatology in 2006 estimated that SK affects over 83 million people in the United States. Based on a market survey we commissioned in 2014, we estimate that there are 18.5 million patient visits to dermatologists for SK and dermatologists perform approximately 8.3 million procedures to remove SK lesions annually in the United States. We estimate that the cost of these procedures to third-party payors and patients is more than $1.2 billion annually. We believe this market will grow if dermatologists have access to treatments that have better aesthetic outcomes, are less-invasive, cause minimal discomfort and can be administered by non-physician staff to treat multiple lesions.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pictures illustrate patients with SK lesions on the face and the back:</w:t>
      </w:r>
    </w:p>
    <w:p>
      <w:pPr>
        <w:spacing w:after="0" w:line="196" w:lineRule="exact"/>
        <w:rPr>
          <w:sz w:val="20"/>
          <w:szCs w:val="20"/>
          <w:color w:val="auto"/>
        </w:rPr>
      </w:pPr>
    </w:p>
    <w:p>
      <w:pPr>
        <w:ind w:left="1160"/>
        <w:spacing w:after="0"/>
        <w:tabs>
          <w:tab w:leader="none" w:pos="5880" w:val="left"/>
        </w:tabs>
        <w:rPr>
          <w:sz w:val="20"/>
          <w:szCs w:val="20"/>
          <w:color w:val="auto"/>
        </w:rPr>
      </w:pPr>
      <w:r>
        <w:rPr>
          <w:rFonts w:ascii="Arial" w:cs="Arial" w:eastAsia="Arial" w:hAnsi="Arial"/>
          <w:sz w:val="14"/>
          <w:szCs w:val="14"/>
          <w:b w:val="1"/>
          <w:bCs w:val="1"/>
          <w:color w:val="auto"/>
        </w:rPr>
        <w:t>Face</w:t>
      </w:r>
      <w:r>
        <w:rPr>
          <w:sz w:val="20"/>
          <w:szCs w:val="20"/>
          <w:color w:val="auto"/>
        </w:rPr>
        <w:tab/>
      </w:r>
      <w:r>
        <w:rPr>
          <w:rFonts w:ascii="Arial" w:cs="Arial" w:eastAsia="Arial" w:hAnsi="Arial"/>
          <w:sz w:val="14"/>
          <w:szCs w:val="14"/>
          <w:b w:val="1"/>
          <w:bCs w:val="1"/>
          <w:color w:val="auto"/>
        </w:rPr>
        <w:t>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354330</wp:posOffset>
            </wp:positionV>
            <wp:extent cx="5161280" cy="1539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61280"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Treatment Options for Seborrheic Keratosis</w:t>
      </w:r>
    </w:p>
    <w:p>
      <w:pPr>
        <w:spacing w:after="0" w:line="231"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There are currently no FDA-approved drugs for the treatment of SK. However, dermatologists typically choose SK treatment based on a number of factors, including disease severity, patient characteristics and patient preference. The following table sets forth the most commonly used treatment options, the circumstances under which each procedure is typically used, and the key advantages, key drawbacks and frequency of use of each procedure: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Current Treatment Options for Seborrheic Keratosis</w:t>
      </w: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6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Procedure</w:t>
            </w: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When Used</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Key Advantages</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Key Drawbacks</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Frequency of Use</w:t>
            </w: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Cryosurgery</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Spraying liquid</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Lighter-skinned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Easy, quick and</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Frequently painful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Approximately two-</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nitrogen at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patients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inexpensive</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thirds of treated SK</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temperature of</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treatments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approximately</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Multiple lesions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Rarely causes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may be required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negative 320 degrees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bleeding and requires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Fahrenheit directly</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wound care</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onto the SK lesions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hypopigmentation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Lesion falls off once</w:t>
            </w: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scarring,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frozen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pain and swelling</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620" w:type="dxa"/>
            <w:vAlign w:val="bottom"/>
            <w:tcBorders>
              <w:left w:val="single" w:sz="8" w:color="auto"/>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Borders>
              <w:right w:val="single" w:sz="8" w:color="auto"/>
            </w:tcBorders>
            <w:vMerge w:val="continue"/>
          </w:tcPr>
          <w:p>
            <w:pPr>
              <w:spacing w:after="0"/>
              <w:rPr>
                <w:sz w:val="3"/>
                <w:szCs w:val="3"/>
                <w:color w:val="auto"/>
              </w:rPr>
            </w:pPr>
          </w:p>
        </w:tc>
        <w:tc>
          <w:tcPr>
            <w:tcW w:w="240" w:type="dxa"/>
            <w:vAlign w:val="bottom"/>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Curettage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Scraping SK lesions</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Single or multiple thin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May quickly remove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off with the use of a</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single or multiple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tool known as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growths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curette</w:t>
            </w: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 and</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electrodesiccation for</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minor infection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thick 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perform procedure</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cryosurgery</w:t>
            </w: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Electrodesiccation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Using an electric</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Small and facial</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Fast healing</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More time-intensive</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needle to burn off the</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alternatives</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SK lesion</w:t>
            </w:r>
          </w:p>
        </w:tc>
        <w:tc>
          <w:tcPr>
            <w:tcW w:w="260" w:type="dxa"/>
            <w:vAlign w:val="bottom"/>
            <w:vMerge w:val="restart"/>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Darker skinned</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Minimal scarring</w:t>
            </w:r>
          </w:p>
        </w:tc>
        <w:tc>
          <w:tcPr>
            <w:tcW w:w="26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May require local</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620" w:type="dxa"/>
            <w:vAlign w:val="bottom"/>
            <w:tcBorders>
              <w:left w:val="single" w:sz="8" w:color="auto"/>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20" w:type="dxa"/>
            <w:vAlign w:val="bottom"/>
            <w:tcBorders>
              <w:left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Less risk of</w:t>
            </w:r>
          </w:p>
        </w:tc>
        <w:tc>
          <w:tcPr>
            <w:tcW w:w="260" w:type="dxa"/>
            <w:vAlign w:val="bottom"/>
          </w:tcPr>
          <w:p>
            <w:pPr>
              <w:spacing w:after="0"/>
              <w:rPr>
                <w:sz w:val="15"/>
                <w:szCs w:val="15"/>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hypopigmentation</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 combination with</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than cryosurgery</w:t>
            </w: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Requires</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curettage for thick</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electrosurgical</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equipment</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bleeding,</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infection and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darkening of skin in</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treatment area</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20" w:type="dxa"/>
            <w:vAlign w:val="bottom"/>
            <w:tcBorders>
              <w:left w:val="single" w:sz="8" w:color="auto"/>
              <w:right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Excision</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Removing entire</w:t>
            </w:r>
          </w:p>
        </w:tc>
        <w:tc>
          <w:tcPr>
            <w:tcW w:w="260" w:type="dxa"/>
            <w:vAlign w:val="bottom"/>
          </w:tcPr>
          <w:p>
            <w:pPr>
              <w:jc w:val="right"/>
              <w:ind w:right="7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Raised or thick</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Covered by insurance</w:t>
            </w:r>
          </w:p>
        </w:tc>
        <w:tc>
          <w:tcPr>
            <w:tcW w:w="260" w:type="dxa"/>
            <w:vAlign w:val="bottom"/>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29" w:lineRule="exact"/>
              <w:rPr>
                <w:sz w:val="20"/>
                <w:szCs w:val="20"/>
                <w:color w:val="auto"/>
              </w:rPr>
            </w:pPr>
            <w:r>
              <w:rPr>
                <w:rFonts w:ascii="Arial" w:cs="Arial" w:eastAsia="Arial" w:hAnsi="Arial"/>
                <w:sz w:val="14"/>
                <w:szCs w:val="14"/>
                <w:color w:val="auto"/>
              </w:rPr>
              <w:t>Requires local</w:t>
            </w:r>
          </w:p>
        </w:tc>
        <w:tc>
          <w:tcPr>
            <w:tcW w:w="240" w:type="dxa"/>
            <w:vAlign w:val="bottom"/>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5% to 10% of treated</w:t>
            </w: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ind w:left="140"/>
              <w:spacing w:after="0" w:line="157" w:lineRule="exact"/>
              <w:rPr>
                <w:sz w:val="20"/>
                <w:szCs w:val="20"/>
                <w:color w:val="auto"/>
              </w:rPr>
            </w:pPr>
            <w:r>
              <w:rPr>
                <w:rFonts w:ascii="Arial" w:cs="Arial" w:eastAsia="Arial" w:hAnsi="Arial"/>
                <w:sz w:val="14"/>
                <w:szCs w:val="14"/>
                <w:color w:val="auto"/>
              </w:rPr>
              <w:t>lesion with a scalpel</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lesions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when a biopsy is</w:t>
            </w: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anesthesia</w:t>
            </w:r>
          </w:p>
        </w:tc>
        <w:tc>
          <w:tcPr>
            <w:tcW w:w="240" w:type="dxa"/>
            <w:vAlign w:val="bottom"/>
          </w:tcPr>
          <w:p>
            <w:pPr>
              <w:spacing w:after="0"/>
              <w:rPr>
                <w:sz w:val="13"/>
                <w:szCs w:val="13"/>
                <w:color w:val="auto"/>
              </w:rPr>
            </w:pPr>
          </w:p>
        </w:tc>
        <w:tc>
          <w:tcPr>
            <w:tcW w:w="172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SK patients</w:t>
            </w: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needed</w:t>
            </w: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In cases of clinical</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Requires wound</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uncertainty where a</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management</w:t>
            </w: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biopsy is needed to</w:t>
            </w: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confirm diagnosis</w:t>
            </w:r>
          </w:p>
        </w:tc>
        <w:tc>
          <w:tcPr>
            <w:tcW w:w="2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Potential infection</w:t>
            </w:r>
          </w:p>
        </w:tc>
        <w:tc>
          <w:tcPr>
            <w:tcW w:w="24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More expensive then</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20" w:type="dxa"/>
            <w:vAlign w:val="bottom"/>
            <w:tcBorders>
              <w:left w:val="single" w:sz="8" w:color="auto"/>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other alternatives</w:t>
            </w:r>
          </w:p>
        </w:tc>
        <w:tc>
          <w:tcPr>
            <w:tcW w:w="240" w:type="dxa"/>
            <w:vAlign w:val="bottom"/>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620" w:type="dxa"/>
            <w:vAlign w:val="bottom"/>
            <w:tcBorders>
              <w:left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7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Requires physician to</w:t>
            </w:r>
          </w:p>
        </w:tc>
        <w:tc>
          <w:tcPr>
            <w:tcW w:w="2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ind w:left="120"/>
              <w:spacing w:after="0" w:line="153" w:lineRule="exact"/>
              <w:rPr>
                <w:sz w:val="20"/>
                <w:szCs w:val="20"/>
                <w:color w:val="auto"/>
              </w:rPr>
            </w:pPr>
            <w:r>
              <w:rPr>
                <w:rFonts w:ascii="Arial" w:cs="Arial" w:eastAsia="Arial" w:hAnsi="Arial"/>
                <w:sz w:val="14"/>
                <w:szCs w:val="14"/>
                <w:color w:val="auto"/>
              </w:rPr>
              <w:t>perform procedure</w:t>
            </w:r>
          </w:p>
        </w:tc>
        <w:tc>
          <w:tcPr>
            <w:tcW w:w="24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950" w:gutter="0" w:footer="0" w:header="0"/>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950" w:gutter="0" w:footer="0" w:header="0"/>
          <w:type w:val="continuous"/>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Cryosurgery, which involves spraying liquid nitrogen at a temperature of negative 320 degrees Fahrenheit directly onto the SK lesions, is used in approximately two-thirds of treated SK patients. In this procedure, the lesion is frozen and subsequently falls off. Dermatologists use cryosurgery because it is easy, quick and inexpensive. However, depending on the severity of the patient's condition, more than one cryosurgery treatment is typically required to remove all of the targeted lesions. Adverse effects experienced by patients using cryosurgery include permanent hypopigmentation, or loss of skin color, hyperpigmentation, or darkening of the skin, scarring, pain and edema, or swelling.</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Other treatments include curettage, or scraping, as well as electrodesiccation and excision. We estimate that each of these treatments is used for 5% to 10% of treated SK patients. Curettage involves scraping SK lesions off with the use of a tool known as a curette. As a result, this procedure typically leads to bleeding, may result in infection and requires a longer time for the skin to heal. Electrodesiccation is a form of electrosurgery that involves the use of an electric needle to burn off the SK lesion. Although labor- and time-intensive, this procedure is sometimes used for darker-skinned patients in order to avoid the permanent hypopigmentation or scarring that can occur with other procedures. With an excision procedure, the lesion is removed with a scalpel but remains intact for biopsy in cases where a definitive diagnosis has not been made. These procedures are sometimes used in combination to remove SK lesions. In addition, there are other dermatological treatments that are used less frequently.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A-101 Mechanism of Action</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SK is a slowly growing epidermal tumor consisting of an abnormal accumulation of hyper-adherent senescent cells exhibiting decreased cell death. Senescent cells are no longer capable of dividing but are still alive and metabolically active. SK lesions may be amenable to a topically delivered agent that could both break down the abnormal intercellular connections between the cells and promote death of the abnormal SK cells.</w:t>
      </w:r>
    </w:p>
    <w:p>
      <w:pPr>
        <w:spacing w:after="0" w:line="1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Hydrogen peroxide is a potent and important oxidizing agent in the human body. Local concentrations of hydrogen peroxide are carefully controlled by a complex antioxidant defense system consisting of both enzymes and nonenzymatic components. The topical application of high concentrations of hydrogen peroxide to SK lesions can locally overwhelm this antioxidant defense system in the skin, allowing hydrogen peroxide to penetrate the surface of the lesion, react with the abnormal SK cells, and remove or dissolve the SK lesions.</w:t>
      </w:r>
    </w:p>
    <w:p>
      <w:pPr>
        <w:spacing w:after="0" w:line="198"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Through a process known as lipid peroxidation, free radical molecules generated by hydrogen peroxide degrade the phospholipids of the cell membrane, leading to the breakdown, or lysis, of the lipid membrane of the cell. This chemical reaction is followed by the denaturation, or loss of structure, of proteins within the cell, as well as oxidative DNA and mitochondrial damage. This series of events induces cell death of</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abnormal SK cells, either through the process of programmed cell death, known as apoptosis, or through cell injury, known as necrosis.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graphic illustrates this mechanism of action for A-101: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Response of Seborrheic Keratosis Cells to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144780</wp:posOffset>
            </wp:positionV>
            <wp:extent cx="5593715" cy="35547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93715" cy="355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Benefits of A-101</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While traditional procedures for the treatment of SK have become useful options for dermatologists and their patients, they suffer from a number of limitations, including their poor aesthetic outcomes and pain profile. In some cases, these procedures are invasive, with the associated need for wound management and risk of infection. Many patients with SK remain unsatisfied with their treatment options. If A-101 is approved, we believe that it will offer the following potential benefits to dermatologists and their patients:</w:t>
      </w:r>
    </w:p>
    <w:p>
      <w:pPr>
        <w:spacing w:after="0" w:line="191" w:lineRule="exact"/>
        <w:rPr>
          <w:sz w:val="20"/>
          <w:szCs w:val="20"/>
          <w:color w:val="auto"/>
        </w:rPr>
      </w:pPr>
    </w:p>
    <w:p>
      <w:pPr>
        <w:ind w:left="1060" w:right="100" w:hanging="531"/>
        <w:spacing w:after="0" w:line="259"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Potential to be the First FDA-Approved Drug Treatment for SK. </w:t>
      </w:r>
      <w:r>
        <w:rPr>
          <w:rFonts w:ascii="Arial" w:cs="Arial" w:eastAsia="Arial" w:hAnsi="Arial"/>
          <w:sz w:val="17"/>
          <w:szCs w:val="17"/>
          <w:color w:val="auto"/>
        </w:rPr>
        <w:t>There are currently no FDA-approved drugs for the treatment of 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A-101 is approved by the FDA, it has the potential to be the first drug approved for the treatment of SK in the United States, thereby providing dermatologists confidence in A-101 as a treatment option.</w:t>
      </w:r>
    </w:p>
    <w:p>
      <w:pPr>
        <w:spacing w:after="0" w:line="179" w:lineRule="exact"/>
        <w:rPr>
          <w:rFonts w:ascii="Arial" w:cs="Arial" w:eastAsia="Arial" w:hAnsi="Arial"/>
          <w:sz w:val="17"/>
          <w:szCs w:val="17"/>
          <w:color w:val="auto"/>
        </w:rPr>
      </w:pPr>
    </w:p>
    <w:p>
      <w:pPr>
        <w:ind w:left="1060" w:hanging="531"/>
        <w:spacing w:after="0" w:line="276"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Efficacy Profile. </w:t>
      </w:r>
      <w:r>
        <w:rPr>
          <w:rFonts w:ascii="Arial" w:cs="Arial" w:eastAsia="Arial" w:hAnsi="Arial"/>
          <w:sz w:val="17"/>
          <w:szCs w:val="17"/>
          <w:color w:val="auto"/>
        </w:rPr>
        <w:t>In three Phase 2 clinical trials conducted to date in over 300 patients with A-101, we have observed clinically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and statistically significant clearance of SK lesions on the face, trunk and extremities after one or two applications.</w:t>
      </w:r>
    </w:p>
    <w:p>
      <w:pPr>
        <w:spacing w:after="0" w:line="153" w:lineRule="exact"/>
        <w:rPr>
          <w:rFonts w:ascii="Arial" w:cs="Arial" w:eastAsia="Arial" w:hAnsi="Arial"/>
          <w:sz w:val="17"/>
          <w:szCs w:val="17"/>
          <w:color w:val="auto"/>
        </w:rPr>
      </w:pPr>
    </w:p>
    <w:p>
      <w:pPr>
        <w:ind w:left="1060" w:hanging="531"/>
        <w:spacing w:after="0" w:line="248"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Non-invasive Treatment with Favorable Safety Profile. </w:t>
      </w:r>
      <w:r>
        <w:rPr>
          <w:rFonts w:ascii="Arial" w:cs="Arial" w:eastAsia="Arial" w:hAnsi="Arial"/>
          <w:sz w:val="17"/>
          <w:szCs w:val="17"/>
          <w:color w:val="auto"/>
        </w:rPr>
        <w:t>In each of our clinical trials, A-101 was well tolerated and caused minimal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discomfort, with most patients experiencing only mild, transient tingling upon application. A-101 was observed to be appropriate for all skin types tested and for use on the face. The most commonly used treatment procedure, cryosurgery, is a painful process. A-101 is a topically applied medication and does not require the use of local anesthesia, with its well-known risks. We believe A-101, if approved, will be an attractive treatment option for SK patients seeking an alternative that is non-invasive and reduces the risk of pigmentary changes, scarring, bleeding and other adverse side effects associated with current treatment procedures.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4" w:lineRule="exact"/>
        <w:rPr>
          <w:sz w:val="20"/>
          <w:szCs w:val="20"/>
          <w:color w:val="auto"/>
        </w:rPr>
      </w:pPr>
    </w:p>
    <w:p>
      <w:pPr>
        <w:ind w:left="1060" w:right="40" w:hanging="531"/>
        <w:spacing w:after="0" w:line="259"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Ease of Administration. </w:t>
      </w:r>
      <w:r>
        <w:rPr>
          <w:rFonts w:ascii="Arial" w:cs="Arial" w:eastAsia="Arial" w:hAnsi="Arial"/>
          <w:sz w:val="17"/>
          <w:szCs w:val="17"/>
          <w:color w:val="auto"/>
        </w:rPr>
        <w:t>If approved, we expect that A-101 will be administered using a single-use, self-contained, pre-filled, disposable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pen-type applicator, as an in-office treatment, without the need for anesthesia. After the initial diagnosis by a dermatologist, we expect that A-101 will be appropriate for administration by non-physician staff, thereby freeing up physician time.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Development</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submitted an IND for A-101 for the treatment of SK to the FDA in September 2013 and have completed three Phase 2 clinical trials under this IND. In February 2015, we held a Type C meeting with the FDA at which we discussed clinical endpoints to support a claim of efficacy, as well as the statistical methodology we plan to use in our Phase 3 clinical trials. In May 2015, we held an end-of-Phase 2 meeting with the FDA to discuss our A-101 development program leading to a potential NDA submission.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Face (SEBK-203)</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commenced a Phase 2 clinical trial in October 2014 that was a multicenter, randomized, double-blind, vehicle-controlled, parallel group trial designed to evaluate the safety, tolerability, initial efficacy and dose-response profile of A-101 topical solution at 32.5% and 40.0% concentrations and a topical solution vehicle control. We completed the trial in March 2015. We enrolled 119 subjects in the trial at four sites in the United States, and 116 subjects completed the trial. Three of the 119 subjects withdrew from the trial due to unrelated adverse events. Of the 116 subjects who completed the trial, 37 subjects received the 40.0% concentration, 39 subjects received the 32.5% concentration and 40 subjects received the vehicle control. The age of the subjects ranged from 33 to 93, with a mean age of 70. Of the 116 subjects who completed the trial, 53 were male, 63 were female and all were Caucasian. Inclusion criteria included a clinical diagnosis of stable, clinically typical SK and one appropriate SK target lesion on the subject's face of specified size and thickness. Exclusion criteria included clinically atypical or rapidly growing SK lesions and the use of specified topical or systemic therapies within defined time period prior to the first visit.</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a single target lesion on the face of each subject for treatment. During the second 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evaluated at multiple visits through Day 106, but no applications were made after Day 22.</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primary endpoint of this clinical trial was the mean change from baseline in the Physician's Lesion Assessment, or PLA, score at the end of the trial. The PLA score is a method we developed to measure the severity of lesions and uses a scale ranging from zero to three. Secondary endpoints included responder analysis of PLA scores of zero or one. In this trial, a PLA score of zero represented no visible lesion, a PLA score of one represented a visible lesion that, while not elevated, has a surface appearance that is different from the surrounding skin, a PLA score of two represented a visible lesion that is elevated but with a thickness of less than or equal to one millimeter, and a PLA score of three represented a visible lesion with a thickness exceeding one millimeter.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shown in the table below, for the primary endpoint, mean change from baseline in PLA score, we observed statistically significant improvements as compared to the vehicle for both concentrations of A-101 evaluated, with the 40.0% concentration being the most effective. The results for the active treatment groups were statistically significant with a p-value of less than 0.001. P-value is a conventional statistical method for measuring the statistical significance of clinical results. A p-value of 0.05 or less is generally considered to represent statistical significance, meaning that there is a less than 1-in-20 likelihood that the observed results occurred by chance.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Mean Change from Baseline in PLA Score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144780</wp:posOffset>
            </wp:positionV>
            <wp:extent cx="4545330" cy="2322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453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we measured the percentage of subjects who achieved total clearance, or a PLA of zero, at Day 22 and Day 106. These results are presented in the table below. At Day 22, 24.0% of the subjects receiving A-101 at the 40.0% concentration achieved total clearance and 28.0% of the subjects receiving A-101 at the 32.5% concentration achieved total clearance, compared to none in the vehicle control group. At Day 106, 60.0% of the subjects receiving A-101 at the 40.0% concentration achieved total clearance and 46.0% of subjects receiving A-101 at the 32.5% concentration achieved total clearance, compared to 3.0% in the vehicle control group. These results were statistically significant, with a p-value of less than 0.001.</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Percentage of Subjects with Clear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144780</wp:posOffset>
            </wp:positionV>
            <wp:extent cx="5369560" cy="2929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6956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at Day 22 and Day 106. These results are presented in the table below. At Day 22, 45.9% of the subjects receiving A-101 at the 40.0% concentration achieved total clearance or near clearance and 33.3% of the subjects receiving A-101 at the 32.5% concentration achieved total clearance or near clearance, compared to 2.5% in the vehicle control group. At Day 106, 67.6% of the subjects receiving A-101 at the 40.0% concentration achieved total clearance or near clearance and 61.5% of subjects receiving A-101 at the 32.5% concentration achieved total clearance or near clearance, compared to 5.0% in the vehicle control group. These results were statistically significant, with a p-value of less than 0.001.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with Clear or Near-Clear Target Lesions —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144780</wp:posOffset>
            </wp:positionV>
            <wp:extent cx="5694045" cy="30968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940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While two subjects in each of the 32.5% and 40.0% concentration treatment groups reported severe stinging after administration, most local skin reactions were considered to be transient and mild or moderate. Treatment-emergent adverse events were reported by 29 subjects. However, only one of these adverse events, slight bleeding at the sight of administration, was determined by the investigator to be drug-related. Four subjects reported serious adverse events, but none were considered to be related to treatment by the investigator. Three subjects dropped out of the trial due to adverse events unrelated to treatment.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and Extremities (SEBK-202)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June 2014, we commenced a Phase 2 clinical trial that was a multicenter, randomized, double-blind, vehicle-controlled, parallel group trial designed to evaluate the safety, tolerability, initial efficacy and dose-response profile of A-101 topical solution with concentrations of 32.5% and 40.0% and a topical solution vehicle control. We completed the trial in December 2014. We enrolled 172 subjects in the trial at five sites in the United States,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169 subjects completed the trial. Of the 172 subjects enrolled in the trial, 57 subjects received the 40.0% concentration, 57 subjects received the 32.5% concentration and 58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subjects received the vehicle control. Of the three subjects who withdrew from the trial, one subject withdrew due to inconvenience, one subject moved and one subject withdrew due to lack of follow-up by the investigator. The age of the subjects ranged from 48 to 97, with a mean age of 69. Of the 172 subjects enrolled in the trial, 91 were male, 81 were female and all but two were Caucasian. There were a variety of skin types within the trial population. Inclusion criteria included a clinical diagnosis of stable, clinically typical SK and at least four SK target lesions on the subject's trunk, defined as the upper body excluding the head and limbs, or extremities with a PLA of at least 2.0 and of specified size and thickness. Exclusion criteria included clinically atypical or rapidly growing SK lesions and the use of specified topical or systemic therapies within a defined time period prior to the first visit.</w:t>
      </w:r>
    </w:p>
    <w:p>
      <w:pPr>
        <w:spacing w:after="0" w:line="20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evaluation period consisted of 15 weeks after initial treatment. At the first visit, the investigator identified four target lesions on the trunk or extremities of each subject for treatment. During the second visit, or baseline, which occurred on Day 1 of the evaluation period, eligible subjects were randomized to receive the vehicle control or one of the two active concentrations of A-101 and the applications were performed by non-physician staff. No applications were made at a visit on Day 8. At Day 22, any target lesion that met the retreatment criteria received a second application of the assigned concentration of A-101 or vehicle control. The subjects were then evaluated at multiple visits through Day 106, but no applications were made after Day 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primary endpoint of this clinical trial was the percentage of the four target SK lesions judged to be clear, meaning a PLA of zero, for each patient at the end of the trial. Secondary endpoints included the change from baseline PLA. In this trial, we used the same PLA score we used in our trial in subjects with SK lesions on the face (SEBK-203).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shown in the table below, for the primary endpoint, the mean percentage of the four target SK lesions that were judged to be cleared for each patient at Day 106, we observed clinically relevant and statistically significant improvement for both concentrations of A-101 evaluated, with mean per-subject clearance of 26.8% and 45.1% at the 32.5% and 40.0% concentrations, respectively, compared to only 4.8% mean per-subject clearance in the vehicle control group. The results for the active treatment groups were statistically significant with a p-value of less than 0.001.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Mean Per-Subject Percentage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also measured the percentage of subjects who achieved total clearance, or a PLA score of zero, in all four of their lesions. These results are presented in the table below. Of the subjects receiving A-101 with 40.0% and 32.5% concentrations, 19.6% and 16.1%, respectively, had clearance of all lesions at Day 106, compared to none in the vehicle control group. These results were statistically significant, with a p-value of less than 0.01. At Day 22, 14.3% of the subjects receiving A-101 at the 40.0% concentration had achieved clearance of all lesions, a result that was also statistically significant, with a p-value of less than 0.01. Only 5.4% of subjects receiving A-101 at the 32.5% concentration achieved clearance of all lesions at Day 22, compared to none in the vehicle control group, but this result for the 32.5% group was not statistically significant.</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Percentage of Subjects Achieving Total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also measured the percentage of subjects who achieved either total clearance or near clearance, or a PLA score of either zero or one, in all four of their lesions. These results are presented in the table below. At Day 22, 32.6% of the subjects receiving A-101 at the 40.0% concentration achieved total clearance or near clearance and 23.7% of the subjects receiving A-101 at the 32.5% concentration achieved total clearance or near clearance, compared to 1.8% in the vehicle control group. At Day 106, 58.9% of the subjects receiving A-101 at the 40.0% concentration achieved total clearance or near clearance and 42.4% of the subjects receiving A-101 at the 32.5% concentration achieved total clearance or near clearance, compared to 10.1% in the vehicle control group. These results were statistically significant with a p-value of less than 0.0001.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Subjects Achieving Total Clearance or Near Clearance — Trunk and Extremities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3279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77535" cy="327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A-101 was generally well tolerated at both the 32.5% and 40.0% concentrations. Local skin reactions were treatment- and dose-related, and most were considered to be transient and mild to moderate. Treatment-emergent adverse events were reported by 45 subjects. Only one of these events, moderate tenderness at a treatment site on the subject's thigh, was determined by the investigator to be drug-related. Three subjects reported serious adverse events, but none were considered to be related to treatment by the investigator. None of the subjects dropped out of the trial due to adverse events.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of A-101 in Subjects with Seborrheic Keratosis on the Trunk (Back) (SEBK-201)</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Trial Design</w:t>
      </w:r>
    </w:p>
    <w:p>
      <w:pPr>
        <w:spacing w:after="0" w:line="229"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We commenced a Phase 2 clinical trial of A-101 in November 2013 that was a double-blind, vehicle-controlled intra-subject clinical trial designed to evaluate the safety, tolerability and initial efficacy of A-101 in clearing SK lesions. The trial compared three active concentrations of A-101, 40.0%,</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32.5% and 25.0%, with a vehicle solution control. In the trial, each subject received each of the four treatments on four separate lesions on the back. We enrolled 35 adult subjects in the trial at one site in the United States. We completed the trial in June 2014. Of the 35 subjects enrolled in the trial, one subject withdrew from participation in the trial due to the distance between the subject's home and the clinical trial site. The age of the subjects ranged from 55 to 85, with a mean of 69 years. Of the 35 subjects enrolled in the trial, 20 of the subjects were female and 15 were male, and all subjects were Caucasian. Inclusion criteria included a clinical diagnosis of stable clinically typical SK and at least four appropriate SK target lesions on the subject's back. Exclusion criteria included clinically atypical or rapidly growing SK lesions and the use of specified topical or systemic therapies within a defined time period prior to the first visit.</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evaluation period consisted of 11 weeks after initial treatment. At the first visit, the investigator identified four target lesions on the back for treatment. During a second visit, or baseline, which occurred on Day 1 of the evaluation period, lesions on each subject were randomized to receive the vehicle control or one of the three active concentrations of A-101, and the applications were performed by non-physician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staff. No applications were made at visits on Day 8 and Day 15. On Day 22, any target lesion that met the retreatment criteria received a second application of the assigned concentration of A-101 or vehicle control. No applications were made at subsequent visits, which occurred on Days 29, 43, 57 and 78.</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Endpoints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primary endpoint of this clinical trial was reduction in PLA score from baseline over a period of 78 days, as well the physician's subjective assessment of the condition of the lesion. In this trial, we used an earlier version of the PLA scale in which a PLA score of zero was considered to be complete clearance of the lesion, a PLA score of one represented the lesion was barely evident on examination, a PLA score of two represented an obvious lesion, while a PLA score of three represented a severe, prominent lesion. This PLA scale was subsequently refined in our later trials to make it more clinically objective.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Efficacy Results</w:t>
      </w:r>
    </w:p>
    <w:p>
      <w:pPr>
        <w:spacing w:after="0" w:line="22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For the 34 subjects that completed the trial, the efficacy results are presented in the table below. We measured the proportion of PLA complete responders, defined as a PLA score of zero at Day 78, in each treatment group. Of the 34 lesions treated with the 40.0% concentration, 11 lesions, or 32.4%, completely responded, a result that was statistically significant with a p-value of less than 0.001. Of the 34 lesions treated with the 32.5% concentration, 5 lesions, or 14.7%, completely responded, a result that was statistically significant with a p-value of less than 0.05. Of the 34 lesions treated with the 25.0% concentration, 3 lesions, or 8.8%, completely responded, a result that was not statistically significant. There were no complete responders in the vehicle control group.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68645" cy="30968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68645"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also measured the proportion of PLA complete responders or near complete responders, defined as a PLA score of zero or one, at Day 78, in each treatment group. These results are presented in the table below. Of the 34 lesions treated with the 40.0% concentration, 23 lesions, or 67.7%, were complete or near complete responders, a result that was statistically significant with a p-value of less than 0.0001. Of the 34 lesions treated with the</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32.5% concentration, 19 lesions, or 55.9%, were complete or near complete responders, a result that was statistically significant with a p-value of less than 0.0001. Of the 34 lesions treated with the 25.0% concentration, 12 lesions, or 35.3%, were complete or near complete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responders, a result that was statistically significant with a p-value of less than 0.05. Four lesions, or 11.8%, of the lesions treated with vehicle control either were complete or near complete responders.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Percentage of Complete or Near Complete Responders — Trunk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144780</wp:posOffset>
            </wp:positionV>
            <wp:extent cx="5677535" cy="2955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77535" cy="295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Safety Results</w:t>
      </w:r>
    </w:p>
    <w:p>
      <w:pPr>
        <w:spacing w:after="0" w:line="229"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A-101 was generally well tolerated at the 25.0%, 32.5% and 40.0% concentrations. Local skin reactions were transient and treatment- and dose-related, and most were considered to be mild to moderate. Treatment-emergent adverse events were reported by nine subjects, and none of those reported were considered to be treatment-related. The only treatment-emergent adverse events reported by more than one subject were seasonal allergy in ten subjects and arthritis in four subjects. One subject had a serious adverse event of kidney infection, which was considered by the investigator to be unrelated to treatment. None of the subjects dropped out of the trial due to an adverse event and no adverse event led to trial discontinuation.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Planned Phase 3 Clinical Program</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held an end-of-Phase 2 meeting with the FDA in May 2015. Based on the FDA's feedback at that meeting, we plan to initiate three Phase 3 clinical trials in the second half of 2015 for the treatment of SK on the face, trunk and extremities. We have also requested scientific advice from the EMA.</w:t>
      </w:r>
    </w:p>
    <w:p>
      <w:pPr>
        <w:spacing w:after="0" w:line="19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planned Phase 3 clinical program will consist of three clinical trials, in which we expect to enroll a total of approximately 1,000 subjects with SK. These clinical trials will be designed to demonstrate the efficacy of treatment with A-101 relative to vehicle for the treatment of SK on the face, trunk and extremities. The first two clinical trials will be randomized, multi-center, double-blinded, vehicle-controlled, parallel group Phase 3 clinical trials that will be conducted in the United States. We expect to enroll approximately 400 subjects with four SK lesions on the face, trunk and extremities in each of these two trials. In each of these first two trials, subjects will be randomized to receive A-101 topical solution at the 40.0% concentration on Day 1 and Day 22. Thereafter, we plan to conduct the third Phase 3 clinical trial in which approximately 200 subjects with four SK lesions on the face, trunk and extremities will receive up to four treatments of A-101 21 days apart on an open-label basis in order to gather additional data on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extended use of A-101. In our three Phase 3 clinical trials, we intend to use the refined PLA scale that we used in our SEBK-202 and SEBK-203 clinical trials.</w:t>
      </w:r>
    </w:p>
    <w:p>
      <w:pPr>
        <w:spacing w:after="0" w:line="19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anticipate that our NDA for A-101 in SK will be based on the data collected from each of the three Phase 3 clinical trials. We believe that if these results are favorable, such results would be sufficient to support an NDA for the treatment of SK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Development Programs — A-101 for Common Warts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Plan</w:t>
      </w:r>
    </w:p>
    <w:p>
      <w:pPr>
        <w:spacing w:after="0" w:line="229"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are conducting toxicology studies and plan to commence Phase 2 clinical trials of A-101 for the treatment of common warts in the second half of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Investigator-Sponsored Trial</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trial was conducted by Steven Grekin, a dermatologist, using A-101 topical solution in subjects with common warts. This physician's IND for the treatment of common warts was submitted to the FDA in March 2014. This trial was a double-blind, vehicle-controlled trial comparing the 40.0% concentration of A-101 and a vehicle control. This trial was conducted at the Grekin Skin Institute in Michigan. In this trial, each subject received four treatments on one target wart. 22 subjects were enrolled in the trial, with 15 subjects completing the trial. Four subjects who were receiving vehicle control did not complete the trial because they were not satisfied with the results and three subjects who were receiving A-101 did not complete the trial for reasons unrelated to treatment. Of the subjects who completed the trial, nine subjects received the 40.0% concentration of A-101 and six subjects received the vehicle control. Subjects were at least 18 years old with a common wart on the hand.</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believe the results of the investigator-sponsored trial provided proof-of-concept data for the treatment of common warts with A-101. Efficacy measures were evaluated at week 6, two weeks after the last treatment. The trial evaluated the mean change from baseline using a wart severity assessment scale ranging from zero to three. A wart severity assessment score of zero means the subject has no clinically diagnosable wart, a score of one means the subject has a barely evident clinically diagnosable wart, a score of two represents an obvious wart and a score of three represents a conspicuous wart. All of the subjects enrolled in this trial had a wart severity assessment score of at least two. The wart severity assessment score results are presented in the table below. The data from the trial showed statistically significant improvements in subjects treated with A-101 compared to vehicle control in the mean wart severity assessment score.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Change from Baseline in Wart Severity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144780</wp:posOffset>
            </wp:positionV>
            <wp:extent cx="4977765" cy="27806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77765" cy="278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trial also evaluated the mean wart improvement assessment score in subjects. The wart improvement assessment scale measures the level of improvement and ranges from zero to five. A wart improvement assessment score of zero means the common wart is completely cleared, a score of one means the wart markedly improved compared to baseline, a score of two means the wart moderately improved compared to baseline, a score of three means the wart mildly improved compared to baseline, a score of four means there was no change and a score of five means the wart worsened compared to baseline. The mean wart improvement assessment score results are presented in the table below. The data from the trial showed statistically significant improvements in subjects treated with A-101 compared to vehicle control in the mean wart improvement assessment score.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Mean Wart Improvement Assessment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144780</wp:posOffset>
            </wp:positionV>
            <wp:extent cx="4778375" cy="2397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78375" cy="239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A-101 was well tolerated in these subjects with no adverse events reported.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addition, we conducted 12-week toxicology studies in rats and minipigs. These studies were designed to enable us to evaluate a dose range trial over an extended period evaluating two concentrations of A-101 topical solution versus vehicle control in subjects with common warts. Based on these results and those of the investigator-sponsored trial, we are conducting additional toxicology studies and plan to commence Phase 2 clinical trials of A-101 for the treatment of common warts in the second half of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do not have any manufacturing facilities or personnel. We rely on third parties for the manufacture of A-101 for preclinical studies and clinical trials, and will continue to rely on third parties for the commercial manufacture of A-101 if it receives marketing approval. For hydrogen peroxide, the active pharmaceutical ingredient, or API, in A-101, we have entered into an exclusive, ten-year, automatically renewable supply agreement with PeroxyChem LLC, or PeroxyChem, a manufacturer of hydrogen peroxide, to provide the API that can be used in A-101 for the treatment of SK and a number of other specified dermatological indications. We or PeroxyChem may terminate the supply agreement with prior written notice immediately for specified financial reasons, after a 10-day and 60-day cure period for material monetary and non-monetary material breaches, respectively, and in the event of a force majeure event, including if the FDA does not approve A-101 for commercial sale in the United States, that continues for 90 consecutive days. In addition, we may terminate the PeroxyChem supply agreement, with prior written notice, for PeroxyChem's failure to supply API to us for more than 90 cumulative days in a year.</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For some of the components used in connection with the manufacture and assembly of the pen-type applicator for A-101, we purchase our components from third-party manufacturers on a purchase order basis and do not have supply arrangements in place. In addition, we have engaged third parties for the supply and assembly of components of the pen-type applicator and the assembly, labeling and packaging of the finished drug product to be used in our planned Phase 3 clinical trials and for commercial purposes, if A-101 is approved for marketing.</w:t>
      </w:r>
    </w:p>
    <w:p>
      <w:pPr>
        <w:spacing w:after="0" w:line="198"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Replacement of any of these third-party manufacturers would require us to qualify new manufacturers and negotiate and execute contractual agreements with them. If any of our supply or service agreements with third-party manufacturers are terminated, we will experience delays and additional expenses in the completion of the development of and obtaining regulatory approval for our lead drug candidate, A-101 for the treatment of SK.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23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For A-101, we expect to retain U.S. commercial rights and to establish collaborations with third parties to commercialize A-101 outside the United States. We have not established any meaningful sales, marketing or product distribution operations to date because A-101 is still in clinical development. We plan to establish the required capabilities within an appropriate time frame ahead of any potential drug approval and commercialization in order to support a commercial product launch. If we commercialize A-101, or any other drug candidates that we may successfully develop, in the United States, we intend to build a targeted sales force to establish relationships with dermatologists. We believe a scientifically oriented, customer-focused team of approximately 45 sales representatives would allow us to reach the approximately 5,000 dermatologists in the United States with the highest potential for using A-101, who we estimate account for over 70% of the procedures performed. We expect that our sales force will be supported by sales and marketing management, internal sales and marketing support and commercial product distribution support.</w:t>
      </w:r>
    </w:p>
    <w:p>
      <w:pPr>
        <w:spacing w:after="0" w:line="20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In a survey we commissioned in 2014, dermatologists who were presented the product profile for A-101 reacted favorably. Among 251 dermatologists who completed the survey, 85% indicated that they "definitely would" or "probably would" treat their patients with A-101. In addition, 77% said A-101 "improves treatment options extremely well" or "improves treatment options very well" for SK. Some of the dermatologists who completed the survey noted A-101 would be a good alternative to cryosurgery, could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utilized in patients that are not candidates for cryosurgery, such as darker-skinned patients and patients with numerous lesions, and could help grow practice revenue.</w:t>
      </w:r>
    </w:p>
    <w:p>
      <w:pPr>
        <w:spacing w:after="0" w:line="193"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believe dermatologists will be inclined to adopt A-101 to treat their patients with SK, if it is approved, not only because of its clinical profile, but also because it may provide an expanded source of revenue for their practices. Dermatologists expect declining reimbursements from third-party payors for providing medical services. In addition, a greater portion of the cost of medical care has been shifted to patients, in the form of higher deductibles and co-insurance. Collecting from patients can be difficult and costly for physician practices. We believe many dermatologists are interested in expanding the cash-pay aesthetic portion of their practices, meaning the portion of procedures that are not medically necessary and not reimbursed by third-party payors, by treating new aesthetic patients and by offering new services to current aesthetic patients. Though SK patients typically come into the dermatology practice seeking a medical diagnosis, we believe they often are willing to pay for removal of SK lesions to improve appearance even after they learn that the lesions are non-malignant and that removal may not be reimbursed. We expect the cost to patients for A-101, if approved, to be lower than many of the other minimally invasive cash-pay aesthetic procedures offered by dermatologists, such as dermal fillers, neuromodulators, laser hair removal, and intense pulsed light treatments. In addition, since A-101 can be administered by non-physician staff, we believe it could provide incremental practice revenue with minimal time commitment by the dermatologist after the diagnosis is made.</w:t>
      </w:r>
    </w:p>
    <w:p>
      <w:pPr>
        <w:spacing w:after="0" w:line="205"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In 2014, there were approximately 10,000 dermatologists practicing in the United States. We believe dermatologists tend to be particularly focused on the safety of pharmaceutical products because, while skin diseases can have profound effects on patients' quality of life, few are life-threatening. As a result, we believe that dermatologists, as well as their patients, often prefer to use topical treatments when possible to limit the risk of systemic side effects. Dermatologists also tend to place a high level of emphasis on products that are easy to use because they often manage high volumes of patients. We believe this also contributes to a general preference for topical treatments. Finally, in our experience, dermatologists tend to engage with sales and medical affairs personnel from the pharmaceutical industry regarding the scientific evidence supporting dermatology products and the challenges experienced by physicians and patients in the use of these products. Dermatologists often rely on trusted relationships with scientifically oriented, customer-focused sales representatives who can provide them with the necessary information to support their use of appropriate treatments.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and specialty pharmaceutical companies, academic institutions and governmental agencies and public and private research institutions. Any drug candidates that we successfully develop and commercialize will compete with existing treatments and new treatments that may become available in the future.</w:t>
      </w:r>
    </w:p>
    <w:p>
      <w:pPr>
        <w:spacing w:after="0" w:line="199"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The key competitive factors affecting the success of A-101, if approved for the treatment of SK, are likely to be its efficacy, safety, non-invasiveness, pain profile and ability to be administered by non-physician staff.</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With respect to A-101 for the treatment of SK, we are aware of one biopharmaceutical company, BioLineRx Ltd., that is developing a combination drug candidate that targets SK, and another company, Skincential Sciences, Inc., that currently markets a line of cosmetic products targeting skin conditions, including SK. Neither of these products have been approved by the FDA for use in the United States.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With respect to A-101 for the treatment of common warts, we are aware of one company, Nielsen BioSciences, that is developing a prescription treatment for common warts. We are aware of another company, G&amp;E Herbal Biotechnology Co., LTD, that intends to initiate a Phase 2 clinical trial of a gel as a prescription treatment for common warts. In addition, other drugs have been used off-label as treatments for common warts. We could also encounter competition from over-the-counter treatments for common warts.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A-101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drug candidates and to operate without infringing the proprietary rights of others. We seek to avoid the latter by monitoring patents and publications that may affect our business, and to the extent we identify such developments, evaluate and take appropriate courses of action. Our policy is to protect our proprietary position by, among other methods, filing for patent applications on inventions that are important to the development and conduct of our business with the U.S. Patent and Trademark Office, or USPTO, and its foreign counterparts.</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have two issued U.S. patents, one issued patent in each of Australia, Germany, United Kingdom, India, New Zealand, Mexico, and Singapore, and two pending U.S. provisional patent applications. We do not currently rely on licenses to any third party's intellectual property. The two U.S. patents include claims that cover the use of high-concentration hydrogen peroxide for the alleviation of SK and acrochordons, and the seven foreign patents include claims that cover the use of high-concentration hydrogen peroxide for the alleviation of various skin conditions, including SK, acrochordons, corns, tags, acne, warts and rosacea. The issued patents begin to expire in 2022, subject to any applicable patent term adjustment or extension that may be available.</w:t>
      </w:r>
    </w:p>
    <w:p>
      <w:pPr>
        <w:spacing w:after="0" w:line="2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two pending U.S. provisional patent applications are directed to various formulations comprising high-concentration hydrogen peroxide, dosing regimens for such formulations, applicators for use with such formulations, and methods of treating various skin conditions, including SK and common warts, by the topical administration of such formulations. We plan to pursue these applications by formally filing in the United States and internationally, including in the European Union. Any claims that issue from these formal filings will naturally expire in 2035, subject to any applicable patent term adjustment or extension that may be available.</w:t>
      </w:r>
    </w:p>
    <w:p>
      <w:pPr>
        <w:spacing w:after="0" w:line="199"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also use other forms of protection, such as trademark, copyright, and trade secret protection, to protect our intellectual property, particularly where we do not believe patent protection is appropriate or obtainable. We aim to take advantage of all of the intellectual property rights that are available to us and believe that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this comprehensive approach will provide us with proprietary positions for our drug candidates, where available.</w:t>
      </w:r>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and a patent's term may be lengthened by patent term adjustment, which compensates a patentee for administrative delays by the USPTO in granting a patent or by patent term extension, which compensates a patentee for delays at the FDA. The patent term of a European patent is 20 years from its filing date; however, unlike in the United States, the European patent does not grant patent term adjustments. The European Union does have a compensation program similar to patent term extension called supplementary patent certificate that would effectively extend patent protection for up to five years.</w:t>
      </w:r>
    </w:p>
    <w:p>
      <w:pPr>
        <w:spacing w:after="0" w:line="206" w:lineRule="exact"/>
        <w:rPr>
          <w:sz w:val="20"/>
          <w:szCs w:val="20"/>
          <w:color w:val="auto"/>
        </w:rPr>
      </w:pPr>
    </w:p>
    <w:p>
      <w:pPr>
        <w:jc w:val="both"/>
        <w:ind w:right="440"/>
        <w:spacing w:after="0" w:line="245" w:lineRule="auto"/>
        <w:rPr>
          <w:sz w:val="20"/>
          <w:szCs w:val="20"/>
          <w:color w:val="auto"/>
        </w:rPr>
      </w:pPr>
      <w:r>
        <w:rPr>
          <w:rFonts w:ascii="Arial" w:cs="Arial" w:eastAsia="Arial" w:hAnsi="Arial"/>
          <w:sz w:val="17"/>
          <w:szCs w:val="17"/>
          <w:color w:val="auto"/>
        </w:rPr>
        <w:t>We also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also require confidentiality or service agreements from third parties that receive our confidential information or materials.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Assignment Agreement and Finder's Services Agreement</w:t>
      </w:r>
    </w:p>
    <w:p>
      <w:pPr>
        <w:spacing w:after="0" w:line="23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In August 2012, we entered into an assignment agreement with the Estate of Mickey Miller, or the Miller Estate, under which we acquired some of the intellectual property rights covering A-101. The assignment of intellectual property rights covers specified know-how, along with modifications of, improvements to and variations on A-101 that meet defined chemical properties. Under the agreement, we have the sole and exclusive right, but not the duty, to develop, obtain regulatory approval for and commercialize A-101 worldwide. We are required to use commercially reasonable efforts to develop and commercialize at least one product for at least one indication in the United States. In connection with obtaining the assignment of the intellectual property from the Miller Estate, we also entered into a separate finder's services agreement with KPT Consulting, LLC.</w:t>
      </w:r>
    </w:p>
    <w:p>
      <w:pPr>
        <w:spacing w:after="0" w:line="20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Under the terms of the assignment agreement and the finder's services agreement, we made aggregate upfront payments of $0.6 million in 2012 and one-time milestone payments of $0.4 million in 2013 upon the dosing of the first human subject with A-101 in our Phase 2 clinical trial. There are no remaining potential milestone payments under the assignment agreement. Under the finder's services agreement, we are obligated to make additional milestone payments of up to $1.3 million in the aggregate upon the achievement of specified development and regulatory milestones and up to</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$4.5 million upon the achievement of specified commercial milestones. Under each of the assignment agreement and the finder's services agreement, we are also obligated to pay royalties on sales of A-101 or related products, at low single-digit percentages of net sales, subject to reduction in specified circumstances. We have not made any royalty payments to date under either agreement. Both agreements will terminate upon the expiration of the last pending, viable patent claim of the patents acquired under the assignment agreement, but no sooner than 15 years from the effective date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231" w:lineRule="exact"/>
        <w:rPr>
          <w:sz w:val="20"/>
          <w:szCs w:val="20"/>
          <w:color w:val="auto"/>
        </w:rPr>
      </w:pPr>
    </w:p>
    <w:p>
      <w:pPr>
        <w:jc w:val="both"/>
        <w:ind w:right="260"/>
        <w:spacing w:after="0" w:line="246" w:lineRule="auto"/>
        <w:rPr>
          <w:sz w:val="20"/>
          <w:szCs w:val="20"/>
          <w:color w:val="auto"/>
        </w:rPr>
      </w:pPr>
      <w:r>
        <w:rPr>
          <w:rFonts w:ascii="Arial" w:cs="Arial" w:eastAsia="Arial" w:hAnsi="Arial"/>
          <w:sz w:val="17"/>
          <w:szCs w:val="17"/>
          <w:color w:val="auto"/>
        </w:rPr>
        <w:t>Governmental authorities in the United States, at the federal, state and local level, and analogous authorities in other countries extensively regulate, among other things, the research, development, testing, manufacture, safety surveillance, efficacy, quality control, labeling, packaging, distribution, record keeping, promotion, storage, advertising, distribution, marketing, sale, export and import, and the reporting of safety</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and other post-market information of products such as the one we are developing. A drug candidate, such as A-101, must be approved by the FDA before it may be legally promoted in the United States and by comparable foreign regulatory authorities before marketing in other jurisdictions. A-101 and any future drug candidates we may develop will be subject to similar requirements in other countries outside of the European Union and the United States prior to marketing in those countries. The process of obtaining regulatory approvals and the subsequent compliance with applicable federal, state, local and foreign statutes and regulations require the expenditure of substantial time and resources. Failure to comply with the applicable U.S. requirements at any time during the product development process, approval process or after approval may subject an applicant and/or sponsor to a variety of administrative or judicial sanctions, including refusal by regulatory authorities to approve applications, withdrawal of an approval, imposition of a clinical hold, import/export delays, issuance of warning letters and untitled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Government Regulation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NDA Approval Processes</w:t>
      </w:r>
    </w:p>
    <w:p>
      <w:pPr>
        <w:spacing w:after="0" w:line="22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the United States, the FDA regulates drug and medical device products under the Federal Food, Drug, and Cosmetic Act, or FDCA, and its implementing regulations. Our drug candidates are comprised of both a drug component (the hydrogen peroxide solution or gel) and a pen-type applicator. In the case of our drug candidates, the FDA's Center for Drug Evaluation and Research has primary jurisdiction over the premarket development, review and approval of our drug candidates. Accordingly, we are investigating our drug candidates pursuant to IND applications and expect to seek approval through the NDA pathway. Based on our discussions with the FDA to date, we do not anticipate that the FDA will require us to submit a separate marketing application for the pen-type applicator that will be used with our drug candidates, but this could change during the course of the FDA's review of our NDA.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An applicant seeking approval to market and distribute a new drug product in the United States must typically undertake the following:</w:t>
      </w:r>
    </w:p>
    <w:p>
      <w:pPr>
        <w:spacing w:after="0" w:line="224" w:lineRule="exact"/>
        <w:rPr>
          <w:sz w:val="20"/>
          <w:szCs w:val="20"/>
          <w:color w:val="auto"/>
        </w:rPr>
      </w:pPr>
    </w:p>
    <w:p>
      <w:pPr>
        <w:ind w:left="1060" w:right="220" w:hanging="531"/>
        <w:spacing w:after="0" w:line="25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submission to the FDA of an IND which must take effect before clinical trials may begin;</w:t>
      </w:r>
    </w:p>
    <w:p>
      <w:pPr>
        <w:spacing w:after="0" w:line="210"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clinical testing may be initiated at the clinical site;</w:t>
      </w:r>
    </w:p>
    <w:p>
      <w:pPr>
        <w:spacing w:after="0" w:line="192"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or GCP, regulations to establish the safety and efficacy of the proposed drug product for each indication;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preparation and submission to the FDA of a NDA;</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review of the NDA by a FDA advisory committee, if applicable;</w:t>
      </w:r>
    </w:p>
    <w:p>
      <w:pPr>
        <w:spacing w:after="0" w:line="210"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or its components are produced to assess compliance with current good manufacturing practices, or cGMP, regulations to assure that the facilities, methods and controls are adequate to preserve the product's identity, strength, quality and purity;</w:t>
      </w:r>
    </w:p>
    <w:p>
      <w:pPr>
        <w:spacing w:after="0" w:line="211"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payment of user fees and securing FDA approval of the NDA; and</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potential requirements for a risk evaluation and mitigation strategy and post-approval studies required by the FDA.</w:t>
      </w:r>
    </w:p>
    <w:p>
      <w:pPr>
        <w:spacing w:after="0" w:line="19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Once a drug candidate is identified for development, it enters the preclinical or nonclinical testing stage. Preclinical studies include laboratory evaluations of product chemistry, toxicity and formulation, as well as animal studies. An IND sponsor must submit the results of the preclinical studies, together with manufacturing information and analytical data, to the FDA as part of the IND. Some preclinical studies may continue even after the IND is submitted. In addition to including the results of the preclinical studies,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120"/>
        <w:spacing w:after="0" w:line="244" w:lineRule="auto"/>
        <w:rPr>
          <w:sz w:val="20"/>
          <w:szCs w:val="20"/>
          <w:color w:val="auto"/>
        </w:rPr>
      </w:pPr>
      <w:r>
        <w:rPr>
          <w:rFonts w:ascii="Arial" w:cs="Arial" w:eastAsia="Arial" w:hAnsi="Arial"/>
          <w:sz w:val="17"/>
          <w:szCs w:val="17"/>
          <w:color w:val="auto"/>
        </w:rPr>
        <w:t>IND will also include a protocol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clinical trials or all clinical trials conducted under the IND.</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current Good Clinical Practices regulations. They must be conducted under protocols detailing the objectives of the trial, dosing procedures, research subject selection and exclusion criteria and the safety and effectiveness criteria to be evaluated. Each protocol must be submitted to the FDA as part of the IND, and progress reports detailing the status of the clinical trials must be submitted to the FDA annually. Sponsors also must timely report to FDA serious and unexpected adverse reactions, any clinically important increase in the rate of a serious suspected adverse reaction over that listed in the protocol or investigator brochure, or any findings from other studies or animal or in vitro testing that suggest a significant risk in humans exposed to the drug. An institutional review board, or IRB, at each institution participating in the clinical trial must review and approve the protocol before the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are typically conducted in three sequential phases that may overlap or be combined:</w:t>
      </w:r>
    </w:p>
    <w:p>
      <w:pPr>
        <w:spacing w:after="0" w:line="204" w:lineRule="exact"/>
        <w:rPr>
          <w:sz w:val="20"/>
          <w:szCs w:val="20"/>
          <w:color w:val="auto"/>
        </w:rPr>
      </w:pPr>
    </w:p>
    <w:p>
      <w:pPr>
        <w:ind w:left="1060" w:hanging="531"/>
        <w:spacing w:after="0" w:line="253"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drug is initially introduced into healthy human subjects and tested for safety, dosage tolerance, absorption, metabolism,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and elimination. In the case of some products for severe or life-threatening diseases, such as cancer, and especially when the product may be inherently too toxic to ethically administer to healthy volunteers, the initial human testing is often conducted in patients who already have the condition.</w:t>
      </w:r>
    </w:p>
    <w:p>
      <w:pPr>
        <w:spacing w:after="0" w:line="185" w:lineRule="exact"/>
        <w:rPr>
          <w:rFonts w:ascii="Arial" w:cs="Arial" w:eastAsia="Arial" w:hAnsi="Arial"/>
          <w:sz w:val="17"/>
          <w:szCs w:val="17"/>
          <w:color w:val="auto"/>
        </w:rPr>
      </w:pPr>
    </w:p>
    <w:p>
      <w:pPr>
        <w:ind w:left="1060" w:right="240" w:hanging="531"/>
        <w:spacing w:after="0" w:line="276"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Clinical trials are performed on a limited patient population intended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w:t>
      </w:r>
    </w:p>
    <w:p>
      <w:pPr>
        <w:spacing w:after="0" w:line="153" w:lineRule="exact"/>
        <w:rPr>
          <w:rFonts w:ascii="Arial" w:cs="Arial" w:eastAsia="Arial" w:hAnsi="Arial"/>
          <w:sz w:val="17"/>
          <w:szCs w:val="17"/>
          <w:color w:val="auto"/>
        </w:rPr>
      </w:pPr>
    </w:p>
    <w:p>
      <w:pPr>
        <w:ind w:left="1060" w:right="260" w:hanging="531"/>
        <w:spacing w:after="0" w:line="253"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If a drug candidate is found to be potentially effective and to have an acceptable safety profile in Phase 2 clinical trials,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trial program will be expanded to Phase 3 clinical trials to further evaluate dosage, clinical efficacy and safety in an expanded patient population at geographically dispersed clinical trial sites. These studies are intended to establish the overall risk-benefit ratio of the product and provide an adequate basis for product approval and labeling claims.</w:t>
      </w:r>
    </w:p>
    <w:p>
      <w:pPr>
        <w:spacing w:after="0" w:line="192"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Phase 4 clinical trials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some cases, clinical trials are overseen by an independent group of qualified experts organized by the trial sponsor, which is called the clinical monitoring board or data safety monitoring board. This group provides authorization for whether or not a trial may move forward at designated check points. These decisions are based on the limited access to data from the ongoing trial.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the submission of an IND, at the end-of-Phase 2 and before a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end-of-Phase 2 to discuss their Phase 2 clinical trial results and present their plans for the pivotal Phase 3 clinical trial or trials that they believe will support the approval of the new drug.</w:t>
      </w:r>
    </w:p>
    <w:p>
      <w:pPr>
        <w:spacing w:after="0" w:line="19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Concurrent with clinical trials, sponsors usually complete additional animal safety studies and also develop additional information about the chemistry and physical characteristics of the drug and finalize a process for manufacturing commercial quantities of the product in accordance with cGMP requirements. The manufacturing process must be capable of consistently producing quality batches of the drug and the manufacturer must develop methods for testing the quality, purity and potency of the drug. Additionally, appropriate packaging must be selected and tested and stability studies must be conducted to demonstrate that the drug candidate does not undergo unacceptable deterioration over its proposed shelf-life.</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results of product development, preclinical studies and clinical trials, along with descriptions of the manufacturing process, analytical tests and other control mechanisms, proposed labeling and other relevant information are submitted to the FDA as part of a NDA requesting approval to market the product. The submission of a NDA is subject to the payment of user fees, but a waiver of such fees may be obtained under specified circumstances. The FDA reviews all NDAs submitted for a period of 60 days to ensure that they are sufficiently complete for substantive review before it accepts them for filing. It may request additional information rather than accept a NDA for filing. In this event, the NDA must be resubmitted with the additional information. The resubmitted application also is subject to review before the FDA accepts it for filing.</w:t>
      </w:r>
    </w:p>
    <w:p>
      <w:pPr>
        <w:spacing w:after="0" w:line="20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Once the submission is accepted for filing, the FDA begins an in-depth review. The FDA reviews a NDA to determine, among other things, whether a product is safe and effective for its intended use and whether its manufacturing is cGMP-compliant. The FDA may refer the NDA to an advisory committee for review and recommendation as to whether the application should be approved and under what conditions. The FDA is not bound by the recommendation of an advisory committee, but it generally follows such recommendations. NDAs receive either standard or priority review. A drug representing a significant improvement in treatment, prevention or diagnosis of disease may receive priority review. A priority review designation is intended to direct overall attention and resources to the evaluation of such applications, and to shorten the FDA's goal for taking action on the NDA from ten months to six months from FDA filing of the NDA. 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data and information are submitted, the FDA may ultimately decide that the NDA does not satisfy the criteria for approval.</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Post-approval Requirements</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and other governmental agencies, including, among other things, requirements relating to recordkeeping, periodic reporting, product sampling and distribution, advertising and promotion and reporting of adverse experiences with the product. 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manufacturing changes and additional labeling claims, are subject to further FDA review and approval. There also are continuing, annual user fee requirements for products and the establishments at which such products are manufactured, as well as new application fees for certain supplemental applications.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Drug manufacturers and other entities involved in the manufacture and distribution of approved drugs are required to register their establishments with the FDA and certain state agencies, and are subject to periodic unannounced inspections by the FDA and some state agencies for compliance with GMP regulations and other laws. The FDA has promulgated specific requirements for drug cGMPs and device cGMPs embodied in the Quality System Regulation.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Failure to comply with the applicable United States requirements at any time during the product development process or approval process, or after approval, may subject us to administrative or judicial sanctions, any of which could have a material adverse effect on us. These sanctions could include:</w:t>
      </w:r>
    </w:p>
    <w:p>
      <w:pPr>
        <w:spacing w:after="0" w:line="212"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refusal to approve pending applications;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withdrawal of an approval;</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imposition of a clinical hold;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product seizures or detention, or refusal to permit the import or export of products;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total or partial suspension of production or distribution or product recalls; or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injunctions, fines, disgorgement, or civil or criminal penalties.</w:t>
      </w:r>
    </w:p>
    <w:p>
      <w:pPr>
        <w:spacing w:after="0" w:line="211"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The FDA strictly regulates the marketing, labeling, advertising and promotion of drug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9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issued revised or reinterpreted by the agency in ways that may significantly affect our business and our products. It is impossible to predict whether legislative changes will be enacted, or whether FDA regulations, guidance or interpretations will be issued or changed or what the impact of such changes, if any, may be.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Non-patent Exclusivity</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Because we believe that an NDA has never been approved for hydrogen peroxide, we believe that our product qualifies as a new chemical entity and is entitled to a five year period of market exclusivity under the FDCA if approved, but FDA may disagree with our interpretation.</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market exclusivity is granted,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of the United States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addition to regulations in the United States, we will be subject to regulations of other countries governing our business activities, including, our clinical trials and the commercial sale and distribution of our product. Even if we obtain FDA approval for a product, we must obtain approval by the comparable regulatory authorities of countries outside of the United States before we can commence clinical trials in such countries and approval of the regulators of such countries or economic areas, such as the European Union, or EU, before we may market products in those countries or areas. The approval process and requirements governing the conduct of clinical trials, product licensing and promotion, pricing and reimbursement vary greatly by geographic region, and the time may be longer or shorter than that required for FDA approval.</w:t>
      </w:r>
    </w:p>
    <w:p>
      <w:pPr>
        <w:spacing w:after="0" w:line="202" w:lineRule="exact"/>
        <w:rPr>
          <w:sz w:val="20"/>
          <w:szCs w:val="20"/>
          <w:color w:val="auto"/>
        </w:rPr>
      </w:pPr>
    </w:p>
    <w:p>
      <w:pPr>
        <w:ind w:right="320"/>
        <w:spacing w:after="0" w:line="241" w:lineRule="auto"/>
        <w:rPr>
          <w:sz w:val="20"/>
          <w:szCs w:val="20"/>
          <w:color w:val="auto"/>
        </w:rPr>
      </w:pPr>
      <w:r>
        <w:rPr>
          <w:rFonts w:ascii="Arial" w:cs="Arial" w:eastAsia="Arial" w:hAnsi="Arial"/>
          <w:sz w:val="17"/>
          <w:szCs w:val="17"/>
          <w:color w:val="auto"/>
        </w:rPr>
        <w:t>Under EU regulatory systems, a company may submit a Market Authorization Application, or MAA, either under a centralized or decentralized procedure. The centralized procedure, which is compulsory for medicines produced by biotechnology or those medicines intended to treat AIDS, cancer, neurodegenerative disorders or diabetes and optional for those medicines which are highly innovative, provides for the grant of a single marketing authorization that is valid for all EU member states. The decentralized procedure provides for mutual recognition of national approval decisions. Under this procedure, the holder of a national marketing authorization may submit an application to the remaining member states. Within</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Marketing exclusivities are also available in the European Union and certain other foreign jurisdictions. For example, in the European Union, the EMA is prohibited from approving an MAA for ten years from first approval of the reference product. We intend to rely on any available marketing exclusivity for A-101 with respect to potential commercialization in Europe.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3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Although we currently do not have any products on the market we are subject to additional healthcare regulation and enforcement by the federal government and by authorities in the states and foreign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jurisdictions in which we conduct our business. Such laws include, without limitation, state and federal anti-kickback, fraud and abuse, false claims, physician sunshine and privacy and security laws.</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Violations of this law are punishable by up to five years in prison, and can also result in criminal fines, civil money penalties, administrative penalties and exclusion from participation in federal healthcare programs.</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9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our future activities relating to the sale and marketing of our product are subject to scrutiny under this law. Penalties for the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 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Also, many states have similar fraud and abuse statutes or regulations that may be broader in scope and may apply regardless of payor, in addition to items and services reimbursed under Medicaid and other state programs. Additionally, to the extent that our product is sold in a foreign country, we may be subject to similar foreign laws.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imposed, among other things, new annual reporting requirements for covered manufacturers for certain payments and other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to the Centers for Medicare and Medicaid Services by the 90th day of each calendar year. Certain states also mandate implementation of compliance programs, impose restrictions on drug manufacturer marketing practices and/or require the tracking and reporting of gifts, compensation and other remuneration to physicians.</w:t>
      </w:r>
    </w:p>
    <w:p>
      <w:pPr>
        <w:spacing w:after="0" w:line="2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we intend to commercialize a product that could be reimbursed under a federal healthcare program and other governmental healthcare programs, we intend to develop a comprehensive compliance program that establishes internal controls to facilitate adherence to the rules and program requirements to which we will or may become subject. Although the development and implementation of compliance programs designed to establish internal controls and facilitate compliance can mitigate the risk of investigation, prosecution, and penalties assessed for violations of these laws, or any other laws that may apply to us, the risks cannot be entirely eliminated. If our operations are found to be in violation of any of such laws or any other governmental regulations,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20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for Economic and Clinical Health Act, or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namely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Care Reform</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For example, in March 2010, the Affordable Care Act was passed, which has had, and is expected to continue to have, a significant impact on the healthcare industry. The Affordable Care Act was designed to expand coverage for the uninsured while at the same time containing overall healthcare costs. With regard to pharmaceutical products, among other things, the Affordable Care Act expanded and increased industry rebates for drugs covered under Medicaid programs; addressed a new methodology by which rebates owed by manufacturers under the Medicaid Drug Rebate Program are calculated for drugs that are inhaled, infused, instilled, implanted or injected; extended the rebate program to individuals enrolled in Medicaid managed care organizations; established annual fees and taxes on manufacturers of certain branded prescription drugs; and made changes to the coverage requirements under the Medicare prescription drug benefit; and established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Moreover,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We continue to evaluate the effect that the Affordable Care Act will have on our business. In the coming years, additional legislative and regulatory changes could be made to governmental health programs that could significantly impact pharmaceutical companies and the success of our drug candidates.</w:t>
      </w:r>
    </w:p>
    <w:p>
      <w:pPr>
        <w:spacing w:after="0" w:line="2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2% per fiscal year, which went into effect beginning on April 1, 2013 and, due to subsequent legislative amendments to the statute, will stay in effect through 2024 unless additional Congressional action is taken. Additionally, in January 2013, the American Taxpayer Relief Act of 2012 was signed into law, which, among other things, reduced Medicare payments to several providers, including hospitals, cancer treatment centers and imaging centers.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205"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Affordable Care Act, as well as other federal and state healthcare reform measures that have been and may be adopted in the future, could harm our future revenue. We are not sure whether additional legislative changes will be enacted, or whether the current regulations, guidance or interpretations will be changed, or what the impact of such changes on our business, if any, may be.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Hatch Waxman Amendments to the FDC Act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Orange Book Listing</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seeking approval for a drug through a NDA, applicants are required to list with the FDA each patent whose claims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an application covered by Section 505(b)(2) of the Federal Food, Drug, and Cosmetic Act, or FDCA. An ANDA provides for marketing of a drug product that has the same active ingredients, generally in the same strengths and dosage form, as the listed drug and has been shown through pharmacokinetic, or PK, testing to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bioequivalent to the listed drug. Drugs approved in this way are commonly referred to as "generic equivalents" to the listed drug, and can often be substituted by pharmacists under prescriptions written for the original listed drug. Other than the requirement for bioequivalence testing, ANDA applicants are generally not required to conduct, or submit results of, preclinical studies or clinical tests to prove the safety or effectiveness of their drug product. Section 505(b)(2) applications provide for marketing of a drug product that may have the same active ingredients as the listed drug and contains full safety and effectiveness data as a NDA, but at least some of this information comes from studies not conducted by or for the applicant. This alternate regulatory pathway enables the applicant to rely, in part, on the FDA's findings of safety and efficacy for an existing product, or published literature, in support of its application. The FDA may then approve the new drug candidate for all or some of the labeled indications for which the referenced product has been approved, as well as for any new indication sought by the 505(b)(2) applicant.</w:t>
      </w:r>
    </w:p>
    <w:p>
      <w:pPr>
        <w:spacing w:after="0" w:line="20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ANDA or Section 505(b)(2)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or Section 505(b)(2) applicant may also elect to submit a statement certifying that its proposed ANDA label does not contain ,or carves out, any language regarding a patented method of use rather than certify to such listed method of use patent. If the applicant does not challenge the listed patents by filing a certification that the listed patent is invalid or will not be infringed by the new product, the ANDA or Section 505(b)(2) application will not be approved until all the listed patents claiming the referenced product have expired.</w:t>
      </w:r>
    </w:p>
    <w:p>
      <w:pPr>
        <w:spacing w:after="0" w:line="2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is called a Paragraph IV certification. If the ANDA or Section 505(b)(2) applicant has provided a Paragraph IV certification to the FDA, the applicant must also send notice of the Paragraph IV certification to the NDA and patent holders once the ANDA or Section 505(b)(2)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Section 505(b)(2) application until the earliest of 30 months, expiration of the patent, settlement of the lawsuit, and a decision in the infringement case that is favorable to the ANDA or Section 505(b)(2) applicant. This prohibition is generally referred to as the 30-month stay. Thus, approval of an ANDA or 505(b)(2) NDA could be delayed for a significant period of time depending on the patent certification the applicant makes and the reference drug sponsor's decision to initiate patent litigation.</w:t>
      </w:r>
    </w:p>
    <w:p>
      <w:pPr>
        <w:spacing w:after="0" w:line="206" w:lineRule="exact"/>
        <w:rPr>
          <w:sz w:val="20"/>
          <w:szCs w:val="20"/>
          <w:color w:val="auto"/>
        </w:rPr>
      </w:pPr>
    </w:p>
    <w:p>
      <w:pPr>
        <w:ind w:right="580"/>
        <w:spacing w:after="0" w:line="252" w:lineRule="auto"/>
        <w:rPr>
          <w:sz w:val="20"/>
          <w:szCs w:val="20"/>
          <w:color w:val="auto"/>
        </w:rPr>
      </w:pPr>
      <w:r>
        <w:rPr>
          <w:rFonts w:ascii="Arial" w:cs="Arial" w:eastAsia="Arial" w:hAnsi="Arial"/>
          <w:sz w:val="17"/>
          <w:szCs w:val="17"/>
          <w:color w:val="auto"/>
        </w:rPr>
        <w:t>The ANDA or Section 505(b)(2) application also will not be approved until any applicable non patent exclusivity listed in the Orange Book for the referenced product has expired.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intend to list any patents that are eligible for listing in the Orange Book in our NDA.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Patent Term Extension</w:t>
      </w:r>
    </w:p>
    <w:p>
      <w:pPr>
        <w:spacing w:after="0" w:line="22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In the United States, after NDA approval, owners of relevant drug patents may apply for up to a five year patent extension, which provides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allowable patent term extension is calculated as half of the drug's testing phase, which is the time between the IND submission becoming effective and the NDA submission, and all of the review phase, which is the time between NDA submission and approval, up to a maximum extension of five years. The time can be shortened if the FDA determines that the applicant did not pursue approval with due diligence. Patent extension cannot extend the remaining term of a patent beyond a total of 14 years from the date of product approval and only one patent applicable to an approved drug may be extended.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Similar provisions are available in the European Union and other foreign jurisdictions to extend the term of a patent that covers an approved drug. For example, in Japan, it may be possible to extend the patent term for up to five years and in the European Union, it may be possible to obtain a supplementary patent certificate that would effectively extend patent protection for up to five years. In the future, if our drug candidates receive FDA approval, we expect to apply for patent term extensions on patents covering those drugs.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3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We do not expect third-party payors to cover and reimburse customers who use A-101 or A-102 on patients for the treatment of SK. Payors generally do not reimburse the provider for the product used to remove non-malignant lesions, including SK. In addition, they do not generally reimburse providers for the procedure removing such lesions, since the procedure is considered to be cosmetic in nature, unless there is a medical need to remove the lesion such as confirming a diagnosis with a biopsy or treating SK that are causing the patient physical discomfort. We anticipate that in some cases, our drug candidates will be used to remove SK lesions that are inflamed and causing the patient discomfort. Any reduction in reimbursement for the procedure to remove inflamed SK may result in a higher percentage of patients needing to pay out of pocket for treatment with our drug candidates. Accordingly, the commercial success with A-101 and A-102 depends on the extent to which patients will be willing to pay out of pocket for the in-office procedure using these drug candidates.</w:t>
      </w:r>
    </w:p>
    <w:p>
      <w:pPr>
        <w:spacing w:after="0" w:line="206"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By contrast, in the case of A-101 and A-102 for the treatment of common warts, we believe our success depends on continued coverage and adequate reimbursement for in-office wart treatment procedures or in the absence of coverage and adequate reimbursement, on the extent to which patients will be willing to pay out of pocket for the in-office procedures that include our product.</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Third-party payors determine which medical procedures they will cover and establish reimbursement levels. Even if a third-party payor covers a particular procedure, the resulting reimbursement payment rates may not be adequate. Patients who are treated in-office for a medical condition generally rely on third-party payors to reimburse all or part of the costs associated with the procedure and may be unwilling to undergo such procedures for the removal of warts in the absence of such coverage and reimbursement. Physicians may be unlikely to offer procedures for the treatment of warts if they are not covered by insurance and may be unlikely to purchase and use our product for warts unless coverage is provided and reimbursement is adequate.</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neither cosmetic, experimental, nor investigational; safe, effective, and medically necessary; appropriate for the specific patient; cost-effective; supported by peer-reviewed medical journals; and included in clinical practice guidelines.</w:t>
      </w:r>
    </w:p>
    <w:p>
      <w:pPr>
        <w:spacing w:after="0" w:line="199"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In the United States, no uniform policy of coverage and reimbursement for medical procedures exists among third-party payors. Therefore, coverage and reimbursement for procedures can differ significantly from payor to payor. Decisions regarding the extent of coverage and amount of reimbursement to be provided for an in-office procedure to remove warts are made on a plan by plan basis. One payor's determination to provide coverage for a procedure does not assure that other payors will also provide coverage, and adequate reimbursement.</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for procedures during which our drug candidates will be used. To the extent the procedure using our drug candidates would be covered, the cost of our drugs generally is recovered by the healthcare provider as part of the payment for performing a procedure and not separately reimbursed. Accordingly, these updates could impact the demand for our drug candidates. An example of payment updates is the Medicare program's updates to hospital and physician payments, which are done on an annual basis using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prescribed statutory formula. In the past, when the application of the formula resulted in lower payment, Congress has passed interim legislation to prevent the reductions. Most recently, the Protecting Access to Medicare Act of 2014, signed into law in April 2014, provided for a 0.5% update from 2013 payment rates under the Medicare Physician Fee Schedule through 2014 and a 0% update from January 1 until March 31, 2015. If Congress fails to intervene to prevent the negative update factor in future years, we could face a decline in revenue to the extent any of our drug candidates receive regulatory approval and procedures using these drug candidates are covered for reimbursement.</w:t>
      </w:r>
    </w:p>
    <w:p>
      <w:pPr>
        <w:spacing w:after="0" w:line="199"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Foreign governments also have their own healthcare reimbursement systems, which vary significantly by country and region, and we cannot be sure that coverage and adequate reimbursement will be made available with respect to the treatments in which our drugs are used under any foreign reimbursement system.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As of March 31, 2015, we had ten employees. All of our employees are located in the United States. None of our employees is represented by a labor union or covered by a collective bargaining agreement. We consider our relationship with our employees to be good.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sublease 4,833 square feet of space for our headquarters in Malvern, Pennsylvania under a sublease with a term through November 30, 2016, subject to renewal for at least two six-month terms. We sublease this space from an entity affiliated with some of our executive officers and directors. See "Certain Relationships and Related Party Transactions — Subleases" for a description of the terms of this sublease.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are not subject to any material legal proceedings.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our directors and executive officers, including their ages as of January 31, 2015:</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r>
      <w:tr>
        <w:trPr>
          <w:trHeight w:val="190"/>
        </w:trPr>
        <w:tc>
          <w:tcPr>
            <w:tcW w:w="30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i w:val="1"/>
                <w:iCs w:val="1"/>
                <w:color w:val="auto"/>
              </w:rPr>
              <w:t>Executive Officers: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16"/>
                <w:szCs w:val="16"/>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Neal Walker</w:t>
            </w:r>
          </w:p>
        </w:tc>
        <w:tc>
          <w:tcPr>
            <w:tcW w:w="420" w:type="dxa"/>
            <w:vAlign w:val="bottom"/>
          </w:tcPr>
          <w:p>
            <w:pPr>
              <w:jc w:val="center"/>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Scientific Officer</w:t>
            </w:r>
          </w:p>
        </w:tc>
      </w:tr>
      <w:tr>
        <w:trPr>
          <w:trHeight w:val="236"/>
        </w:trPr>
        <w:tc>
          <w:tcPr>
            <w:tcW w:w="3020" w:type="dxa"/>
            <w:vAlign w:val="bottom"/>
            <w:gridSpan w:val="3"/>
            <w:shd w:val="clear" w:color="auto" w:fill="CCEEFF"/>
          </w:tcPr>
          <w:p>
            <w:pPr>
              <w:ind w:left="16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55</w:t>
            </w:r>
          </w:p>
        </w:tc>
        <w:tc>
          <w:tcPr>
            <w:tcW w:w="1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Chief Legal Officer</w:t>
            </w:r>
          </w:p>
        </w:tc>
      </w:tr>
      <w:tr>
        <w:trPr>
          <w:trHeight w:val="236"/>
        </w:trPr>
        <w:tc>
          <w:tcPr>
            <w:tcW w:w="3020" w:type="dxa"/>
            <w:vAlign w:val="bottom"/>
            <w:gridSpan w:val="3"/>
          </w:tcPr>
          <w:p>
            <w:pPr>
              <w:ind w:left="160"/>
              <w:spacing w:after="0" w:line="236" w:lineRule="exact"/>
              <w:rPr>
                <w:sz w:val="20"/>
                <w:szCs w:val="20"/>
                <w:color w:val="auto"/>
              </w:rPr>
            </w:pPr>
            <w:r>
              <w:rPr>
                <w:rFonts w:ascii="Arial" w:cs="Arial" w:eastAsia="Arial" w:hAnsi="Arial"/>
                <w:sz w:val="17"/>
                <w:szCs w:val="17"/>
                <w:color w:val="auto"/>
              </w:rPr>
              <w:t>Frank Ruffo</w:t>
            </w:r>
            <w:r>
              <w:rPr>
                <w:rFonts w:ascii="Arial" w:cs="Arial" w:eastAsia="Arial" w:hAnsi="Arial"/>
                <w:sz w:val="27"/>
                <w:szCs w:val="27"/>
                <w:color w:val="auto"/>
                <w:vertAlign w:val="superscript"/>
              </w:rPr>
              <w:t>(1)</w:t>
            </w:r>
          </w:p>
        </w:tc>
        <w:tc>
          <w:tcPr>
            <w:tcW w:w="420" w:type="dxa"/>
            <w:vAlign w:val="bottom"/>
          </w:tcPr>
          <w:p>
            <w:pPr>
              <w:jc w:val="center"/>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406"/>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Non-Management Directors:</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20" w:type="dxa"/>
            <w:vAlign w:val="bottom"/>
            <w:shd w:val="clear" w:color="auto" w:fill="CCEEFF"/>
          </w:tcPr>
          <w:p>
            <w:pPr>
              <w:spacing w:after="0"/>
              <w:rPr>
                <w:sz w:val="24"/>
                <w:szCs w:val="24"/>
                <w:color w:val="auto"/>
              </w:rPr>
            </w:pP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Stephen A. Tullman</w:t>
            </w:r>
          </w:p>
        </w:tc>
        <w:tc>
          <w:tcPr>
            <w:tcW w:w="420" w:type="dxa"/>
            <w:vAlign w:val="bottom"/>
          </w:tcPr>
          <w:p>
            <w:pPr>
              <w:jc w:val="center"/>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Chairman of the Board of Directors</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Albert Cha, M.D., Ph.D.</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42</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Anand Mehra, M.D.</w:t>
            </w:r>
          </w:p>
        </w:tc>
        <w:tc>
          <w:tcPr>
            <w:tcW w:w="420" w:type="dxa"/>
            <w:vAlign w:val="bottom"/>
          </w:tcPr>
          <w:p>
            <w:pPr>
              <w:jc w:val="center"/>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197"/>
        </w:trPr>
        <w:tc>
          <w:tcPr>
            <w:tcW w:w="30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Christopher Molineaux</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7"/>
        </w:trPr>
        <w:tc>
          <w:tcPr>
            <w:tcW w:w="3020" w:type="dxa"/>
            <w:vAlign w:val="bottom"/>
            <w:gridSpan w:val="3"/>
          </w:tcPr>
          <w:p>
            <w:pPr>
              <w:ind w:left="160"/>
              <w:spacing w:after="0"/>
              <w:rPr>
                <w:sz w:val="20"/>
                <w:szCs w:val="20"/>
                <w:color w:val="auto"/>
              </w:rPr>
            </w:pPr>
            <w:r>
              <w:rPr>
                <w:rFonts w:ascii="Arial" w:cs="Arial" w:eastAsia="Arial" w:hAnsi="Arial"/>
                <w:sz w:val="17"/>
                <w:szCs w:val="17"/>
                <w:color w:val="auto"/>
              </w:rPr>
              <w:t>Ketan Patel, M.D.</w:t>
            </w:r>
          </w:p>
        </w:tc>
        <w:tc>
          <w:tcPr>
            <w:tcW w:w="420" w:type="dxa"/>
            <w:vAlign w:val="bottom"/>
          </w:tcPr>
          <w:p>
            <w:pPr>
              <w:jc w:val="center"/>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w:t>
            </w:r>
          </w:p>
        </w:tc>
      </w:tr>
      <w:tr>
        <w:trPr>
          <w:trHeight w:val="94"/>
        </w:trPr>
        <w:tc>
          <w:tcPr>
            <w:tcW w:w="38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520" w:type="dxa"/>
            <w:vAlign w:val="bottom"/>
          </w:tcPr>
          <w:p>
            <w:pPr>
              <w:spacing w:after="0"/>
              <w:rPr>
                <w:sz w:val="8"/>
                <w:szCs w:val="8"/>
                <w:color w:val="auto"/>
              </w:rPr>
            </w:pPr>
          </w:p>
        </w:tc>
      </w:tr>
    </w:tbl>
    <w:p>
      <w:pPr>
        <w:spacing w:after="0" w:line="214" w:lineRule="exact"/>
        <w:rPr>
          <w:sz w:val="20"/>
          <w:szCs w:val="20"/>
          <w:color w:val="auto"/>
        </w:rPr>
      </w:pPr>
    </w:p>
    <w:p>
      <w:pPr>
        <w:ind w:left="1680" w:hanging="533"/>
        <w:spacing w:after="0" w:line="205" w:lineRule="auto"/>
        <w:tabs>
          <w:tab w:leader="none" w:pos="1680" w:val="left"/>
        </w:tabs>
        <w:numPr>
          <w:ilvl w:val="0"/>
          <w:numId w:val="63"/>
        </w:numPr>
        <w:rPr>
          <w:rFonts w:ascii="Arial" w:cs="Arial" w:eastAsia="Arial" w:hAnsi="Arial"/>
          <w:sz w:val="21"/>
          <w:szCs w:val="21"/>
          <w:color w:val="auto"/>
          <w:vertAlign w:val="superscript"/>
        </w:rPr>
      </w:pPr>
      <w:r>
        <w:rPr>
          <w:rFonts w:ascii="Arial" w:cs="Arial" w:eastAsia="Arial" w:hAnsi="Arial"/>
          <w:sz w:val="14"/>
          <w:szCs w:val="14"/>
          <w:color w:val="auto"/>
        </w:rPr>
        <w:t>This executive officer provides part-time services to another company under common control with us. Under a services agreement with NST Consulting, LLC, we are reimbursed by NST Consulting, LLC for the services provided by the executive officer to the other company. See "Certain Relationships and Related Party Transactions — Services Agreements with Ceptaris and NST"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Neal Walker</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Neal Walker co-founded our company and has served as President and Chief Executive Officer and a member of our board of directors since our inception in July 2012. Dr. Walker co-founded NeXeption, LLC, a biopharmaceutical assets management company, in August 2012. Between July 2011 and July 2012, Dr. Walker served as a consultant to a number of pharmaceutical companies. Dr. Walker co-founded and served as President and Chief Executive Officer and a member of the board of directors of Vicept Therapeutics, Inc., a dermatology-focused specialty pharmaceutical company, from 2009 until its acquisition by Allergan, Inc. in July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Alderya Therapeutics, Inc, a publicly held biotechnology company, as well as several private biotechnology companies. Dr. Walker received his M.B.A. degree from The Wharton School, University of Pennsylvania, his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product development in dermatology and other fields, and his knowledge of the pharmaceutical industry contributed to the conclusion of our board of directors that he should serve as a director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Powala</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Christopher Powala co-founded our company and has served as our Chief Operating Officer since our inception in July 2012. Between July 2011 and July 2012, Mr. Powala served as a consultant to a number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of pharmaceutical companies. Mr. Powala co-founded and served as Chief Operating Officer of Vicept Therapeutics, Inc. from 2009 until its acquisition by Allergan, Inc. in July 2011. Prior to joining Vicept Therapeutics, Inc., from 2008 to 2009, he served as Vice President, Clinical Operations &amp; Global Regulatory Affairs for Vital Therapies, Inc., a biotechnology company. From 1993 to 2008, Mr. Powala was with CollaGenex Pharmaceuticals, Inc, a dermatology-focused specialty pharmaceutical company, where he served as Vice President, Drug Development and Regulatory Affairs. Previously, Mr. Powala also held various positions in product development and regulatory affairs at Wyeth Laboratories, Inc. Mr. Powala received his bachelor's degree in Biology from State University of New York-Regents College.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Stuart D. Shanler, M.D.</w:t>
      </w:r>
    </w:p>
    <w:p>
      <w:pPr>
        <w:spacing w:after="0" w:line="23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Stuart D. Shanler, M.D. co-founded our company and has served as our Chief Scientific Officer since our inception in July 2012. Between July 2011 and July 2012, Dr. Shanler served as a consultant to a number of pharmaceutical companies. Dr. Shanler co-invented a topical rosacea drug for, and co-founded and served as Chief Scientific Officer of, Vicept Therapeutics, Inc. from 2009 until its acquisition by Allergan, Inc. in July 2011. Previously, Dr. Shanler was a dermatologic surgeon in private practice. Dr. Shanler is a board-certified dermatologist and received his M.D. degree from Albany Medical College of Union University and received B.S. degrees in Biology and the Biological Basis of Behavior from the University of Pennsylvania.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Kamil Ali-Jackson</w:t>
      </w:r>
    </w:p>
    <w:p>
      <w:pPr>
        <w:spacing w:after="0" w:line="23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Kamil Ali-Jackson co-founded our company and has served as our Chief Legal Officer and Assistant Secretary since our inception in July 2012. In addition, since May 2011, Ms. Ali-Jackson has served as the Chief Legal Officer of NeXeption, Inc. and its affiliates, and has served as the Chief Legal Officer of Alexar Therapeutics, Inc. since January 2014. From May 2011 to September 2013, Ms. Ali-Jackson served as Chief Legal Officer, Chief Compliance Officer and Secretary of Ceptaris Therapeutics, Inc., a biotechnology company. From October 2010 to September 2011, she was a consultant to a private biopharmaceutical company. From 2006 to May 2010, she served as General Counsel and Corporate Secretary of Ception Therapeutics, Inc., a biotechnology company that was acquired by Cephalon, Inc. Previously, Ms. Ali-Jackson served as a legal officer and licensing business executive for a number of pharmaceutical companies, including Merck &amp; Co., Inc., Dr. Reddy's Laboratories Inc. and Endo Pharmaceuticals, Inc. Ms. Ali-Jackson received her J.D. degree from Harvard Law School and A.B. degree in Politics from Princeton University.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Frank Ruffo</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Frank Ruffo co-founded our company and has served as our Chief Financial Officer and Secretary since our inception in July 2012. Mr. Ruffo also served part-time as the Chief Financial Officer of VenatoRx Pharmaceuticals Inc., a pharmaceutical company, from October 2011 to November 2014 and the Chief Financial Officer of BioLeap, Inc. from January 2010 to January 2013. Prior to joining our company, Mr. Ruffo co-founded and served as Chief Financial Officer of Vicept Therapeutics, Inc. from 2009 until its acquisition by Allergan, Inc. in July 2011. Prior to joining Vicept Therapeutics, Inc., from 1996 to 2008, Mr. Ruffo served as the Vice President, Finance and Controller of CollaGenex Pharmaceuticals, Inc. Mr. Ruffo received a B.S. degree in Accounting from LaSalle University.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Non-Management Directors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Stephen A. Tullman</w:t>
      </w:r>
    </w:p>
    <w:p>
      <w:pPr>
        <w:spacing w:after="0" w:line="23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Stephen A. Tullman has served as Chairman of our board of directors since August 2012. Mr. Tullman co-founded NeXeption, Inc. in May 2011 and NeXeption, LLC in August 2012 and currently serves as the managing member of NeXeption, LLC. He previously served as Chairman, President and Chief Executive Officer of Ceptaris Therapeutics, Inc., a biopharmaceutical company, from May 2011 until its acquisition by Actelion US Holdings Company, a subsidiary of Actelion Ltd, in September 2013. Mr. Tullman co-founded Vicept Therapeutics, Inc. and served as its Chairman from 2009 until its acquisition by Allergan, Inc. in July 2011. In 2005, Mr. Tullman co-founded Ception Therapeutics, Inc. and served as its President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Chief Executive Officer until its acquisition by Cephalon, Inc. in 2010. In 2003, Mr. Tullman co-founded Trigenesis Therapeutics, Inc., where he served as its Chief Business Officer (acquired by Dr. Reddy's Laboratories Inc.) Mr. Tullman began his career at SmithKline Beecham, a pharmaceutical company, where he held positions of increasing responsibility in finance, sales, marketing, and research and development. Mr. Tullman currently serves as the chairman of the board of directors of Alexar Therapeutics, Inc., a specialty dermatology company, and on the boards of directors of several other privately held companies. Mr. Tullman received a B.S. degree in Accounting from Rutgers University. Our board of directors believes that Mr. Tullman's leadership, executive, managerial and business experience with several life sciences companies qualify him to serve as a director of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 Cha, M.D., Ph.D.</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Albert Cha, M.D., Ph.D. has served as a member of our board of directors since August 2012. In 2000, Dr. Cha joined Vivo Capital, a healthcare investment firm, where he has served in various positions, and he currently serves as a managing partner. Dr. Cha currently serves as a member of the boards of directors of several privately held biotechnology and medical device companies. Dr. Cha holds B.S. and M.S. degrees in Electrical Engineering from Stanford University and an M.D. degree and Ph.D. degree in Neuroscience from the University of California at Los Angeles. Our board of directors believes that Dr. Cha's substantial experience with companies in the healthcare sector and his financial and business experience qualify him to serve as a director of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Anand Mehra, M.D.</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Anand Mehra, M.D. has served as a member of our board of directors since September 2014. Dr. Mehra joined Sofinnova Ventures, a venture capital firm, in 2007 and currently serves as a general partner. Prior to joining Sofinnova, Dr. Mehra worked in J.P. Morgan's private equity and venture capital group, and before that, Dr. Mehra was a consultant in McKinsey &amp; Company's pharmaceutical practice. Dr. Mehra currently serves on the boards of directors of the publicly held companies Spark Therapeutics, Inc., Aerie Pharmaceuticals, Inc. and Marinus Pharmaceuticals, Inc., as well as several private companies. Dr. Mehra received his B.A. degree in political philosophy from the University of Virginia and an M.D. degree from Columbia University's College of Physicians and Surgeons. Our board of directors believes that Dr. Mehra is qualified to serve on our board of directors because of his extensive experience in the life sciences industry, his service on the boards of directors of other public life sciences companies and his extensive leadership experience.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Molineaux</w:t>
      </w:r>
    </w:p>
    <w:p>
      <w:pPr>
        <w:spacing w:after="0" w:line="23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Christopher Molineaux has served as a member of our board of directors since January 2014. Since 2009, Mr. Molineaux has served as President and Chief Executive Officer of Pennsylvania BIO, a pharmaceutical and biotech industry advocacy organization. Prior to joining Pennsylvania BIO,</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Mr. Molineaux served as worldwide Vice President of pharmaceutical communication and public affairs for Johnson &amp; Johnson. Mr. Molineaux previously served as Vice President for Public Affairs at the Pharmaceutical Research and Manufacturers Association. He holds a B.A. degree from the College of the Holy Cross. Our board of directors believes that Mr. Molineaux's substantial pharmaceutical and biotechnology industry experience qualifies him to serve as a director of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Ketan Patel, M.D.</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Ketan Patel, M.D. has served as a member of our board of directors since August 2012. In 2007, Dr. Patel joined Fidelity Biosciences, an investment firm, where he currently serves as principal. Previously, he was an engagement manager in the MEDACorp consulting division of Leerink Swann &amp; Company. Prior to this, Dr. Patel was a physician at the Weill-Cornell Medical Center of New York Presbyterian Hospital and at the Memorial Sloan Kettering Cancer Center. He received his B.A. degree in biology and economics at Rutgers University and his M.D. degree from Tufts University School of Medicine. Our board of directors believes that Dr. Patel's substantial experience with companies in the healthcare sector and his venture capital, financial and business experience qualify him to serve as a director of our company.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Composition</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of directors currently consists of six members. Mr. Tullman is the chairman of our board of directors. Each director is currently elected to the board for a one-year term, to serve until the election and qualification of successor directors at the annual meeting of stockholders, or until the director's earlier removal, resignation or death.</w:t>
      </w:r>
    </w:p>
    <w:p>
      <w:pPr>
        <w:spacing w:after="0" w:line="19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Our directors were elected to and currently serve on the board pursuant to a voting agreement among us and several of our largest stockholders. This agreement will terminate upon the closing of this offering, after which there will be no further contractual obligations regarding the election of our directors.</w:t>
      </w:r>
    </w:p>
    <w:p>
      <w:pPr>
        <w:spacing w:after="0" w:line="199"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accordance with our amended and restated certificate of incorporation, which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21"/>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 which will consist of</w:t>
            </w:r>
          </w:p>
        </w:tc>
        <w:tc>
          <w:tcPr>
            <w:tcW w:w="1060" w:type="dxa"/>
            <w:vAlign w:val="bottom"/>
          </w:tcPr>
          <w:p>
            <w:pPr>
              <w:ind w:left="140"/>
              <w:spacing w:after="0"/>
              <w:rPr>
                <w:sz w:val="20"/>
                <w:szCs w:val="20"/>
                <w:color w:val="auto"/>
              </w:rPr>
            </w:pPr>
            <w:r>
              <w:rPr>
                <w:rFonts w:ascii="Arial" w:cs="Arial" w:eastAsia="Arial" w:hAnsi="Arial"/>
                <w:sz w:val="17"/>
                <w:szCs w:val="17"/>
                <w:color w:val="auto"/>
              </w:rPr>
              <w:t>and</w:t>
            </w:r>
          </w:p>
        </w:tc>
        <w:tc>
          <w:tcPr>
            <w:tcW w:w="6120" w:type="dxa"/>
            <w:vAlign w:val="bottom"/>
          </w:tcPr>
          <w:p>
            <w:pPr>
              <w:jc w:val="center"/>
              <w:ind w:left="455"/>
              <w:spacing w:after="0"/>
              <w:rPr>
                <w:sz w:val="20"/>
                <w:szCs w:val="20"/>
                <w:color w:val="auto"/>
              </w:rPr>
            </w:pPr>
            <w:r>
              <w:rPr>
                <w:rFonts w:ascii="Arial" w:cs="Arial" w:eastAsia="Arial" w:hAnsi="Arial"/>
                <w:sz w:val="17"/>
                <w:szCs w:val="17"/>
                <w:color w:val="auto"/>
              </w:rPr>
              <w:t>, and their term will expire at our first annual meeting of stockholders to be</w:t>
            </w:r>
          </w:p>
        </w:tc>
      </w:tr>
      <w:tr>
        <w:trPr>
          <w:trHeight w:val="204"/>
        </w:trPr>
        <w:tc>
          <w:tcPr>
            <w:tcW w:w="3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Arial" w:cs="Arial" w:eastAsia="Arial" w:hAnsi="Arial"/>
                <w:sz w:val="17"/>
                <w:szCs w:val="17"/>
                <w:color w:val="auto"/>
              </w:rPr>
              <w:t>held after the closing of this offering;</w:t>
            </w:r>
          </w:p>
        </w:tc>
        <w:tc>
          <w:tcPr>
            <w:tcW w:w="10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12"/>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II, which will consist of</w:t>
            </w:r>
          </w:p>
        </w:tc>
        <w:tc>
          <w:tcPr>
            <w:tcW w:w="1060" w:type="dxa"/>
            <w:vAlign w:val="bottom"/>
          </w:tcPr>
          <w:p>
            <w:pPr>
              <w:ind w:left="180"/>
              <w:spacing w:after="0"/>
              <w:rPr>
                <w:sz w:val="20"/>
                <w:szCs w:val="20"/>
                <w:color w:val="auto"/>
              </w:rPr>
            </w:pPr>
            <w:r>
              <w:rPr>
                <w:rFonts w:ascii="Arial" w:cs="Arial" w:eastAsia="Arial" w:hAnsi="Arial"/>
                <w:sz w:val="17"/>
                <w:szCs w:val="17"/>
                <w:color w:val="auto"/>
              </w:rPr>
              <w:t>and</w:t>
            </w:r>
          </w:p>
        </w:tc>
        <w:tc>
          <w:tcPr>
            <w:tcW w:w="6120" w:type="dxa"/>
            <w:vAlign w:val="bottom"/>
          </w:tcPr>
          <w:p>
            <w:pPr>
              <w:ind w:left="580"/>
              <w:spacing w:after="0"/>
              <w:rPr>
                <w:sz w:val="20"/>
                <w:szCs w:val="20"/>
                <w:color w:val="auto"/>
              </w:rPr>
            </w:pPr>
            <w:r>
              <w:rPr>
                <w:rFonts w:ascii="Arial" w:cs="Arial" w:eastAsia="Arial" w:hAnsi="Arial"/>
                <w:sz w:val="17"/>
                <w:szCs w:val="17"/>
                <w:color w:val="auto"/>
              </w:rPr>
              <w:t>, and their term will expire at our second annual meeting of stockholders</w:t>
            </w:r>
          </w:p>
        </w:tc>
      </w:tr>
      <w:tr>
        <w:trPr>
          <w:trHeight w:val="204"/>
        </w:trPr>
        <w:tc>
          <w:tcPr>
            <w:tcW w:w="320" w:type="dxa"/>
            <w:vAlign w:val="bottom"/>
          </w:tcPr>
          <w:p>
            <w:pPr>
              <w:spacing w:after="0"/>
              <w:rPr>
                <w:sz w:val="17"/>
                <w:szCs w:val="17"/>
                <w:color w:val="auto"/>
              </w:rPr>
            </w:pPr>
          </w:p>
        </w:tc>
        <w:tc>
          <w:tcPr>
            <w:tcW w:w="4380" w:type="dxa"/>
            <w:vAlign w:val="bottom"/>
            <w:gridSpan w:val="2"/>
          </w:tcPr>
          <w:p>
            <w:pPr>
              <w:ind w:left="220"/>
              <w:spacing w:after="0"/>
              <w:rPr>
                <w:sz w:val="20"/>
                <w:szCs w:val="20"/>
                <w:color w:val="auto"/>
              </w:rPr>
            </w:pPr>
            <w:r>
              <w:rPr>
                <w:rFonts w:ascii="Arial" w:cs="Arial" w:eastAsia="Arial" w:hAnsi="Arial"/>
                <w:sz w:val="17"/>
                <w:szCs w:val="17"/>
                <w:color w:val="auto"/>
              </w:rPr>
              <w:t>to be held after the closing of this offering; and</w:t>
            </w:r>
          </w:p>
        </w:tc>
        <w:tc>
          <w:tcPr>
            <w:tcW w:w="6120" w:type="dxa"/>
            <w:vAlign w:val="bottom"/>
          </w:tcPr>
          <w:p>
            <w:pPr>
              <w:spacing w:after="0"/>
              <w:rPr>
                <w:sz w:val="17"/>
                <w:szCs w:val="17"/>
                <w:color w:val="auto"/>
              </w:rPr>
            </w:pPr>
          </w:p>
        </w:tc>
      </w:tr>
      <w:tr>
        <w:trPr>
          <w:trHeight w:val="399"/>
        </w:trPr>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3320" w:type="dxa"/>
            <w:vAlign w:val="bottom"/>
          </w:tcPr>
          <w:p>
            <w:pPr>
              <w:ind w:left="220"/>
              <w:spacing w:after="0"/>
              <w:rPr>
                <w:sz w:val="20"/>
                <w:szCs w:val="20"/>
                <w:color w:val="auto"/>
              </w:rPr>
            </w:pPr>
            <w:r>
              <w:rPr>
                <w:rFonts w:ascii="Arial" w:cs="Arial" w:eastAsia="Arial" w:hAnsi="Arial"/>
                <w:sz w:val="17"/>
                <w:szCs w:val="17"/>
                <w:color w:val="auto"/>
              </w:rPr>
              <w:t>Class III, which will consist of</w:t>
            </w:r>
          </w:p>
        </w:tc>
        <w:tc>
          <w:tcPr>
            <w:tcW w:w="1060" w:type="dxa"/>
            <w:vAlign w:val="bottom"/>
          </w:tcPr>
          <w:p>
            <w:pPr>
              <w:ind w:left="220"/>
              <w:spacing w:after="0"/>
              <w:rPr>
                <w:sz w:val="20"/>
                <w:szCs w:val="20"/>
                <w:color w:val="auto"/>
              </w:rPr>
            </w:pPr>
            <w:r>
              <w:rPr>
                <w:rFonts w:ascii="Arial" w:cs="Arial" w:eastAsia="Arial" w:hAnsi="Arial"/>
                <w:sz w:val="17"/>
                <w:szCs w:val="17"/>
                <w:color w:val="auto"/>
              </w:rPr>
              <w:t>and</w:t>
            </w:r>
          </w:p>
        </w:tc>
        <w:tc>
          <w:tcPr>
            <w:tcW w:w="6120" w:type="dxa"/>
            <w:vAlign w:val="bottom"/>
          </w:tcPr>
          <w:p>
            <w:pPr>
              <w:jc w:val="center"/>
              <w:ind w:left="475"/>
              <w:spacing w:after="0"/>
              <w:rPr>
                <w:sz w:val="20"/>
                <w:szCs w:val="20"/>
                <w:color w:val="auto"/>
              </w:rPr>
            </w:pPr>
            <w:r>
              <w:rPr>
                <w:rFonts w:ascii="Arial" w:cs="Arial" w:eastAsia="Arial" w:hAnsi="Arial"/>
                <w:sz w:val="17"/>
                <w:szCs w:val="17"/>
                <w:color w:val="auto"/>
              </w:rPr>
              <w:t>, and their term will expire at our third annual meeting of stockholders to</w:t>
            </w:r>
          </w:p>
        </w:tc>
      </w:tr>
      <w:tr>
        <w:trPr>
          <w:trHeight w:val="204"/>
        </w:trPr>
        <w:tc>
          <w:tcPr>
            <w:tcW w:w="320" w:type="dxa"/>
            <w:vAlign w:val="bottom"/>
          </w:tcPr>
          <w:p>
            <w:pPr>
              <w:spacing w:after="0"/>
              <w:rPr>
                <w:sz w:val="17"/>
                <w:szCs w:val="17"/>
                <w:color w:val="auto"/>
              </w:rPr>
            </w:pPr>
          </w:p>
        </w:tc>
        <w:tc>
          <w:tcPr>
            <w:tcW w:w="3320" w:type="dxa"/>
            <w:vAlign w:val="bottom"/>
          </w:tcPr>
          <w:p>
            <w:pPr>
              <w:ind w:left="220"/>
              <w:spacing w:after="0"/>
              <w:rPr>
                <w:sz w:val="20"/>
                <w:szCs w:val="20"/>
                <w:color w:val="auto"/>
              </w:rPr>
            </w:pPr>
            <w:r>
              <w:rPr>
                <w:rFonts w:ascii="Arial" w:cs="Arial" w:eastAsia="Arial" w:hAnsi="Arial"/>
                <w:sz w:val="17"/>
                <w:szCs w:val="17"/>
                <w:color w:val="auto"/>
              </w:rPr>
              <w:t>be held after the closing of this offering.</w:t>
            </w:r>
          </w:p>
        </w:tc>
        <w:tc>
          <w:tcPr>
            <w:tcW w:w="1060" w:type="dxa"/>
            <w:vAlign w:val="bottom"/>
          </w:tcPr>
          <w:p>
            <w:pPr>
              <w:spacing w:after="0"/>
              <w:rPr>
                <w:sz w:val="17"/>
                <w:szCs w:val="17"/>
                <w:color w:val="auto"/>
              </w:rPr>
            </w:pPr>
          </w:p>
        </w:tc>
        <w:tc>
          <w:tcPr>
            <w:tcW w:w="6120" w:type="dxa"/>
            <w:vAlign w:val="bottom"/>
          </w:tcPr>
          <w:p>
            <w:pPr>
              <w:spacing w:after="0"/>
              <w:rPr>
                <w:sz w:val="17"/>
                <w:szCs w:val="17"/>
                <w:color w:val="auto"/>
              </w:rPr>
            </w:pPr>
          </w:p>
        </w:tc>
      </w:tr>
    </w:tbl>
    <w:p>
      <w:pPr>
        <w:spacing w:after="0" w:line="202"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w:t>
      </w:r>
    </w:p>
    <w:p>
      <w:pPr>
        <w:spacing w:after="0" w:line="199"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a change of our management or a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31" w:lineRule="exact"/>
        <w:rPr>
          <w:sz w:val="20"/>
          <w:szCs w:val="20"/>
          <w:color w:val="auto"/>
        </w:rPr>
      </w:pPr>
    </w:p>
    <w:p>
      <w:pPr>
        <w:jc w:val="both"/>
        <w:ind w:right="180"/>
        <w:spacing w:after="0" w:line="245" w:lineRule="auto"/>
        <w:rPr>
          <w:sz w:val="20"/>
          <w:szCs w:val="20"/>
          <w:color w:val="auto"/>
        </w:rPr>
      </w:pPr>
      <w:r>
        <w:rPr>
          <w:rFonts w:ascii="Arial" w:cs="Arial" w:eastAsia="Arial" w:hAnsi="Arial"/>
          <w:sz w:val="17"/>
          <w:szCs w:val="17"/>
          <w:color w:val="auto"/>
        </w:rPr>
        <w:t>Our board of directors has undertaken a review of the independence of the directors and considered whether any director has a material relationship with us that could compromise his ability to exercise independent judgment in carrying out his responsibilities. As a result of this review, our board of directors has determined that Messrs. Tullman and Molineaux and Drs. Cha, Patel and Mehra, representing five of our six directors, are "independent directors" as defined under NASDAQ rules.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3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 From time to time, the board may establish other committees to facilitate the management of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reviews our internal accounting procedures and consults with and reviews the services provided by our independent registered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public accountants. Our audit committee consists of three directors,</w:t>
            </w:r>
          </w:p>
        </w:tc>
        <w:tc>
          <w:tcPr>
            <w:tcW w:w="1780" w:type="dxa"/>
            <w:vAlign w:val="bottom"/>
          </w:tcPr>
          <w:p>
            <w:pPr>
              <w:jc w:val="right"/>
              <w:ind w:right="755"/>
              <w:spacing w:after="0"/>
              <w:rPr>
                <w:sz w:val="20"/>
                <w:szCs w:val="20"/>
                <w:color w:val="auto"/>
              </w:rPr>
            </w:pPr>
            <w:r>
              <w:rPr>
                <w:rFonts w:ascii="Arial" w:cs="Arial" w:eastAsia="Arial" w:hAnsi="Arial"/>
                <w:sz w:val="17"/>
                <w:szCs w:val="17"/>
                <w:color w:val="auto"/>
              </w:rPr>
              <w:t>,</w:t>
            </w:r>
          </w:p>
        </w:tc>
        <w:tc>
          <w:tcPr>
            <w:tcW w:w="1360" w:type="dxa"/>
            <w:vAlign w:val="bottom"/>
          </w:tcPr>
          <w:p>
            <w:pPr>
              <w:ind w:left="360"/>
              <w:spacing w:after="0"/>
              <w:rPr>
                <w:sz w:val="20"/>
                <w:szCs w:val="20"/>
                <w:color w:val="auto"/>
              </w:rPr>
            </w:pPr>
            <w:r>
              <w:rPr>
                <w:rFonts w:ascii="Arial" w:cs="Arial" w:eastAsia="Arial" w:hAnsi="Arial"/>
                <w:sz w:val="17"/>
                <w:szCs w:val="17"/>
                <w:color w:val="auto"/>
              </w:rPr>
              <w:t>and</w:t>
            </w:r>
          </w:p>
        </w:tc>
        <w:tc>
          <w:tcPr>
            <w:tcW w:w="1500" w:type="dxa"/>
            <w:vAlign w:val="bottom"/>
          </w:tcPr>
          <w:p>
            <w:pPr>
              <w:ind w:left="460"/>
              <w:spacing w:after="0"/>
              <w:rPr>
                <w:sz w:val="20"/>
                <w:szCs w:val="20"/>
                <w:color w:val="auto"/>
              </w:rPr>
            </w:pPr>
            <w:r>
              <w:rPr>
                <w:rFonts w:ascii="Arial" w:cs="Arial" w:eastAsia="Arial" w:hAnsi="Arial"/>
                <w:sz w:val="17"/>
                <w:szCs w:val="17"/>
                <w:color w:val="auto"/>
              </w:rPr>
              <w:t>. Mr.</w:t>
            </w:r>
          </w:p>
        </w:tc>
        <w:tc>
          <w:tcPr>
            <w:tcW w:w="1460" w:type="dxa"/>
            <w:vAlign w:val="bottom"/>
          </w:tcPr>
          <w:p>
            <w:pPr>
              <w:ind w:left="480"/>
              <w:spacing w:after="0"/>
              <w:rPr>
                <w:sz w:val="20"/>
                <w:szCs w:val="20"/>
                <w:color w:val="auto"/>
              </w:rPr>
            </w:pPr>
            <w:r>
              <w:rPr>
                <w:rFonts w:ascii="Arial" w:cs="Arial" w:eastAsia="Arial" w:hAnsi="Arial"/>
                <w:sz w:val="17"/>
                <w:szCs w:val="17"/>
                <w:color w:val="auto"/>
              </w:rPr>
              <w:t>is the</w:t>
            </w:r>
          </w:p>
        </w:tc>
      </w:tr>
      <w:tr>
        <w:trPr>
          <w:trHeight w:val="197"/>
        </w:trPr>
        <w:tc>
          <w:tcPr>
            <w:tcW w:w="7100" w:type="dxa"/>
            <w:vAlign w:val="bottom"/>
            <w:gridSpan w:val="2"/>
          </w:tcPr>
          <w:p>
            <w:pPr>
              <w:spacing w:after="0"/>
              <w:rPr>
                <w:sz w:val="20"/>
                <w:szCs w:val="20"/>
                <w:color w:val="auto"/>
              </w:rPr>
            </w:pPr>
            <w:r>
              <w:rPr>
                <w:rFonts w:ascii="Arial" w:cs="Arial" w:eastAsia="Arial" w:hAnsi="Arial"/>
                <w:sz w:val="17"/>
                <w:szCs w:val="17"/>
                <w:color w:val="auto"/>
              </w:rPr>
              <w:t>chairman of the audit committee and our board of directors has determined that Mr.</w:t>
            </w:r>
          </w:p>
        </w:tc>
        <w:tc>
          <w:tcPr>
            <w:tcW w:w="4320" w:type="dxa"/>
            <w:vAlign w:val="bottom"/>
            <w:gridSpan w:val="3"/>
          </w:tcPr>
          <w:p>
            <w:pPr>
              <w:ind w:left="360"/>
              <w:spacing w:after="0"/>
              <w:rPr>
                <w:sz w:val="20"/>
                <w:szCs w:val="20"/>
                <w:color w:val="auto"/>
              </w:rPr>
            </w:pPr>
            <w:r>
              <w:rPr>
                <w:rFonts w:ascii="Arial" w:cs="Arial" w:eastAsia="Arial" w:hAnsi="Arial"/>
                <w:sz w:val="17"/>
                <w:szCs w:val="17"/>
                <w:color w:val="auto"/>
              </w:rPr>
              <w:t>is an "audit committee financial expert" as defined</w:t>
            </w:r>
          </w:p>
        </w:tc>
      </w:tr>
      <w:tr>
        <w:trPr>
          <w:trHeight w:val="197"/>
        </w:trPr>
        <w:tc>
          <w:tcPr>
            <w:tcW w:w="7100" w:type="dxa"/>
            <w:vAlign w:val="bottom"/>
            <w:gridSpan w:val="2"/>
          </w:tcPr>
          <w:p>
            <w:pPr>
              <w:spacing w:after="0"/>
              <w:rPr>
                <w:sz w:val="20"/>
                <w:szCs w:val="20"/>
                <w:color w:val="auto"/>
              </w:rPr>
            </w:pPr>
            <w:r>
              <w:rPr>
                <w:rFonts w:ascii="Arial" w:cs="Arial" w:eastAsia="Arial" w:hAnsi="Arial"/>
                <w:sz w:val="17"/>
                <w:szCs w:val="17"/>
                <w:color w:val="auto"/>
              </w:rPr>
              <w:t>by SEC rules and regulations. Our board of directors has determined that each of Messrs.</w:t>
            </w: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500" w:type="dxa"/>
            <w:vAlign w:val="bottom"/>
          </w:tcPr>
          <w:p>
            <w:pPr>
              <w:ind w:left="720"/>
              <w:spacing w:after="0"/>
              <w:rPr>
                <w:sz w:val="20"/>
                <w:szCs w:val="20"/>
                <w:color w:val="auto"/>
              </w:rPr>
            </w:pPr>
            <w:r>
              <w:rPr>
                <w:rFonts w:ascii="Arial" w:cs="Arial" w:eastAsia="Arial" w:hAnsi="Arial"/>
                <w:sz w:val="17"/>
                <w:szCs w:val="17"/>
                <w:color w:val="auto"/>
              </w:rPr>
              <w:t>and</w:t>
            </w:r>
          </w:p>
        </w:tc>
        <w:tc>
          <w:tcPr>
            <w:tcW w:w="1460" w:type="dxa"/>
            <w:vAlign w:val="bottom"/>
          </w:tcPr>
          <w:p>
            <w:pPr>
              <w:ind w:left="700"/>
              <w:spacing w:after="0"/>
              <w:rPr>
                <w:sz w:val="20"/>
                <w:szCs w:val="20"/>
                <w:color w:val="auto"/>
              </w:rPr>
            </w:pPr>
            <w:r>
              <w:rPr>
                <w:rFonts w:ascii="Arial" w:cs="Arial" w:eastAsia="Arial" w:hAnsi="Arial"/>
                <w:sz w:val="17"/>
                <w:szCs w:val="17"/>
                <w:color w:val="auto"/>
              </w:rPr>
              <w:t>are</w:t>
            </w:r>
          </w:p>
        </w:tc>
      </w:tr>
      <w:tr>
        <w:trPr>
          <w:trHeight w:val="204"/>
        </w:trPr>
        <w:tc>
          <w:tcPr>
            <w:tcW w:w="5320" w:type="dxa"/>
            <w:vAlign w:val="bottom"/>
          </w:tcPr>
          <w:p>
            <w:pPr>
              <w:spacing w:after="0"/>
              <w:rPr>
                <w:sz w:val="20"/>
                <w:szCs w:val="20"/>
                <w:color w:val="auto"/>
              </w:rPr>
            </w:pPr>
            <w:r>
              <w:rPr>
                <w:rFonts w:ascii="Arial" w:cs="Arial" w:eastAsia="Arial" w:hAnsi="Arial"/>
                <w:sz w:val="17"/>
                <w:szCs w:val="17"/>
                <w:color w:val="auto"/>
              </w:rPr>
              <w:t>independent directors under NASDAQ listing</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6"/>
        </w:trPr>
        <w:tc>
          <w:tcPr>
            <w:tcW w:w="5320" w:type="dxa"/>
            <w:vAlign w:val="bottom"/>
          </w:tcPr>
          <w:p>
            <w:pPr>
              <w:spacing w:after="0"/>
              <w:rPr>
                <w:sz w:val="24"/>
                <w:szCs w:val="24"/>
                <w:color w:val="auto"/>
              </w:rPr>
            </w:pPr>
          </w:p>
        </w:tc>
        <w:tc>
          <w:tcPr>
            <w:tcW w:w="1780" w:type="dxa"/>
            <w:vAlign w:val="bottom"/>
          </w:tcPr>
          <w:p>
            <w:pPr>
              <w:jc w:val="right"/>
              <w:ind w:right="1155"/>
              <w:spacing w:after="0"/>
              <w:rPr>
                <w:sz w:val="20"/>
                <w:szCs w:val="20"/>
                <w:color w:val="auto"/>
              </w:rPr>
            </w:pPr>
            <w:r>
              <w:rPr>
                <w:rFonts w:ascii="Arial" w:cs="Arial" w:eastAsia="Arial" w:hAnsi="Arial"/>
                <w:sz w:val="17"/>
                <w:szCs w:val="17"/>
                <w:color w:val="auto"/>
              </w:rPr>
              <w:t>103</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9"/>
        </w:trPr>
        <w:tc>
          <w:tcPr>
            <w:tcW w:w="532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rules and under Rule 10A-3 under the Exchange Act, as amended. We intend to continue to evaluate the requirements applicable to us and we intend to comply with future requirements to the extent that they become applicable to our audit committee. The principal duties and responsibilities of our audit committee include:</w:t>
      </w:r>
    </w:p>
    <w:p>
      <w:pPr>
        <w:spacing w:after="0" w:line="212" w:lineRule="exact"/>
        <w:rPr>
          <w:sz w:val="20"/>
          <w:szCs w:val="20"/>
          <w:color w:val="auto"/>
        </w:rPr>
      </w:pPr>
    </w:p>
    <w:p>
      <w:pPr>
        <w:ind w:left="1060" w:right="76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appointing and retaining an independent registered public accounting firm to serve as independent auditor to audit our financial statements, overseeing the independent auditor's work and determining the independent auditor's compensation;</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approving in advance all audit services and non-audit services to be provided to us by our independent auditor;</w:t>
      </w:r>
    </w:p>
    <w:p>
      <w:pPr>
        <w:spacing w:after="0" w:line="210" w:lineRule="exact"/>
        <w:rPr>
          <w:rFonts w:ascii="Arial" w:cs="Arial" w:eastAsia="Arial" w:hAnsi="Arial"/>
          <w:sz w:val="17"/>
          <w:szCs w:val="17"/>
          <w:color w:val="auto"/>
        </w:rPr>
      </w:pPr>
    </w:p>
    <w:p>
      <w:pPr>
        <w:ind w:left="1060" w:right="40" w:hanging="531"/>
        <w:spacing w:after="0" w:line="246"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auditing or compliance matters, as well as for the confidential, anonymous submission by our employees of concerns regarding questionable accounting or auditing matters;</w:t>
      </w:r>
    </w:p>
    <w:p>
      <w:pPr>
        <w:spacing w:after="0" w:line="198"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discussing with management and our independent auditor the results of the annual audit and the independent auditor's review of our quarterly financial statements; and</w:t>
      </w:r>
    </w:p>
    <w:p>
      <w:pPr>
        <w:spacing w:after="0" w:line="205"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conferring with management and our independent auditor about the scope, adequacy and effectiveness of our internal accounting controls, the objectivity of our financial reporting and our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committee reviews and determines the compensation of all our executive officers. Our compensation committee consists of</w:t>
      </w:r>
    </w:p>
    <w:p>
      <w:pPr>
        <w:spacing w:after="0" w:line="1" w:lineRule="exact"/>
        <w:rPr>
          <w:sz w:val="20"/>
          <w:szCs w:val="20"/>
          <w:color w:val="auto"/>
        </w:rPr>
      </w:pPr>
    </w:p>
    <w:p>
      <w:pPr>
        <w:ind w:right="280" w:firstLine="1137"/>
        <w:spacing w:after="0" w:line="241" w:lineRule="auto"/>
        <w:rPr>
          <w:sz w:val="20"/>
          <w:szCs w:val="20"/>
          <w:color w:val="auto"/>
        </w:rPr>
      </w:pPr>
      <w:r>
        <w:rPr>
          <w:rFonts w:ascii="Arial" w:cs="Arial" w:eastAsia="Arial" w:hAnsi="Arial"/>
          <w:sz w:val="17"/>
          <w:szCs w:val="17"/>
          <w:color w:val="auto"/>
        </w:rPr>
        <w:t>directors, , and , each of whom is a non-employee member of our board of directors as defined in Rule 16b-3 under the Exchange Act. Mr. is the chairman of the compensation committee. Our board of directors has</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determined that the composition of our compensation committee satisfies the applicable independence requirements under, and the functioning of our compensation committee complies with the applicable requirements of, stock exchange listing rules and SEC rules and regulations. We intend to continue to evaluate and intend to comply with all future requirements applicable to our compensation committee. The principal duties and responsibilities of our compensation committee include:</w:t>
      </w:r>
    </w:p>
    <w:p>
      <w:pPr>
        <w:spacing w:after="0" w:line="211" w:lineRule="exact"/>
        <w:rPr>
          <w:sz w:val="20"/>
          <w:szCs w:val="20"/>
          <w:color w:val="auto"/>
        </w:rPr>
      </w:pPr>
    </w:p>
    <w:p>
      <w:pPr>
        <w:ind w:left="1060" w:hanging="531"/>
        <w:spacing w:after="0" w:line="245"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establishing and approving, and making recommendations to the board of directors regarding, performance goals and objectives relevant to the compensation of our chief executive officer, evaluating the performance of our chief executive officer in light of those goals and objectives and setting, or recommending to the full board of directors for approval, the chief executive officer's compensation, including incentive-based and equity-based compensation, based on that evaluation;</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setting the compensation of our other executive officers, based in part on recommendations of the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exercising administrative authority under our stock plans and employee benefit plans;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establishing policies and making recommendations to our board of directors regarding director compensation;</w:t>
      </w:r>
    </w:p>
    <w:p>
      <w:pPr>
        <w:spacing w:after="0" w:line="210"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that we may be required from time to time to include in SEC filings; and</w:t>
      </w:r>
    </w:p>
    <w:p>
      <w:pPr>
        <w:spacing w:after="0" w:line="205"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preparing a compensation committee report on executive compensation as may be required from time to time to be included in our annual proxy statements or annual reports on Form 10-K filed with the SEC.</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4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23"/>
        </w:trPr>
        <w:tc>
          <w:tcPr>
            <w:tcW w:w="54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5480" w:type="dxa"/>
            <w:vAlign w:val="bottom"/>
            <w:gridSpan w:val="2"/>
          </w:tcPr>
          <w:p>
            <w:pPr>
              <w:spacing w:after="0"/>
              <w:rPr>
                <w:sz w:val="20"/>
                <w:szCs w:val="20"/>
                <w:color w:val="auto"/>
              </w:rPr>
            </w:pPr>
            <w:r>
              <w:rPr>
                <w:rFonts w:ascii="Arial" w:cs="Arial" w:eastAsia="Arial" w:hAnsi="Arial"/>
                <w:sz w:val="17"/>
                <w:szCs w:val="17"/>
                <w:color w:val="auto"/>
              </w:rPr>
              <w:t>The nominating and corporate governance committee consists of</w:t>
            </w:r>
          </w:p>
        </w:tc>
        <w:tc>
          <w:tcPr>
            <w:tcW w:w="1860" w:type="dxa"/>
            <w:vAlign w:val="bottom"/>
          </w:tcPr>
          <w:p>
            <w:pPr>
              <w:jc w:val="center"/>
              <w:spacing w:after="0"/>
              <w:rPr>
                <w:sz w:val="20"/>
                <w:szCs w:val="20"/>
                <w:color w:val="auto"/>
              </w:rPr>
            </w:pPr>
            <w:r>
              <w:rPr>
                <w:rFonts w:ascii="Arial" w:cs="Arial" w:eastAsia="Arial" w:hAnsi="Arial"/>
                <w:sz w:val="17"/>
                <w:szCs w:val="17"/>
                <w:color w:val="auto"/>
              </w:rPr>
              <w:t>directors,</w:t>
            </w:r>
          </w:p>
        </w:tc>
        <w:tc>
          <w:tcPr>
            <w:tcW w:w="122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1480" w:type="dxa"/>
            <w:vAlign w:val="bottom"/>
          </w:tcPr>
          <w:p>
            <w:pPr>
              <w:ind w:left="600"/>
              <w:spacing w:after="0"/>
              <w:rPr>
                <w:sz w:val="20"/>
                <w:szCs w:val="20"/>
                <w:color w:val="auto"/>
              </w:rPr>
            </w:pPr>
            <w:r>
              <w:rPr>
                <w:rFonts w:ascii="Arial" w:cs="Arial" w:eastAsia="Arial" w:hAnsi="Arial"/>
                <w:sz w:val="17"/>
                <w:szCs w:val="17"/>
                <w:color w:val="auto"/>
              </w:rPr>
              <w:t>and</w:t>
            </w:r>
          </w:p>
        </w:tc>
        <w:tc>
          <w:tcPr>
            <w:tcW w:w="1320" w:type="dxa"/>
            <w:vAlign w:val="bottom"/>
          </w:tcPr>
          <w:p>
            <w:pPr>
              <w:jc w:val="right"/>
              <w:ind w:right="595"/>
              <w:spacing w:after="0"/>
              <w:rPr>
                <w:sz w:val="20"/>
                <w:szCs w:val="20"/>
                <w:color w:val="auto"/>
              </w:rPr>
            </w:pPr>
            <w:r>
              <w:rPr>
                <w:rFonts w:ascii="Arial" w:cs="Arial" w:eastAsia="Arial" w:hAnsi="Arial"/>
                <w:sz w:val="17"/>
                <w:szCs w:val="17"/>
                <w:color w:val="auto"/>
              </w:rPr>
              <w:t>.</w:t>
            </w:r>
          </w:p>
        </w:tc>
      </w:tr>
      <w:tr>
        <w:trPr>
          <w:trHeight w:val="197"/>
        </w:trPr>
        <w:tc>
          <w:tcPr>
            <w:tcW w:w="1340" w:type="dxa"/>
            <w:vAlign w:val="bottom"/>
          </w:tcPr>
          <w:p>
            <w:pPr>
              <w:spacing w:after="0"/>
              <w:rPr>
                <w:sz w:val="20"/>
                <w:szCs w:val="20"/>
                <w:color w:val="auto"/>
              </w:rPr>
            </w:pPr>
            <w:r>
              <w:rPr>
                <w:rFonts w:ascii="Arial" w:cs="Arial" w:eastAsia="Arial" w:hAnsi="Arial"/>
                <w:sz w:val="17"/>
                <w:szCs w:val="17"/>
                <w:color w:val="auto"/>
              </w:rPr>
              <w:t>Mr.</w:t>
            </w:r>
          </w:p>
        </w:tc>
        <w:tc>
          <w:tcPr>
            <w:tcW w:w="10020" w:type="dxa"/>
            <w:vAlign w:val="bottom"/>
            <w:gridSpan w:val="5"/>
          </w:tcPr>
          <w:p>
            <w:pPr>
              <w:jc w:val="center"/>
              <w:spacing w:after="0"/>
              <w:rPr>
                <w:sz w:val="20"/>
                <w:szCs w:val="20"/>
                <w:color w:val="auto"/>
              </w:rPr>
            </w:pPr>
            <w:r>
              <w:rPr>
                <w:rFonts w:ascii="Arial" w:cs="Arial" w:eastAsia="Arial" w:hAnsi="Arial"/>
                <w:sz w:val="17"/>
                <w:szCs w:val="17"/>
                <w:color w:val="auto"/>
              </w:rPr>
              <w:t>is the chairman of the nominating and corporate governance committee. Our board of directors has determined that the composition</w:t>
            </w:r>
          </w:p>
        </w:tc>
      </w:tr>
    </w:tbl>
    <w:p>
      <w:pPr>
        <w:ind w:right="280"/>
        <w:spacing w:after="0" w:line="245" w:lineRule="auto"/>
        <w:rPr>
          <w:sz w:val="20"/>
          <w:szCs w:val="20"/>
          <w:color w:val="auto"/>
        </w:rPr>
      </w:pPr>
      <w:r>
        <w:rPr>
          <w:rFonts w:ascii="Arial" w:cs="Arial" w:eastAsia="Arial" w:hAnsi="Arial"/>
          <w:sz w:val="17"/>
          <w:szCs w:val="17"/>
          <w:color w:val="auto"/>
        </w:rPr>
        <w:t>of our nominating and corporate governance committee satisfies the applicable independence requirements under, and the functioning of our nominating and corporate governance committee complies with the applicable requirements of, stock exchange listing standards and SEC rules and regulations. We will continue to evaluate and will comply with all future requirements applicable to our nominating and corporate governance committee. The nominating and corporate governance committee's responsibilities include:</w:t>
      </w:r>
    </w:p>
    <w:p>
      <w:pPr>
        <w:spacing w:after="0" w:line="211"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assessing the need for new directors and identifying individuals qualified to become directors;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assessing individual director performance, participation and qualifications;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developing and recommending to the board corporate governance principles;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monitoring the effectiveness of the board and the quality of the relationship between management and the board;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overseeing an annual evaluation of the board's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for Employees, Executive Officers and Directors</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Effective upon closing of this offering, we will adopt a Code of Business Conduct and Ethics, or the Code of Conduct, applicable to all of our employees, executive officers and directors. Following the closing of this offering, the Code of Conduct will be available on our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The nominating and corporate governance committee of our board of directors will be responsible for overseeing the Code of</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3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None of our directors who currently serve as members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With the exception of payments to NST Consulting, LLC for the services of Mr. Tullman, the chairman of our board of directors, we have not historically paid cash retainers or other cash compensation with respect to service on our board of directors, except for reimbursement of direct expenses incurred in connection with attending meetings of the board or committees. In January, August and December 2014, we awarded options to purchase 30,000 shares, 1,663 shares and 3,638 shares, respectively, of our common stock to Mr. Molineaux at exercise prices of $0.12, $0.21 and $0.44 per share, respectively. In August and December 2014, we awarded options to purchase 66,528 shares and 150,000 shares of our common stock, respectively, to Mr. Tullman at exercise prices of $0.21 and $0.44 per share, respectively. Other than Messrs. Molineaux and Tullman, none of our non-employee directors held any options to purchase our common stock as of December 31, 2014.</w:t>
      </w:r>
    </w:p>
    <w:p>
      <w:pPr>
        <w:spacing w:after="0" w:line="201"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following table sets forth information regarding compensation earned for service on our board of directors during the year ended December 31, 2014 by our non-employee directors. Dr. Walker, our President and Chief Executive Officer, is also a director but does not receive any additional compensation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900"/>
        <w:spacing w:after="0" w:line="252" w:lineRule="auto"/>
        <w:rPr>
          <w:sz w:val="20"/>
          <w:szCs w:val="20"/>
          <w:color w:val="auto"/>
        </w:rPr>
      </w:pPr>
      <w:r>
        <w:rPr>
          <w:rFonts w:ascii="Arial" w:cs="Arial" w:eastAsia="Arial" w:hAnsi="Arial"/>
          <w:sz w:val="17"/>
          <w:szCs w:val="17"/>
          <w:color w:val="auto"/>
        </w:rPr>
        <w:t>for his service as director. Dr. Walker's compensation as an executive officer is set forth below under "Executive Compensation —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Fees Earned</w:t>
            </w: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Non-equity</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or Paid</w:t>
            </w:r>
          </w:p>
        </w:tc>
        <w:tc>
          <w:tcPr>
            <w:tcW w:w="1160" w:type="dxa"/>
            <w:vAlign w:val="bottom"/>
            <w:gridSpan w:val="2"/>
            <w:vMerge w:val="continue"/>
          </w:tcPr>
          <w:p>
            <w:pPr>
              <w:spacing w:after="0"/>
              <w:rPr>
                <w:sz w:val="12"/>
                <w:szCs w:val="12"/>
                <w:color w:val="auto"/>
              </w:rPr>
            </w:pPr>
          </w:p>
        </w:tc>
        <w:tc>
          <w:tcPr>
            <w:tcW w:w="15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9"/>
              </w:rPr>
              <w:t>Incentive Plan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in Cash</w:t>
            </w:r>
          </w:p>
        </w:tc>
        <w:tc>
          <w:tcPr>
            <w:tcW w:w="1160" w:type="dxa"/>
            <w:vAlign w:val="bottom"/>
            <w:gridSpan w:val="2"/>
          </w:tcPr>
          <w:p>
            <w:pPr>
              <w:jc w:val="center"/>
              <w:ind w:right="440"/>
              <w:spacing w:after="0" w:line="173"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(1)</w:t>
            </w: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Compensation</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Stephen A. Tullman</w:t>
            </w:r>
          </w:p>
        </w:tc>
        <w:tc>
          <w:tcPr>
            <w:tcW w:w="130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4"/>
                <w:szCs w:val="14"/>
                <w:color w:val="auto"/>
              </w:rPr>
              <w:t>100,000</w:t>
            </w:r>
            <w:r>
              <w:rPr>
                <w:rFonts w:ascii="Arial" w:cs="Arial" w:eastAsia="Arial" w:hAnsi="Arial"/>
                <w:sz w:val="22"/>
                <w:szCs w:val="22"/>
                <w:color w:val="auto"/>
                <w:vertAlign w:val="superscript"/>
              </w:rPr>
              <w:t>(2)</w:t>
            </w:r>
          </w:p>
        </w:tc>
        <w:tc>
          <w:tcPr>
            <w:tcW w:w="116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92,559</w:t>
            </w:r>
            <w:r>
              <w:rPr>
                <w:rFonts w:ascii="Arial" w:cs="Arial" w:eastAsia="Arial" w:hAnsi="Arial"/>
                <w:sz w:val="22"/>
                <w:szCs w:val="22"/>
                <w:color w:val="auto"/>
                <w:vertAlign w:val="superscript"/>
              </w:rPr>
              <w:t>(3)</w:t>
            </w:r>
          </w:p>
        </w:tc>
        <w:tc>
          <w:tcPr>
            <w:tcW w:w="152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4"/>
                <w:szCs w:val="14"/>
                <w:color w:val="auto"/>
              </w:rPr>
              <w:t>30,000</w:t>
            </w:r>
            <w:r>
              <w:rPr>
                <w:rFonts w:ascii="Arial" w:cs="Arial" w:eastAsia="Arial" w:hAnsi="Arial"/>
                <w:sz w:val="22"/>
                <w:szCs w:val="22"/>
                <w:color w:val="auto"/>
                <w:vertAlign w:val="superscript"/>
              </w:rPr>
              <w:t>(4)</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222,559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Albert Cha</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Ketan Patel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Christopher Molineaux</w:t>
            </w:r>
          </w:p>
        </w:tc>
        <w:tc>
          <w:tcPr>
            <w:tcW w:w="13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97" w:lineRule="exact"/>
              <w:rPr>
                <w:sz w:val="20"/>
                <w:szCs w:val="20"/>
                <w:color w:val="auto"/>
              </w:rPr>
            </w:pPr>
            <w:r>
              <w:rPr>
                <w:rFonts w:ascii="Arial" w:cs="Arial" w:eastAsia="Arial" w:hAnsi="Arial"/>
                <w:sz w:val="14"/>
                <w:szCs w:val="14"/>
                <w:color w:val="auto"/>
              </w:rPr>
              <w:t>5,407</w:t>
            </w:r>
            <w:r>
              <w:rPr>
                <w:rFonts w:ascii="Arial" w:cs="Arial" w:eastAsia="Arial" w:hAnsi="Arial"/>
                <w:sz w:val="22"/>
                <w:szCs w:val="22"/>
                <w:color w:val="auto"/>
                <w:vertAlign w:val="superscript"/>
              </w:rPr>
              <w:t>(5)</w:t>
            </w:r>
          </w:p>
        </w:tc>
        <w:tc>
          <w:tcPr>
            <w:tcW w:w="15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5,407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Anand Mehra</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100" w:hanging="533"/>
        <w:spacing w:after="0" w:line="212"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options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director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200" w:hanging="533"/>
        <w:spacing w:after="0" w:line="194"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Represents the portion of Mr. Tullman's salary paid by NST Consulting, LLC that we reimburse pursuant to our services agreement with them. See "Certain Relationships and Related Party Transactions — Services Agreements with Ceptaris and NST."</w:t>
      </w:r>
    </w:p>
    <w:p>
      <w:pPr>
        <w:spacing w:after="0" w:line="146" w:lineRule="exact"/>
        <w:rPr>
          <w:rFonts w:ascii="Arial" w:cs="Arial" w:eastAsia="Arial" w:hAnsi="Arial"/>
          <w:sz w:val="21"/>
          <w:szCs w:val="21"/>
          <w:color w:val="auto"/>
          <w:vertAlign w:val="superscript"/>
        </w:rPr>
      </w:pPr>
    </w:p>
    <w:p>
      <w:pPr>
        <w:ind w:left="1680" w:right="140" w:hanging="533"/>
        <w:spacing w:after="0" w:line="194"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Tullman held options to purchase 216,528 shares of our common stock. 25% of the total shares underlying these options vest one year from the grant date and the remaining shares vest in 36 equal monthly installments thereafter.</w:t>
      </w:r>
    </w:p>
    <w:p>
      <w:pPr>
        <w:spacing w:after="0" w:line="146" w:lineRule="exact"/>
        <w:rPr>
          <w:rFonts w:ascii="Arial" w:cs="Arial" w:eastAsia="Arial" w:hAnsi="Arial"/>
          <w:sz w:val="21"/>
          <w:szCs w:val="21"/>
          <w:color w:val="auto"/>
          <w:vertAlign w:val="superscript"/>
        </w:rPr>
      </w:pPr>
    </w:p>
    <w:p>
      <w:pPr>
        <w:ind w:left="1680" w:right="260" w:hanging="533"/>
        <w:spacing w:after="0" w:line="205"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Mr. Tullman is eligible to receive a target bonus for up to 30% of the amounts we pay to NST Consulting, LLC for his services provided to us. Mr. Tullman's bonus is based upon our achievement of specified corporate goals, including our clinical development and capital raising activities. Based on our level of achievement for 2014, our compensation committee awarded Mr. Tullman 100% of his target bonus.</w:t>
      </w:r>
    </w:p>
    <w:p>
      <w:pPr>
        <w:spacing w:after="0" w:line="147" w:lineRule="exact"/>
        <w:rPr>
          <w:rFonts w:ascii="Arial" w:cs="Arial" w:eastAsia="Arial" w:hAnsi="Arial"/>
          <w:sz w:val="21"/>
          <w:szCs w:val="21"/>
          <w:color w:val="auto"/>
          <w:vertAlign w:val="superscript"/>
        </w:rPr>
      </w:pPr>
    </w:p>
    <w:p>
      <w:pPr>
        <w:ind w:left="1680" w:right="40" w:hanging="533"/>
        <w:spacing w:after="0" w:line="194" w:lineRule="auto"/>
        <w:tabs>
          <w:tab w:leader="none" w:pos="16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As of December 31, 2014, Mr. Molineaux held options to purchase 35,301 shares of common stock. 25% of the total shares underlying these options vest one year from the grant date and the remaining shares vest in 36 equal monthly installments thereafter.</w:t>
      </w:r>
    </w:p>
    <w:p>
      <w:pPr>
        <w:spacing w:after="0" w:line="197"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expect that our board of directors will adopt a director compensation policy for non-employee directors to be effective following the closing of this offering.</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and our two other most highly compensated executive officers for the year ended December 31, 2014 were:</w:t>
      </w:r>
    </w:p>
    <w:p>
      <w:pPr>
        <w:spacing w:after="0" w:line="224"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Neal Walker, our President and Chief Executive Officer;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Christopher Powala, our Chief Operating Officer;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Stuart Shanler, our Chief Scientific Officer.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refer to these executive officers in this prospectus as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following table presents the compensation awarded to, earned by or paid to each of our named executive officers for the year ended December 31, 2014. Under a services agreement, we provided the part-time services of Mr. Powala and Dr. Shanler to Alexar Therapeutics, Inc., a company under common control with us, and NST, LLC reimbursed us for these services based on the percentage of time the named executive officer spent on matters related to NST and Alexar Therapeutics, Inc. The salary amounts set forth in the table below represent the total salary earned by the named executive officer during the year ended December 31, 2014, including amounts reimbursed by NST, LLC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Non-Equity</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6"/>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Compensation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r>
      <w:tr>
        <w:trPr>
          <w:trHeight w:val="18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60" w:type="dxa"/>
            <w:vAlign w:val="bottom"/>
          </w:tcPr>
          <w:p>
            <w:pPr>
              <w:spacing w:after="0"/>
              <w:rPr>
                <w:sz w:val="16"/>
                <w:szCs w:val="16"/>
                <w:color w:val="auto"/>
              </w:rPr>
            </w:pPr>
          </w:p>
        </w:tc>
        <w:tc>
          <w:tcPr>
            <w:tcW w:w="980" w:type="dxa"/>
            <w:vAlign w:val="bottom"/>
          </w:tcPr>
          <w:p>
            <w:pPr>
              <w:jc w:val="center"/>
              <w:spacing w:after="0" w:line="18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160" w:type="dxa"/>
            <w:vAlign w:val="bottom"/>
          </w:tcPr>
          <w:p>
            <w:pPr>
              <w:spacing w:after="0"/>
              <w:rPr>
                <w:sz w:val="16"/>
                <w:szCs w:val="16"/>
                <w:color w:val="auto"/>
              </w:rPr>
            </w:pPr>
          </w:p>
        </w:tc>
        <w:tc>
          <w:tcPr>
            <w:tcW w:w="980" w:type="dxa"/>
            <w:vAlign w:val="bottom"/>
          </w:tcPr>
          <w:p>
            <w:pPr>
              <w:jc w:val="center"/>
              <w:ind w:right="242"/>
              <w:spacing w:after="0" w:line="18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(3)</w:t>
            </w:r>
          </w:p>
        </w:tc>
        <w:tc>
          <w:tcPr>
            <w:tcW w:w="16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1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339,900</w:t>
            </w:r>
          </w:p>
        </w:tc>
        <w:tc>
          <w:tcPr>
            <w:tcW w:w="8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241,420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101,970</w:t>
            </w: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10,400</w:t>
            </w: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693,690</w:t>
            </w:r>
          </w:p>
        </w:tc>
        <w:tc>
          <w:tcPr>
            <w:tcW w:w="1180" w:type="dxa"/>
            <w:vAlign w:val="bottom"/>
          </w:tcPr>
          <w:p>
            <w:pPr>
              <w:spacing w:after="0"/>
              <w:rPr>
                <w:sz w:val="16"/>
                <w:szCs w:val="16"/>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President and Chief Executive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409"/>
        </w:trPr>
        <w:tc>
          <w:tcPr>
            <w:tcW w:w="334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820" w:type="dxa"/>
            <w:vAlign w:val="bottom"/>
            <w:gridSpan w:val="3"/>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300,760</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79,875</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90,228</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10,400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481,263</w:t>
            </w:r>
          </w:p>
        </w:tc>
        <w:tc>
          <w:tcPr>
            <w:tcW w:w="1180" w:type="dxa"/>
            <w:vAlign w:val="bottom"/>
          </w:tcPr>
          <w:p>
            <w:pPr>
              <w:spacing w:after="0"/>
              <w:rPr>
                <w:sz w:val="24"/>
                <w:szCs w:val="24"/>
                <w:color w:val="auto"/>
              </w:rPr>
            </w:pPr>
          </w:p>
        </w:tc>
      </w:tr>
      <w:tr>
        <w:trPr>
          <w:trHeight w:val="194"/>
        </w:trPr>
        <w:tc>
          <w:tcPr>
            <w:tcW w:w="334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Chief Operating Officer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06"/>
        </w:trPr>
        <w:tc>
          <w:tcPr>
            <w:tcW w:w="3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2014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283,250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77,602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489,827</w:t>
            </w:r>
          </w:p>
        </w:tc>
        <w:tc>
          <w:tcPr>
            <w:tcW w:w="1180" w:type="dxa"/>
            <w:vAlign w:val="bottom"/>
          </w:tcPr>
          <w:p>
            <w:pPr>
              <w:spacing w:after="0"/>
              <w:rPr>
                <w:sz w:val="24"/>
                <w:szCs w:val="24"/>
                <w:color w:val="auto"/>
              </w:rPr>
            </w:pPr>
          </w:p>
        </w:tc>
      </w:tr>
      <w:tr>
        <w:trPr>
          <w:trHeight w:val="197"/>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Scientific Officer</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7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4" w:lineRule="exact"/>
        <w:rPr>
          <w:sz w:val="20"/>
          <w:szCs w:val="20"/>
          <w:color w:val="auto"/>
        </w:rPr>
      </w:pPr>
    </w:p>
    <w:p>
      <w:pPr>
        <w:ind w:left="1680" w:right="80" w:hanging="533"/>
        <w:spacing w:after="0" w:line="212" w:lineRule="auto"/>
        <w:tabs>
          <w:tab w:leader="none" w:pos="16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 xml:space="preserve">The amounts reflect the full grant date fair value for awards granted during 2014. The grant date fair value was computed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Unlike the calculations contained in our financial statements, this calculation does not give effect to any estimate of</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forfeitures related to service-based vesting, but assumes that the executive will perform the requisite service for the award to vest in full. The assumptions we used in valuing options are described in Note 8 to our audited financial statements included in this prospectus.</w:t>
      </w:r>
    </w:p>
    <w:p>
      <w:pPr>
        <w:spacing w:after="0" w:line="146" w:lineRule="exact"/>
        <w:rPr>
          <w:rFonts w:ascii="Arial" w:cs="Arial" w:eastAsia="Arial" w:hAnsi="Arial"/>
          <w:sz w:val="21"/>
          <w:szCs w:val="21"/>
          <w:color w:val="auto"/>
          <w:vertAlign w:val="superscript"/>
        </w:rPr>
      </w:pPr>
    </w:p>
    <w:p>
      <w:pPr>
        <w:ind w:left="1680" w:right="400" w:hanging="533"/>
        <w:spacing w:after="0" w:line="194" w:lineRule="auto"/>
        <w:tabs>
          <w:tab w:leader="none" w:pos="16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The amounts reflect the bonus paid based on the achievement of specified corporate goals, as discussed further below under "— Narrative to Summary Compensation Table — Annual Bonus.</w:t>
      </w:r>
    </w:p>
    <w:p>
      <w:pPr>
        <w:spacing w:after="0" w:line="146" w:lineRule="exact"/>
        <w:rPr>
          <w:rFonts w:ascii="Arial" w:cs="Arial" w:eastAsia="Arial" w:hAnsi="Arial"/>
          <w:sz w:val="21"/>
          <w:szCs w:val="21"/>
          <w:color w:val="auto"/>
          <w:vertAlign w:val="superscript"/>
        </w:rPr>
      </w:pPr>
    </w:p>
    <w:p>
      <w:pPr>
        <w:ind w:left="1680" w:right="980" w:hanging="533"/>
        <w:spacing w:after="0" w:line="194" w:lineRule="auto"/>
        <w:tabs>
          <w:tab w:leader="none" w:pos="16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We reimbursed Dr. Shanler an amount of $33,600 for corporate housing expenses that he incurred. The other amounts shown in the "All Other Compensation" column consist of company contributions made to the officer's 401(k) plan account.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review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compensation committee of our board of directors has historically determined our executive officers' compensation.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executive officer. Our compensation committee, without members of management present, discusses and ultimately approves the compensation of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Base Salary</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2012, we entered into employment agreements or offer letters with each of our named executive officers that established initial base salaries and target bonus opportunities. The base salaries are reviewed periodically by our compensation committee. The following table presents the base salaries for each of our named executive officers for 2014 and 2015. The 2014 base salaries became effective on January 1, 2014 and the 2015 base salaries became effective on January 1, 2015 for all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69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2014 Base</w:t>
            </w:r>
          </w:p>
        </w:tc>
        <w:tc>
          <w:tcPr>
            <w:tcW w:w="140" w:type="dxa"/>
            <w:vAlign w:val="bottom"/>
          </w:tcPr>
          <w:p>
            <w:pPr>
              <w:spacing w:after="0"/>
              <w:rPr>
                <w:sz w:val="14"/>
                <w:szCs w:val="14"/>
                <w:color w:val="auto"/>
              </w:rPr>
            </w:pPr>
          </w:p>
        </w:tc>
        <w:tc>
          <w:tcPr>
            <w:tcW w:w="27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2015 Base</w:t>
            </w:r>
          </w:p>
        </w:tc>
      </w:tr>
      <w:tr>
        <w:trPr>
          <w:trHeight w:val="157"/>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80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3"/>
                <w:szCs w:val="13"/>
                <w:color w:val="auto"/>
              </w:rPr>
            </w:pPr>
          </w:p>
        </w:tc>
        <w:tc>
          <w:tcPr>
            <w:tcW w:w="2700" w:type="dxa"/>
            <w:vAlign w:val="bottom"/>
            <w:gridSpan w:val="3"/>
          </w:tcPr>
          <w:p>
            <w:pPr>
              <w:ind w:left="200"/>
              <w:spacing w:after="0" w:line="157" w:lineRule="exact"/>
              <w:rPr>
                <w:sz w:val="20"/>
                <w:szCs w:val="20"/>
                <w:color w:val="auto"/>
              </w:rPr>
            </w:pPr>
            <w:r>
              <w:rPr>
                <w:rFonts w:ascii="Arial" w:cs="Arial" w:eastAsia="Arial" w:hAnsi="Arial"/>
                <w:sz w:val="14"/>
                <w:szCs w:val="14"/>
                <w:b w:val="1"/>
                <w:bCs w:val="1"/>
                <w:color w:val="auto"/>
              </w:rPr>
              <w:t>Salary</w:t>
            </w:r>
          </w:p>
        </w:tc>
      </w:tr>
      <w:tr>
        <w:trPr>
          <w:trHeight w:val="169"/>
        </w:trPr>
        <w:tc>
          <w:tcPr>
            <w:tcW w:w="17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80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7"/>
              </w:rPr>
              <w:t>339,900</w:t>
            </w:r>
          </w:p>
        </w:tc>
        <w:tc>
          <w:tcPr>
            <w:tcW w:w="94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w w:val="94"/>
              </w:rPr>
              <w:t>344,999</w:t>
            </w:r>
          </w:p>
        </w:tc>
        <w:tc>
          <w:tcPr>
            <w:tcW w:w="16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7800" w:type="dxa"/>
            <w:vAlign w:val="bottom"/>
            <w:gridSpan w:val="3"/>
          </w:tcPr>
          <w:p>
            <w:pPr>
              <w:ind w:left="1720"/>
              <w:spacing w:after="0"/>
              <w:rPr>
                <w:sz w:val="20"/>
                <w:szCs w:val="20"/>
                <w:color w:val="auto"/>
              </w:rPr>
            </w:pPr>
            <w:r>
              <w:rPr>
                <w:rFonts w:ascii="Arial" w:cs="Arial" w:eastAsia="Arial" w:hAnsi="Arial"/>
                <w:sz w:val="17"/>
                <w:szCs w:val="17"/>
                <w:color w:val="auto"/>
              </w:rPr>
              <w:t>Christopher Powala</w:t>
            </w:r>
          </w:p>
        </w:tc>
        <w:tc>
          <w:tcPr>
            <w:tcW w:w="800" w:type="dxa"/>
            <w:vAlign w:val="bottom"/>
          </w:tcPr>
          <w:p>
            <w:pPr>
              <w:ind w:left="180"/>
              <w:spacing w:after="0"/>
              <w:rPr>
                <w:sz w:val="20"/>
                <w:szCs w:val="20"/>
                <w:color w:val="auto"/>
              </w:rPr>
            </w:pPr>
            <w:r>
              <w:rPr>
                <w:rFonts w:ascii="Arial" w:cs="Arial" w:eastAsia="Arial" w:hAnsi="Arial"/>
                <w:sz w:val="17"/>
                <w:szCs w:val="17"/>
                <w:color w:val="auto"/>
                <w:w w:val="97"/>
              </w:rPr>
              <w:t>300,760</w:t>
            </w:r>
          </w:p>
        </w:tc>
        <w:tc>
          <w:tcPr>
            <w:tcW w:w="940" w:type="dxa"/>
            <w:vAlign w:val="bottom"/>
            <w:gridSpan w:val="2"/>
          </w:tcPr>
          <w:p>
            <w:pPr>
              <w:ind w:left="340"/>
              <w:spacing w:after="0"/>
              <w:rPr>
                <w:sz w:val="20"/>
                <w:szCs w:val="20"/>
                <w:color w:val="auto"/>
              </w:rPr>
            </w:pPr>
            <w:r>
              <w:rPr>
                <w:rFonts w:ascii="Arial" w:cs="Arial" w:eastAsia="Arial" w:hAnsi="Arial"/>
                <w:sz w:val="17"/>
                <w:szCs w:val="17"/>
                <w:color w:val="auto"/>
                <w:w w:val="94"/>
              </w:rPr>
              <w:t>305,221</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283,250</w:t>
            </w: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4"/>
              </w:rPr>
              <w:t>287,499</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05"/>
        </w:trPr>
        <w:tc>
          <w:tcPr>
            <w:tcW w:w="17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seek to motivate and reward our executives for achievements relative to our corporate goals and expectations for each fiscal year. For 2014 and 2015, the target bonus was and is 30% of each named executive officer's base salary.</w:t>
      </w:r>
    </w:p>
    <w:p>
      <w:pPr>
        <w:spacing w:after="0" w:line="19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For 2014, target bonuses were based on our achievement of specified corporate goals, including our clinical development and capital raising activities. Based on the level of achievement, our compensation committee awarded each named executive officer 100% of his target bonus for the year. These actual bonus amounts are reflected in the "Non-Equity Incentive Plan Compensation" column of the Summary Compensation Table above.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Incentives</w:t>
      </w:r>
    </w:p>
    <w:p>
      <w:pPr>
        <w:spacing w:after="0" w:line="231" w:lineRule="exact"/>
        <w:rPr>
          <w:sz w:val="20"/>
          <w:szCs w:val="20"/>
          <w:color w:val="auto"/>
        </w:rPr>
      </w:pPr>
    </w:p>
    <w:p>
      <w:pPr>
        <w:jc w:val="both"/>
        <w:ind w:right="120"/>
        <w:spacing w:after="0" w:line="252" w:lineRule="auto"/>
        <w:rPr>
          <w:sz w:val="20"/>
          <w:szCs w:val="20"/>
          <w:color w:val="auto"/>
        </w:rPr>
      </w:pPr>
      <w:r>
        <w:rPr>
          <w:rFonts w:ascii="Arial" w:cs="Arial" w:eastAsia="Arial" w:hAnsi="Arial"/>
          <w:sz w:val="17"/>
          <w:szCs w:val="17"/>
          <w:color w:val="auto"/>
        </w:rPr>
        <w:t>Our 2012 equity compensation plan, or the 2012 plan, authorizes us to make grants to eligible recipients of non-qualified stock options, incentive stock options and other stock-based awards. All of our awards under this plan to date have been in the form of stock options.</w:t>
      </w:r>
    </w:p>
    <w:p>
      <w:pPr>
        <w:spacing w:after="0" w:line="19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award stock options on the date the compensation committee approves the grant. We set the option exercise price and grant date fair value based on our per-share valuation on the date of grant. The shares underlying options granted under our 2012 typically vest 25% one year from the date of grant and the remaining shares vest in 36 equal monthly installments thereafter.</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August 2014, our compensation committee awarded options to Dr. Walker, Mr. Powala and Dr. Shanler to purchase 150,243 shares, 49,896 shares and 49,896 shares of our common stock, respectively. Each of these options has an exercise price of $0.21 per share. In December 2014, our compensation committee approved additional option grants to Dr. Walker, Mr. Powala and Dr. Shanler to purchase 410,000 shares, 135,500 shares and 130,500 shares of our common stock, respectively. Each of these options has an exercise price of $0.44 per share.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Except for the benefits described above, we do not provide perquisites or personal benefits to our named executive officers. We do, however, pay the premiums for life, medical and dental insurance for all of our employees, including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and Potential Payments upon Termination of Employment</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In August 2012, we entered into an employment agreement with Dr. Walker under which he serves as our Chief Executive Officer and President. Under this agreement, Dr. Walker is eligible to receive severance benefits in specified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that we terminate Dr. Walker without cause, he resigns for good reason or his employment is terminated due to death or disability,</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Dr. Walker, or his estate, will be entitled to receive, upon execution and effectiveness of a release of claims, (i) an amount equal to 12 months of his then-current salary payable in accordance with our normal payroll practices, (ii) a lump sum payment of any approved but unpaid bonuses or portion thereof, (iii) any and all accrued employee benefits to which he is entitled and (iv) a direct payment by us to the applicable healthcare provider of 100% of the medical, vision, and dental coverage premiums due to maintain any COBRA coverage for which he is eligible and has appropriately elected for 12 months following termination; except that, in the event he is terminated following a change of control, he will be entitled to an additional lump sum payment equal to six months of base salary, less applicable deductions and withholdings, and up to six additional months of paid COBRA premiums.</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Dr. Walker's employment is terminated upon nonrenewal of the employment contract by us, Dr. Walker will be entitled to receive, upon execution and effectiveness of a release of claims, (i) continued payment of his salary during a 120-day nonrenewal notice period, (ii) an amount equal to 12 months of his then-current salary payable in accordance with our normal payroll practices, (iii) any and all unpaid salary accrued and earned up to and including the effective date of termination, (iv) a lump sum of any approved but unpaid bonuses or portion thereof and (v) a direct payment by us to the applicable healthcare provider of 100% of the medical, vision, and dental coverage premiums due to maintain any COBRA coverage for which he is eligible and has appropriately elected, for eight months following termination. In the event that we terminate Dr. Walker with cause, he resigns without good reason, or his employment is terminated due to his nonrenewal of the employment contract by him, then he will not be entitled to receive severance benefits.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are used in Dr. Walker's employment agreement:</w:t>
      </w:r>
    </w:p>
    <w:p>
      <w:pPr>
        <w:spacing w:after="0" w:line="224" w:lineRule="exact"/>
        <w:rPr>
          <w:sz w:val="20"/>
          <w:szCs w:val="20"/>
          <w:color w:val="auto"/>
        </w:rPr>
      </w:pPr>
    </w:p>
    <w:p>
      <w:pPr>
        <w:ind w:left="1060" w:right="60" w:hanging="531"/>
        <w:spacing w:after="0" w:line="244"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"cause" means: (i) Dr. Walker's conviction of, or guilty plea to, a crime of moral turpitude, whether or not a felony, or a felony, other than traffic violations; (ii) any act or omission by him which constitutes gross negligence or a material breach of his duty of loyalty; (iii) if he is regularly under the influence of alcohol or illegal substances while performing services for us; (iv) any material breach by him of our personnel policies, including those prohibiting acts of discrimination, harassment or retaliation; or (v) a material violation or breach by him of his employment agreement, subject to specified exceptions;</w:t>
      </w:r>
    </w:p>
    <w:p>
      <w:pPr>
        <w:spacing w:after="0" w:line="212" w:lineRule="exact"/>
        <w:rPr>
          <w:rFonts w:ascii="Arial" w:cs="Arial" w:eastAsia="Arial" w:hAnsi="Arial"/>
          <w:sz w:val="17"/>
          <w:szCs w:val="17"/>
          <w:color w:val="auto"/>
        </w:rPr>
      </w:pPr>
    </w:p>
    <w:p>
      <w:pPr>
        <w:ind w:left="1060" w:hanging="531"/>
        <w:spacing w:after="0" w:line="243"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"good reason" means, in the absence of events that would support a termination for cause: (i) there is a material failure by us to pay Dr. Walker's salary or additional compensation or benefits in accordance with the employment agreement; (ii) his annual base salary is materially decreased without his prior written consent; (iii) he is assigned duties substantially inconsistent with his title and the responsibilities set forth in his job description without his prior written consent; (iv) his place of employment is changed to a location that is greater than 50 miles from his current place of employment; or (v) any other material violation or breach by us of his employment agreement; provided, however, none of the above events will constitute good reason absent Dr. Walker providing us with proper notice and our failure to cure such event within 30 days of such notice; and</w:t>
      </w:r>
    </w:p>
    <w:p>
      <w:pPr>
        <w:spacing w:after="0" w:line="200" w:lineRule="exact"/>
        <w:rPr>
          <w:rFonts w:ascii="Arial" w:cs="Arial" w:eastAsia="Arial" w:hAnsi="Arial"/>
          <w:sz w:val="17"/>
          <w:szCs w:val="17"/>
          <w:color w:val="auto"/>
        </w:rPr>
      </w:pPr>
    </w:p>
    <w:p>
      <w:pPr>
        <w:ind w:left="1060" w:right="620" w:hanging="531"/>
        <w:spacing w:after="0" w:line="25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line="242" w:lineRule="auto"/>
        <w:rPr>
          <w:sz w:val="20"/>
          <w:szCs w:val="20"/>
          <w:color w:val="auto"/>
        </w:rPr>
      </w:pPr>
      <w:r>
        <w:rPr>
          <w:rFonts w:ascii="Arial" w:cs="Arial" w:eastAsia="Arial" w:hAnsi="Arial"/>
          <w:sz w:val="17"/>
          <w:szCs w:val="17"/>
          <w:color w:val="auto"/>
        </w:rPr>
        <w:t>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purposes.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In addition, we have entered into letter agreements with each of Mr. Powala and Dr. Shanler. Under the terms of the letter agreements, each of Mr. Powala and Dr. Shanler is entitled to receive severance benefits if there is a change of control of our company or we terminate his employment without cause.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definitions have been adopted in these letters agreements:</w:t>
      </w:r>
    </w:p>
    <w:p>
      <w:pPr>
        <w:spacing w:after="0" w:line="224" w:lineRule="exact"/>
        <w:rPr>
          <w:sz w:val="20"/>
          <w:szCs w:val="20"/>
          <w:color w:val="auto"/>
        </w:rPr>
      </w:pPr>
    </w:p>
    <w:p>
      <w:pPr>
        <w:ind w:left="1060" w:right="20" w:hanging="531"/>
        <w:spacing w:after="0" w:line="245"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"cause" means: (i) the officer's conviction of, or guilty plea to, a crime of moral turpitude, whether or not a felony, or a felony, other than traffic violations; (ii) any act or omission by the officer which constitutes gross negligence or a material breach of his duty of loyalty; (iii) if the officer is regularly under the influence of alcohol or illegal substances while performing services for us; or (iv) any material breach by the officer of our personnel policies, including those prohibiting acts of discrimination, harassment or retaliation; and</w:t>
      </w:r>
    </w:p>
    <w:p>
      <w:pPr>
        <w:spacing w:after="0" w:line="211" w:lineRule="exact"/>
        <w:rPr>
          <w:rFonts w:ascii="Arial" w:cs="Arial" w:eastAsia="Arial" w:hAnsi="Arial"/>
          <w:sz w:val="17"/>
          <w:szCs w:val="17"/>
          <w:color w:val="auto"/>
        </w:rPr>
      </w:pPr>
    </w:p>
    <w:p>
      <w:pPr>
        <w:ind w:left="1060" w:hanging="531"/>
        <w:spacing w:after="0" w:line="24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lease, or other disposition, including through a division or spin-off transaction, of all or substantially all of our assets or any of our subsidiaries' assets or any sale, lease or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purposes.</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event of a change of control, each of Mr. Powala and Dr. Shanler, upon execution and effectiveness of a release of claims, will be entitled to receive a bonus in an amount equal to 12 months of his regular monthly base salary as of the effective date of the change of control. In addition to these payments, if the officer is terminated without cause within 90 days after a change of control, then, upon execution and effectiveness of a release of claims, we will also pay directly to the applicable healthcare provider 100% of the medical, vision, and dental coverage premiums due to maintain any COBRA coverage for which the officer is eligible and has appropriately elected, for 12 months following termination.</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We expect to enter into amended and restated employment agreements with each of our named executive officers prior to the closing of this offering.</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addition, each of our named executive officers hold restricted shares of common stock, which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End of 2014</w:t>
      </w:r>
    </w:p>
    <w:p>
      <w:pPr>
        <w:spacing w:after="0" w:line="231" w:lineRule="exact"/>
        <w:rPr>
          <w:sz w:val="20"/>
          <w:szCs w:val="20"/>
          <w:color w:val="auto"/>
        </w:rPr>
      </w:pPr>
    </w:p>
    <w:p>
      <w:pPr>
        <w:ind w:right="1000"/>
        <w:spacing w:after="0" w:line="252" w:lineRule="auto"/>
        <w:rPr>
          <w:sz w:val="20"/>
          <w:szCs w:val="20"/>
          <w:color w:val="auto"/>
        </w:rPr>
      </w:pPr>
      <w:r>
        <w:rPr>
          <w:rFonts w:ascii="Arial" w:cs="Arial" w:eastAsia="Arial" w:hAnsi="Arial"/>
          <w:sz w:val="17"/>
          <w:szCs w:val="17"/>
          <w:color w:val="auto"/>
        </w:rPr>
        <w:t>The following table provides information about outstanding stock options and stock awards held by each of our named executive officers at December 31, 2014. All stock options were granted under our 2012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Number of Securities</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Number of</w:t>
            </w: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Market Value of</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Underlying Unexercised</w:t>
            </w:r>
          </w:p>
        </w:tc>
        <w:tc>
          <w:tcPr>
            <w:tcW w:w="7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Shares of</w:t>
            </w:r>
          </w:p>
        </w:tc>
        <w:tc>
          <w:tcPr>
            <w:tcW w:w="12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80" w:type="dxa"/>
            <w:vAlign w:val="bottom"/>
            <w:gridSpan w:val="4"/>
          </w:tcPr>
          <w:p>
            <w:pPr>
              <w:ind w:left="700"/>
              <w:spacing w:after="0" w:line="157" w:lineRule="exact"/>
              <w:rPr>
                <w:sz w:val="20"/>
                <w:szCs w:val="20"/>
                <w:color w:val="auto"/>
              </w:rPr>
            </w:pPr>
            <w:r>
              <w:rPr>
                <w:rFonts w:ascii="Arial" w:cs="Arial" w:eastAsia="Arial" w:hAnsi="Arial"/>
                <w:sz w:val="14"/>
                <w:szCs w:val="14"/>
                <w:b w:val="1"/>
                <w:bCs w:val="1"/>
                <w:color w:val="auto"/>
              </w:rPr>
              <w:t>Options (#)</w:t>
            </w:r>
          </w:p>
        </w:tc>
        <w:tc>
          <w:tcPr>
            <w:tcW w:w="7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ind w:left="420"/>
              <w:spacing w:after="0" w:line="157"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Stock That</w:t>
            </w:r>
          </w:p>
        </w:tc>
        <w:tc>
          <w:tcPr>
            <w:tcW w:w="1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Shares of Stock</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vMerge w:val="restart"/>
          </w:tcPr>
          <w:p>
            <w:pPr>
              <w:jc w:val="center"/>
              <w:ind w:right="160"/>
              <w:spacing w:after="0" w:line="118" w:lineRule="exact"/>
              <w:rPr>
                <w:sz w:val="20"/>
                <w:szCs w:val="20"/>
                <w:color w:val="auto"/>
              </w:rPr>
            </w:pPr>
            <w:r>
              <w:rPr>
                <w:rFonts w:ascii="Arial" w:cs="Arial" w:eastAsia="Arial" w:hAnsi="Arial"/>
                <w:sz w:val="13"/>
                <w:szCs w:val="13"/>
                <w:b w:val="1"/>
                <w:bCs w:val="1"/>
                <w:color w:val="auto"/>
              </w:rPr>
              <w:t>Price</w:t>
            </w:r>
          </w:p>
        </w:tc>
        <w:tc>
          <w:tcPr>
            <w:tcW w:w="1460" w:type="dxa"/>
            <w:vAlign w:val="bottom"/>
            <w:gridSpan w:val="2"/>
            <w:vMerge w:val="restart"/>
          </w:tcPr>
          <w:p>
            <w:pPr>
              <w:ind w:left="300"/>
              <w:spacing w:after="0" w:line="118" w:lineRule="exact"/>
              <w:rPr>
                <w:sz w:val="20"/>
                <w:szCs w:val="20"/>
                <w:color w:val="auto"/>
              </w:rPr>
            </w:pPr>
            <w:r>
              <w:rPr>
                <w:rFonts w:ascii="Arial" w:cs="Arial" w:eastAsia="Arial" w:hAnsi="Arial"/>
                <w:sz w:val="13"/>
                <w:szCs w:val="13"/>
                <w:b w:val="1"/>
                <w:bCs w:val="1"/>
                <w:color w:val="auto"/>
              </w:rPr>
              <w:t>Expiration</w:t>
            </w:r>
          </w:p>
        </w:tc>
        <w:tc>
          <w:tcPr>
            <w:tcW w:w="1120" w:type="dxa"/>
            <w:vAlign w:val="bottom"/>
            <w:gridSpan w:val="2"/>
            <w:vMerge w:val="restart"/>
          </w:tcPr>
          <w:p>
            <w:pPr>
              <w:jc w:val="center"/>
              <w:ind w:right="260"/>
              <w:spacing w:after="0" w:line="118" w:lineRule="exact"/>
              <w:rPr>
                <w:sz w:val="20"/>
                <w:szCs w:val="20"/>
                <w:color w:val="auto"/>
              </w:rPr>
            </w:pPr>
            <w:r>
              <w:rPr>
                <w:rFonts w:ascii="Arial" w:cs="Arial" w:eastAsia="Arial" w:hAnsi="Arial"/>
                <w:sz w:val="13"/>
                <w:szCs w:val="13"/>
                <w:b w:val="1"/>
                <w:bCs w:val="1"/>
                <w:color w:val="auto"/>
              </w:rPr>
              <w:t>Have Not</w:t>
            </w:r>
          </w:p>
        </w:tc>
        <w:tc>
          <w:tcPr>
            <w:tcW w:w="1280" w:type="dxa"/>
            <w:vAlign w:val="bottom"/>
            <w:gridSpan w:val="2"/>
            <w:vMerge w:val="restart"/>
          </w:tcPr>
          <w:p>
            <w:pPr>
              <w:jc w:val="center"/>
              <w:ind w:right="140"/>
              <w:spacing w:after="0" w:line="118" w:lineRule="exact"/>
              <w:rPr>
                <w:sz w:val="20"/>
                <w:szCs w:val="20"/>
                <w:color w:val="auto"/>
              </w:rPr>
            </w:pPr>
            <w:r>
              <w:rPr>
                <w:rFonts w:ascii="Arial" w:cs="Arial" w:eastAsia="Arial" w:hAnsi="Arial"/>
                <w:sz w:val="13"/>
                <w:szCs w:val="13"/>
                <w:b w:val="1"/>
                <w:bCs w:val="1"/>
                <w:color w:val="auto"/>
              </w:rPr>
              <w:t>That Have Not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3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right"/>
              <w:ind w:right="260"/>
              <w:spacing w:after="0" w:line="184" w:lineRule="exact"/>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20"/>
                <w:szCs w:val="20"/>
                <w:b w:val="1"/>
                <w:bCs w:val="1"/>
                <w:color w:val="auto"/>
                <w:w w:val="97"/>
                <w:vertAlign w:val="superscript"/>
              </w:rPr>
              <w:t>(1)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Vested (#)</w:t>
            </w:r>
          </w:p>
        </w:tc>
        <w:tc>
          <w:tcPr>
            <w:tcW w:w="1280" w:type="dxa"/>
            <w:vAlign w:val="bottom"/>
            <w:gridSpan w:val="2"/>
          </w:tcPr>
          <w:p>
            <w:pPr>
              <w:jc w:val="center"/>
              <w:ind w:right="140"/>
              <w:spacing w:after="0" w:line="184" w:lineRule="exact"/>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20"/>
                <w:szCs w:val="20"/>
                <w:b w:val="1"/>
                <w:bCs w:val="1"/>
                <w:color w:val="auto"/>
                <w:w w:val="93"/>
                <w:vertAlign w:val="superscript"/>
              </w:rPr>
              <w:t>(6)</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Neal Walker</w:t>
            </w:r>
          </w:p>
        </w:tc>
        <w:tc>
          <w:tcPr>
            <w:tcW w:w="1020" w:type="dxa"/>
            <w:vAlign w:val="bottom"/>
            <w:gridSpan w:val="2"/>
            <w:shd w:val="clear" w:color="auto" w:fill="CCEEFF"/>
          </w:tcPr>
          <w:p>
            <w:pPr>
              <w:ind w:left="68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4"/>
                <w:szCs w:val="14"/>
                <w:color w:val="auto"/>
              </w:rPr>
              <w:t>150,243</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0.21</w:t>
            </w:r>
          </w:p>
        </w:tc>
        <w:tc>
          <w:tcPr>
            <w:tcW w:w="146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410,000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1,072,708</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568,535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gridSpan w:val="2"/>
          </w:tcPr>
          <w:p>
            <w:pPr>
              <w:spacing w:after="0"/>
              <w:rPr>
                <w:sz w:val="20"/>
                <w:szCs w:val="20"/>
                <w:color w:val="auto"/>
              </w:rPr>
            </w:pPr>
            <w:r>
              <w:rPr>
                <w:rFonts w:ascii="Arial" w:cs="Arial" w:eastAsia="Arial" w:hAnsi="Arial"/>
                <w:sz w:val="17"/>
                <w:szCs w:val="17"/>
                <w:color w:val="auto"/>
              </w:rPr>
              <w:t>Christopher Powala</w:t>
            </w: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2" w:lineRule="exact"/>
              <w:rPr>
                <w:sz w:val="20"/>
                <w:szCs w:val="20"/>
                <w:color w:val="auto"/>
              </w:rPr>
            </w:pPr>
            <w:r>
              <w:rPr>
                <w:rFonts w:ascii="Arial" w:cs="Arial" w:eastAsia="Arial" w:hAnsi="Arial"/>
                <w:sz w:val="15"/>
                <w:szCs w:val="15"/>
                <w:color w:val="auto"/>
              </w:rPr>
              <w:t>49,896</w:t>
            </w:r>
            <w:r>
              <w:rPr>
                <w:rFonts w:ascii="Arial" w:cs="Arial" w:eastAsia="Arial" w:hAnsi="Arial"/>
                <w:sz w:val="24"/>
                <w:szCs w:val="24"/>
                <w:color w:val="auto"/>
                <w:vertAlign w:val="superscript"/>
              </w:rPr>
              <w:t>(2)</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0.21</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line="210" w:lineRule="exact"/>
              <w:rPr>
                <w:sz w:val="20"/>
                <w:szCs w:val="20"/>
                <w:color w:val="auto"/>
              </w:rPr>
            </w:pPr>
            <w:r>
              <w:rPr>
                <w:rFonts w:ascii="Arial" w:cs="Arial" w:eastAsia="Arial" w:hAnsi="Arial"/>
                <w:sz w:val="15"/>
                <w:szCs w:val="15"/>
                <w:color w:val="auto"/>
              </w:rPr>
              <w:t>135,500</w:t>
            </w:r>
            <w:r>
              <w:rPr>
                <w:rFonts w:ascii="Arial" w:cs="Arial" w:eastAsia="Arial" w:hAnsi="Arial"/>
                <w:sz w:val="24"/>
                <w:szCs w:val="24"/>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94" w:lineRule="exact"/>
              <w:rPr>
                <w:sz w:val="20"/>
                <w:szCs w:val="20"/>
                <w:color w:val="auto"/>
              </w:rPr>
            </w:pPr>
            <w:r>
              <w:rPr>
                <w:rFonts w:ascii="Arial" w:cs="Arial" w:eastAsia="Arial" w:hAnsi="Arial"/>
                <w:sz w:val="14"/>
                <w:szCs w:val="14"/>
                <w:color w:val="auto"/>
              </w:rPr>
              <w:t>356,250</w:t>
            </w:r>
            <w:r>
              <w:rPr>
                <w:rFonts w:ascii="Arial" w:cs="Arial" w:eastAsia="Arial" w:hAnsi="Arial"/>
                <w:sz w:val="22"/>
                <w:szCs w:val="22"/>
                <w:color w:val="auto"/>
                <w:vertAlign w:val="superscript"/>
              </w:rPr>
              <w:t>(4)</w:t>
            </w:r>
          </w:p>
        </w:tc>
        <w:tc>
          <w:tcPr>
            <w:tcW w:w="12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Stuart Shanler</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97" w:lineRule="exact"/>
              <w:rPr>
                <w:sz w:val="20"/>
                <w:szCs w:val="20"/>
                <w:color w:val="auto"/>
              </w:rPr>
            </w:pPr>
            <w:r>
              <w:rPr>
                <w:rFonts w:ascii="Arial" w:cs="Arial" w:eastAsia="Arial" w:hAnsi="Arial"/>
                <w:sz w:val="14"/>
                <w:szCs w:val="14"/>
                <w:color w:val="auto"/>
              </w:rPr>
              <w:t>49,896</w:t>
            </w:r>
            <w:r>
              <w:rPr>
                <w:rFonts w:ascii="Arial" w:cs="Arial" w:eastAsia="Arial" w:hAnsi="Arial"/>
                <w:sz w:val="22"/>
                <w:szCs w:val="22"/>
                <w:color w:val="auto"/>
                <w:vertAlign w:val="superscript"/>
              </w:rPr>
              <w:t>(2)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08/12/2024</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5"/>
                <w:szCs w:val="15"/>
                <w:color w:val="auto"/>
              </w:rPr>
              <w:t>130,500</w:t>
            </w:r>
            <w:r>
              <w:rPr>
                <w:rFonts w:ascii="Arial" w:cs="Arial" w:eastAsia="Arial" w:hAnsi="Arial"/>
                <w:sz w:val="24"/>
                <w:szCs w:val="24"/>
                <w:color w:val="auto"/>
                <w:vertAlign w:val="superscript"/>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0.44</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12/07/2024</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5"/>
                <w:szCs w:val="15"/>
                <w:color w:val="auto"/>
              </w:rPr>
              <w:t>356,250</w:t>
            </w:r>
            <w:r>
              <w:rPr>
                <w:rFonts w:ascii="Arial" w:cs="Arial" w:eastAsia="Arial" w:hAnsi="Arial"/>
                <w:sz w:val="24"/>
                <w:szCs w:val="24"/>
                <w:color w:val="auto"/>
                <w:vertAlign w:val="superscript"/>
              </w:rPr>
              <w:t>(5)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188,813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right="20" w:hanging="533"/>
        <w:spacing w:after="0" w:line="205"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All options granted to date under our 2012 plan to the named executive officers are exercisable immediately, subject to a repurchase right in our favor that lapses as the option vests. This column reflects the number of options held by our named executive officers that were unvested, as opposed to unexercisable, as of December 31, 2014.</w:t>
      </w:r>
    </w:p>
    <w:p>
      <w:pPr>
        <w:spacing w:after="0" w:line="147" w:lineRule="exact"/>
        <w:rPr>
          <w:rFonts w:ascii="Arial" w:cs="Arial" w:eastAsia="Arial" w:hAnsi="Arial"/>
          <w:sz w:val="21"/>
          <w:szCs w:val="21"/>
          <w:color w:val="auto"/>
          <w:vertAlign w:val="superscript"/>
        </w:rPr>
      </w:pPr>
    </w:p>
    <w:p>
      <w:pPr>
        <w:ind w:left="1680" w:right="320" w:hanging="533"/>
        <w:spacing w:after="0" w:line="194"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 as to 25% of the shares on August 13,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ind w:left="1680" w:right="180" w:hanging="533"/>
        <w:spacing w:after="0" w:line="194"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 unvested shares underlying this option vest as to 25% of the shares on December 8, 2015, with the remainder vesting in 36 equal monthly installments thereafter, subject to the officer's continued service through each applicable vesting date.</w:t>
      </w:r>
    </w:p>
    <w:p>
      <w:pPr>
        <w:spacing w:after="0" w:line="146" w:lineRule="exact"/>
        <w:rPr>
          <w:rFonts w:ascii="Arial" w:cs="Arial" w:eastAsia="Arial" w:hAnsi="Arial"/>
          <w:sz w:val="21"/>
          <w:szCs w:val="21"/>
          <w:color w:val="auto"/>
          <w:vertAlign w:val="superscript"/>
        </w:rPr>
      </w:pPr>
    </w:p>
    <w:p>
      <w:pPr>
        <w:jc w:val="both"/>
        <w:ind w:left="1680" w:right="140" w:hanging="533"/>
        <w:spacing w:after="0" w:line="212" w:lineRule="auto"/>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Consists of 178,125 restricted shares held by Mr. Powala directly and 178,125 restricted shares held by the Christopher V. Powala Aclaris Irrevocable Trust, of which Mr. Powala serves as the trustee. These restricted shares will vest in equal monthly installments through July 13, 2016. These restricted shares are subject to full acceleration of vesting (a) upon the closing of this offering or a change of control, (b) upon the officer's death or disability or (c) if we terminate the officer without cause or the officer resigns for good reason.</w:t>
      </w:r>
    </w:p>
    <w:p>
      <w:pPr>
        <w:spacing w:after="0" w:line="62"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These restricted shares will vest in equal monthly installments through July 13, 2016. These restricted shares are subject to full acceleration of vesting</w:t>
      </w:r>
    </w:p>
    <w:p>
      <w:pPr>
        <w:ind w:left="1680" w:right="100"/>
        <w:spacing w:after="0" w:line="245" w:lineRule="auto"/>
        <w:rPr>
          <w:rFonts w:ascii="Arial" w:cs="Arial" w:eastAsia="Arial" w:hAnsi="Arial"/>
          <w:sz w:val="21"/>
          <w:szCs w:val="21"/>
          <w:color w:val="auto"/>
          <w:vertAlign w:val="superscript"/>
        </w:rPr>
      </w:pPr>
      <w:r>
        <w:rPr>
          <w:rFonts w:ascii="Arial" w:cs="Arial" w:eastAsia="Arial" w:hAnsi="Arial"/>
          <w:sz w:val="14"/>
          <w:szCs w:val="14"/>
          <w:color w:val="auto"/>
        </w:rPr>
        <w:t>(a) upon the closing of this offering or a change of control, (b) upon the officer's death or disability or (c) if we terminate the officer without cause or the officer resigns for good reason.</w:t>
      </w:r>
    </w:p>
    <w:p>
      <w:pPr>
        <w:spacing w:after="0" w:line="70"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Based on the valuation of our common stock of $0.53 per share as of December 8, 2014.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3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2014.</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named executive officers did not participate in, or otherwise receive any benefits under, any nonqualified deferred compensation plan sponsored by us during 2014.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expect that our board of directors will adopt, and our stockholders will approve, prior to the closing of this offering our 2015 Equity Incentive Plan, or our 2015 plan. We do not expect to issue equity awards under our 2015 plan until after the closing of this offering. Our 2015 plan will provide for the grant of incentive stock options within the meaning of Section 422 of the Internal Revenue Code, or the Code, to our employees and our parent and subsidiary corporations' employees, and for the grant of nonstatutory stock options, restricted stock awards, restricted stock unit awards, stock appreciation rights, performance stock awards and other forms of stock compensation to our employees, including officers, consultants and directors. Our 2015 plan will also provide for the grant of performance cash awards to our employees, consultants and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 maximum number of shares of our common stock that may be issued under our 2015 plan is shares. The number of shares of our common stock reserved for issuance under our 2015 plan will automatically increase on January 1 of each year, beginning on January 1 of the year</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after the closing of this offering and ending on January 1, 2025, by % of the total number of shares of our common stock outstanding on December 31 of the preceding calendar year, or a lesser number of shares as may be determined by our board of directors. The maximum number of</w:t>
      </w:r>
    </w:p>
    <w:p>
      <w:pPr>
        <w:spacing w:after="0" w:line="1" w:lineRule="exact"/>
        <w:rPr>
          <w:sz w:val="20"/>
          <w:szCs w:val="20"/>
          <w:color w:val="auto"/>
        </w:rPr>
      </w:pPr>
    </w:p>
    <w:p>
      <w:pPr>
        <w:spacing w:after="0"/>
        <w:tabs>
          <w:tab w:leader="none" w:pos="8380" w:val="left"/>
        </w:tabs>
        <w:rPr>
          <w:sz w:val="20"/>
          <w:szCs w:val="20"/>
          <w:color w:val="auto"/>
        </w:rPr>
      </w:pPr>
      <w:r>
        <w:rPr>
          <w:rFonts w:ascii="Arial" w:cs="Arial" w:eastAsia="Arial" w:hAnsi="Arial"/>
          <w:sz w:val="17"/>
          <w:szCs w:val="17"/>
          <w:color w:val="auto"/>
        </w:rPr>
        <w:t>shares that may be issued pursuant to exercise of incentive stock options under the 2015 plan is</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Shares issued under our 2015 plan may be authorized but unissued or reacquired shares of our common stock. Shares subject to stock awards granted under our 2015 plan that expire or terminate without being exercised in full, or that are paid out in cash rather than in shares, will not reduce the number of shares available for issuance under our 2015 plan. Additionally, shares issued pursuant to stock awards under our 2015 plan that we repurchase or that are forfeited, as well as shares reacquired by us as consideration for the exercise or purchase price of a stock award or to satisfy tax withholding obligations related to a stock award, will become available for future grant under our 2015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Our board of directors, or a duly authorized committee thereof, has the authority to administer our 2015 plan. Our board of directors has delegated its authority to administer our 2015 plan to our compensation committee under the terms of the compensation committee's charter. Our board of directors may also delegate to one or more of our officers the authority to (i) designate employees other than officers to receive specified stock awards and</w:t>
      </w:r>
    </w:p>
    <w:p>
      <w:pPr>
        <w:spacing w:after="0" w:line="1" w:lineRule="exact"/>
        <w:rPr>
          <w:sz w:val="20"/>
          <w:szCs w:val="20"/>
          <w:color w:val="auto"/>
        </w:rPr>
      </w:pPr>
    </w:p>
    <w:p>
      <w:pPr>
        <w:ind w:right="140" w:firstLine="5"/>
        <w:spacing w:after="0" w:line="244" w:lineRule="auto"/>
        <w:tabs>
          <w:tab w:leader="none" w:pos="2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determine the number of shares of our common stock to be subject to such stock awards. Subject to the terms of our 2015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2015 plan.</w:t>
      </w:r>
    </w:p>
    <w:p>
      <w:pPr>
        <w:spacing w:after="0" w:line="19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administrator has the power to modify outstanding awards under our 2015 plan. Subject to the terms of our 2015 plan, the administrator has the authority to reprice any outstanding option or stock appreciation right, cancel and re-grant any outstanding option or stock appreciation right in exchange for new stock awards, cash or other consideration or take any other action that is treated as a repricing under GAAP with the consent of any adversely affected participant.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162(m) Limits</w:t>
      </w:r>
    </w:p>
    <w:p>
      <w:pPr>
        <w:spacing w:after="0" w:line="229" w:lineRule="exact"/>
        <w:rPr>
          <w:sz w:val="20"/>
          <w:szCs w:val="20"/>
          <w:color w:val="auto"/>
        </w:rPr>
      </w:pPr>
    </w:p>
    <w:p>
      <w:pPr>
        <w:spacing w:after="0"/>
        <w:tabs>
          <w:tab w:leader="none" w:pos="5760" w:val="left"/>
        </w:tabs>
        <w:rPr>
          <w:sz w:val="20"/>
          <w:szCs w:val="20"/>
          <w:color w:val="auto"/>
        </w:rPr>
      </w:pPr>
      <w:r>
        <w:rPr>
          <w:rFonts w:ascii="Arial" w:cs="Arial" w:eastAsia="Arial" w:hAnsi="Arial"/>
          <w:sz w:val="17"/>
          <w:szCs w:val="17"/>
          <w:color w:val="auto"/>
        </w:rPr>
        <w:t>No participant may be granted stock awards covering more than</w:t>
      </w:r>
      <w:r>
        <w:rPr>
          <w:sz w:val="20"/>
          <w:szCs w:val="20"/>
          <w:color w:val="auto"/>
        </w:rPr>
        <w:tab/>
      </w:r>
      <w:r>
        <w:rPr>
          <w:rFonts w:ascii="Arial" w:cs="Arial" w:eastAsia="Arial" w:hAnsi="Arial"/>
          <w:sz w:val="17"/>
          <w:szCs w:val="17"/>
          <w:color w:val="auto"/>
        </w:rPr>
        <w:t>shares of our common stock under our 2015 plan during any calendar year</w:t>
      </w:r>
    </w:p>
    <w:p>
      <w:pPr>
        <w:spacing w:after="0" w:line="1" w:lineRule="exact"/>
        <w:rPr>
          <w:sz w:val="20"/>
          <w:szCs w:val="20"/>
          <w:color w:val="auto"/>
        </w:rPr>
      </w:pPr>
    </w:p>
    <w:p>
      <w:pPr>
        <w:ind w:right="140"/>
        <w:spacing w:after="0" w:line="186" w:lineRule="auto"/>
        <w:rPr>
          <w:sz w:val="20"/>
          <w:szCs w:val="20"/>
          <w:color w:val="auto"/>
        </w:rPr>
      </w:pPr>
      <w:r>
        <w:rPr>
          <w:rFonts w:ascii="Arial" w:cs="Arial" w:eastAsia="Arial" w:hAnsi="Arial"/>
          <w:sz w:val="11"/>
          <w:szCs w:val="11"/>
          <w:color w:val="auto"/>
        </w:rPr>
        <w:t>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w:t>
      </w:r>
    </w:p>
    <w:p>
      <w:pPr>
        <w:spacing w:after="0" w:line="200" w:lineRule="exact"/>
        <w:rPr>
          <w:sz w:val="20"/>
          <w:szCs w:val="20"/>
          <w:color w:val="auto"/>
        </w:rPr>
      </w:pPr>
    </w:p>
    <w:p>
      <w:pPr>
        <w:spacing w:after="0" w:line="38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calendar year a performance stock award covering more than shares of our common stock or a performance cash award having a maximum value in excess of $ million under our 2015 plan. These limitations enable us to grant awards that will be exempt from the $1.0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limitation on the income tax deductibility of compensation paid per covered executive officer imposed by Section 162(m) of the Code.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Awards</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2015 plan permits the grant of performance-based stock and cash awards that may qualify as performance-based compensation that is not subject to the $1.0 million limitation on the income tax deductibility of compensation paid per covered executive officer imposed by Section 162(m) of the Code. To enable us to grant performance-based awards that will qualify, our compensation committee can structure such awards so that the stock or cash will be issued or paid pursuant to such award only following the achievement of specified pre-established performance goals during a designated performance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2015 plan provides that in the event of a specified corporate transaction, including without limitation a consolidation, merger or similar transaction involving our company, the sale, lease or other disposition of all or substantially all of the assets of our company or the consolidated assets of our company and our subsidiaries, or a sale or disposition of at least 50% of the outstanding capital stock of our company, the administrator will determine how to treat each outstanding equity award. The administrator may:</w:t>
      </w:r>
    </w:p>
    <w:p>
      <w:pPr>
        <w:spacing w:after="0" w:line="211"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arrange for the assumption, continuation or substitution of a stock award by a successor corporation;</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accelerate the vesting of the stock award and provide for its termination prior to the effective time of the corporate transaction;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arrange for the lapse, in whole or in part, of any reacquisition or repurchase right held by us; or</w:t>
      </w:r>
    </w:p>
    <w:p>
      <w:pPr>
        <w:spacing w:after="0" w:line="224" w:lineRule="exact"/>
        <w:rPr>
          <w:rFonts w:ascii="Arial" w:cs="Arial" w:eastAsia="Arial" w:hAnsi="Arial"/>
          <w:sz w:val="17"/>
          <w:szCs w:val="17"/>
          <w:color w:val="auto"/>
        </w:rPr>
      </w:pPr>
    </w:p>
    <w:p>
      <w:pPr>
        <w:ind w:left="1060" w:right="200" w:hanging="531"/>
        <w:spacing w:after="0" w:line="25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cancel the stock award prior to the transaction in exchange for a cash payment, which may be reduced by the exercise price payable in connection with the stock award.</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administrator is not obligated to treat all equity awards or portions of equity awards, even those that are of the same type, in the same manner. The administrator may take different actions with respect to the vested and unvested portions of an equity award.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of Control</w:t>
      </w: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administrator may provide, in an individual award agreement or in any other written agreement between us and the participant, that the equity award will be subject to additional acceleration of vesting and exercisability in the event of a change of control. In the absence of such a provision, no such acceleration of the award will occur.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Amendment or Termination</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has the authority to amend, suspend or terminate our 2015 plan, provided that such action does not materially impair the existing rights of any participant without such participant's written consent. No incentive stock options may be granted after the tenth anniversary of the date our board of directors adopts our 2015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In August 2012, our board of directors adopted and our stockholders approved our 2012 equity compensation plan, or our 2012 plan. Our 2012 plan was most recently amended and restated by our board of directors and our stockholders in September 2014. Our 2012 plan provides for the grant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incentive stock options within the meaning of Section 422 of the Code to our employees, and for the grant of nonqualified stock options and stock awards to our officers, directors, employees, consultants and advisers.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Authorized Shares</w:t>
      </w:r>
    </w:p>
    <w:p>
      <w:pPr>
        <w:spacing w:after="0" w:line="229"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We have reserved an aggregate of 1,725,961 shares of our common stock for issuance under our 2012 plan. As of December 31, 2014, no shares of our common stock have been issued upon the exercise of options granted under our 2012 plan, options to purchase 1,725,961 shares of our common stock were outstanding at a weighted average exercise price of $0.35 per share and no shares remained available for grant under our 2012 plan.</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Effective upon the closing of this offering, no further options or stock awards may be granted under our 2012 plan, but all outstanding stock awards will continue to be governed by their existing terms.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Administration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Our board of directors, or a committee thereof appointed by our board of directors, administers our 2012 plan and the option and stock awards granted under it. Our board of directors delegated its authority to administer our 2012 plan to our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Transactions</w:t>
      </w:r>
    </w:p>
    <w:p>
      <w:pPr>
        <w:spacing w:after="0" w:line="22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2012 plan provides that the administrator may provide that, in the event of a specified change of control transaction, including without limitation a merger, consolidation or reorganization of our company with one or more other entities in which our company is not the surviving entity, a sale of substantially all of the assets of our company or any corporate reorganization which results in the disposition of at least 50% of the voting power of our company, one or more of the following actions may be taken:</w:t>
      </w:r>
    </w:p>
    <w:p>
      <w:pPr>
        <w:spacing w:after="0" w:line="211"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provide that the options become exercisable, and that restrictions applicable to outstanding stock awards and restricted stock shall lapse;</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assumption or substitution of the options by a successor corporation;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substitution of the stock awards and restricted stock by a successor corporation;</w:t>
      </w:r>
    </w:p>
    <w:p>
      <w:pPr>
        <w:spacing w:after="0" w:line="210" w:lineRule="exact"/>
        <w:rPr>
          <w:rFonts w:ascii="Arial" w:cs="Arial" w:eastAsia="Arial" w:hAnsi="Arial"/>
          <w:sz w:val="17"/>
          <w:szCs w:val="17"/>
          <w:color w:val="auto"/>
        </w:rPr>
      </w:pPr>
    </w:p>
    <w:p>
      <w:pPr>
        <w:ind w:left="1060" w:right="26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purchase of outstanding options for an amount of cash or property that could have been received upon the exercise of the options had the options been fully vested; or</w:t>
      </w:r>
    </w:p>
    <w:p>
      <w:pPr>
        <w:spacing w:after="0" w:line="205" w:lineRule="exact"/>
        <w:rPr>
          <w:rFonts w:ascii="Arial" w:cs="Arial" w:eastAsia="Arial" w:hAnsi="Arial"/>
          <w:sz w:val="17"/>
          <w:szCs w:val="17"/>
          <w:color w:val="auto"/>
        </w:rPr>
      </w:pPr>
    </w:p>
    <w:p>
      <w:pPr>
        <w:ind w:left="1060" w:right="700" w:hanging="531"/>
        <w:spacing w:after="0" w:line="25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termination of the options, provided that the holders of options are given a reasonable period of time to exercise the options, notwithstanding any limits on exercisability.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 and Termination</w:t>
      </w:r>
    </w:p>
    <w:p>
      <w:pPr>
        <w:spacing w:after="0" w:line="2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Our board of directors may at any time amend our 2012 plan. However, our board of directors must obtain approval of our stockholders for any amendment requiring such approval under federal tax or federal securities laws, including an increase to the maximum number of shares of our common stock that may be issued under our 2012 plan. In addition, our board of directors may not materially impair the rights of a holder of any award previously granted under our 2012 plan without the consent of the holder of such award. Our 2012 plan will terminate in August 2022 or, if earlier, a date determined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 advantaged basis. Eligible employees are able to defer eligible compensation subject to applicable annual Code limits. Currently, we match 100% of each eligible employee's contributions up to 4.0% of total eligible compensation. Employees' pre-tax contributions are allocated to each participant's individual account and are then invested in selected investment alternatives according to the participants' directions. Employees are immediately and fully vested in their contributions, and our matching contribution is subject to a six-year vesting schedule.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212"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10" w:lineRule="exact"/>
        <w:rPr>
          <w:rFonts w:ascii="Arial" w:cs="Arial" w:eastAsia="Arial" w:hAnsi="Arial"/>
          <w:sz w:val="17"/>
          <w:szCs w:val="17"/>
          <w:color w:val="auto"/>
        </w:rPr>
      </w:pPr>
    </w:p>
    <w:p>
      <w:pPr>
        <w:ind w:left="1060" w:right="560" w:hanging="531"/>
        <w:spacing w:after="0" w:line="252" w:lineRule="auto"/>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This limitation of liability does not apply to liabilities arising under federal securities laws and does not affect the availability of equitable remedies such as injunctive relief or rescission.</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2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have entered into indemnification agreements with each of our directors, and we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We also maintain customary directors' and officers' liability insurance.</w:t>
      </w:r>
    </w:p>
    <w:p>
      <w:pPr>
        <w:spacing w:after="0" w:line="1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following is a description of transactions since January 1, 2012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A Redeemable Convertible Preferred Stock</w:t>
      </w:r>
    </w:p>
    <w:p>
      <w:pPr>
        <w:spacing w:after="0" w:line="23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August 2012, we sold an aggregate of 20,890,000 shares of our Series A redeemable convertible preferred stock at a price of $1.00 per share for an aggregate price of $20.9 million, 19,445,000 shares of which were sold to holders of more than 5% of our voting securities, executive officers and members of our board of directors. Each share of Series A redeemable convertible preferred stock is convertible into one share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Shares of Series 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19"/>
                <w:szCs w:val="19"/>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8,652,500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8,652,500</w:t>
            </w:r>
          </w:p>
        </w:tc>
        <w:tc>
          <w:tcPr>
            <w:tcW w:w="1180" w:type="dxa"/>
            <w:vAlign w:val="bottom"/>
          </w:tcPr>
          <w:p>
            <w:pPr>
              <w:spacing w:after="0"/>
              <w:rPr>
                <w:sz w:val="20"/>
                <w:szCs w:val="20"/>
                <w:color w:val="auto"/>
              </w:rPr>
            </w:pPr>
          </w:p>
        </w:tc>
      </w:tr>
      <w:tr>
        <w:trPr>
          <w:trHeight w:val="236"/>
        </w:trPr>
        <w:tc>
          <w:tcPr>
            <w:tcW w:w="558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2,000,000</w:t>
            </w:r>
          </w:p>
        </w:tc>
        <w:tc>
          <w:tcPr>
            <w:tcW w:w="1180" w:type="dxa"/>
            <w:vAlign w:val="bottom"/>
          </w:tcPr>
          <w:p>
            <w:pPr>
              <w:spacing w:after="0"/>
              <w:rPr>
                <w:sz w:val="20"/>
                <w:szCs w:val="20"/>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(4)</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(5)</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110,000</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19,445,000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19,445,000</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214" w:lineRule="exact"/>
        <w:rPr>
          <w:sz w:val="20"/>
          <w:szCs w:val="20"/>
          <w:color w:val="auto"/>
        </w:rPr>
      </w:pPr>
    </w:p>
    <w:p>
      <w:pPr>
        <w:ind w:left="1680" w:right="320" w:hanging="533"/>
        <w:spacing w:after="0" w:line="205" w:lineRule="auto"/>
        <w:tabs>
          <w:tab w:leader="none" w:pos="168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Consists of 8,467,943 shares purchased by Vivo Ventures Fund VII, L.P. and 184,557 shares purchased by Vivo Ventures VII Affiliates Fund, L.P. Entities affiliated with Vivo Ventures Fund VII, L.P. are holders of more than 5% of our voting securities, and Albert Cha, M.D., Ph.D., a member of our board of directors, is a managing member of the general partner of these entities.</w:t>
      </w:r>
    </w:p>
    <w:p>
      <w:pPr>
        <w:spacing w:after="0" w:line="147" w:lineRule="exact"/>
        <w:rPr>
          <w:rFonts w:ascii="Arial" w:cs="Arial" w:eastAsia="Arial" w:hAnsi="Arial"/>
          <w:sz w:val="21"/>
          <w:szCs w:val="21"/>
          <w:color w:val="auto"/>
          <w:vertAlign w:val="superscript"/>
        </w:rPr>
      </w:pPr>
    </w:p>
    <w:p>
      <w:pPr>
        <w:ind w:left="1680" w:right="480" w:hanging="533"/>
        <w:spacing w:after="0" w:line="194" w:lineRule="auto"/>
        <w:tabs>
          <w:tab w:leader="none" w:pos="168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Beacon Bioventures Fund III Limited Partnership is a holder of more than 5% of our voting securities, and Ketan Patel, M.D., a member of our board of directors, is affiliated with this entity.</w:t>
      </w:r>
    </w:p>
    <w:p>
      <w:pPr>
        <w:spacing w:after="0" w:line="146" w:lineRule="exact"/>
        <w:rPr>
          <w:rFonts w:ascii="Arial" w:cs="Arial" w:eastAsia="Arial" w:hAnsi="Arial"/>
          <w:sz w:val="21"/>
          <w:szCs w:val="21"/>
          <w:color w:val="auto"/>
          <w:vertAlign w:val="superscript"/>
        </w:rPr>
      </w:pPr>
    </w:p>
    <w:p>
      <w:pPr>
        <w:ind w:left="1680" w:right="240" w:hanging="533"/>
        <w:spacing w:after="0" w:line="194" w:lineRule="auto"/>
        <w:tabs>
          <w:tab w:leader="none" w:pos="168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Sofinnova Venture Partners VIII, L.P. is a holder of more than 5% of our voting securities, and Anand Mehra, M.D., a member of our board of directors, is a managing member of the general partner of this entity.</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Series B Redeemable Convertible Preferred Stock</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September 2014, we sold an aggregate of 6,451,057 shares of our Series B redeemable convertible preferred stock at a price of $1.65 per share for an aggregate price of $10.6 million, 6,101,222 shares of which were sold to holders of more than 5% of our voting securities, executive officers and members of our board of directors. Each share of Series B redeemable convertible preferred stock is convertible into one share of our common stock.</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 Series B</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Redeemable Convertible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7"/>
        </w:trPr>
        <w:tc>
          <w:tcPr>
            <w:tcW w:w="6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2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8"/>
              </w:rPr>
              <w:t>Aggregate</w:t>
            </w:r>
          </w:p>
        </w:tc>
        <w:tc>
          <w:tcPr>
            <w:tcW w:w="1180" w:type="dxa"/>
            <w:vAlign w:val="bottom"/>
          </w:tcPr>
          <w:p>
            <w:pPr>
              <w:spacing w:after="0"/>
              <w:rPr>
                <w:sz w:val="13"/>
                <w:szCs w:val="13"/>
                <w:color w:val="auto"/>
              </w:rPr>
            </w:pPr>
          </w:p>
        </w:tc>
      </w:tr>
      <w:tr>
        <w:trPr>
          <w:trHeight w:val="169"/>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Purchaser</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 Purchased</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Purchase Price</w:t>
            </w:r>
          </w:p>
        </w:tc>
        <w:tc>
          <w:tcPr>
            <w:tcW w:w="1180" w:type="dxa"/>
            <w:vAlign w:val="bottom"/>
          </w:tcPr>
          <w:p>
            <w:pPr>
              <w:spacing w:after="0"/>
              <w:rPr>
                <w:sz w:val="14"/>
                <w:szCs w:val="1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558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6"/>
                <w:szCs w:val="16"/>
                <w:color w:val="auto"/>
              </w:rPr>
              <w:t>Entities affiliated with Vivo Ventures Fund VII, L.P.</w:t>
            </w:r>
            <w:r>
              <w:rPr>
                <w:rFonts w:ascii="Arial" w:cs="Arial" w:eastAsia="Arial" w:hAnsi="Arial"/>
                <w:sz w:val="26"/>
                <w:szCs w:val="26"/>
                <w:color w:val="auto"/>
                <w:vertAlign w:val="superscript"/>
              </w:rPr>
              <w:t>(1)</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9"/>
                <w:szCs w:val="19"/>
                <w:color w:val="auto"/>
              </w:rPr>
            </w:pPr>
          </w:p>
        </w:tc>
      </w:tr>
      <w:tr>
        <w:trPr>
          <w:trHeight w:val="19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Beacon Bioventures Fund III Limited Partnership</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1,818,182</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3,000,000</w:t>
            </w:r>
          </w:p>
        </w:tc>
        <w:tc>
          <w:tcPr>
            <w:tcW w:w="1180" w:type="dxa"/>
            <w:vAlign w:val="bottom"/>
          </w:tcPr>
          <w:p>
            <w:pPr>
              <w:spacing w:after="0"/>
              <w:rPr>
                <w:sz w:val="17"/>
                <w:szCs w:val="17"/>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Sofinnova Venture Partners VIII, L.P.</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2,424,242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4,000,000</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Kamil Ali-Jackson</w:t>
            </w:r>
            <w:r>
              <w:rPr>
                <w:rFonts w:ascii="Arial" w:cs="Arial" w:eastAsia="Arial" w:hAnsi="Arial"/>
                <w:sz w:val="27"/>
                <w:szCs w:val="27"/>
                <w:color w:val="auto"/>
                <w:vertAlign w:val="superscript"/>
              </w:rPr>
              <w:t>(2)</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2,901</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4,787</w:t>
            </w:r>
          </w:p>
        </w:tc>
        <w:tc>
          <w:tcPr>
            <w:tcW w:w="1180" w:type="dxa"/>
            <w:vAlign w:val="bottom"/>
          </w:tcPr>
          <w:p>
            <w:pPr>
              <w:spacing w:after="0"/>
              <w:rPr>
                <w:sz w:val="20"/>
                <w:szCs w:val="20"/>
                <w:color w:val="auto"/>
              </w:rPr>
            </w:pPr>
          </w:p>
        </w:tc>
      </w:tr>
      <w:tr>
        <w:trPr>
          <w:trHeight w:val="197"/>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Frank Ruffo</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9,573</w:t>
            </w:r>
          </w:p>
        </w:tc>
        <w:tc>
          <w:tcPr>
            <w:tcW w:w="1180" w:type="dxa"/>
            <w:vAlign w:val="bottom"/>
          </w:tcPr>
          <w:p>
            <w:pPr>
              <w:spacing w:after="0"/>
              <w:rPr>
                <w:sz w:val="17"/>
                <w:szCs w:val="17"/>
                <w:color w:val="auto"/>
              </w:rPr>
            </w:pPr>
          </w:p>
        </w:tc>
      </w:tr>
      <w:tr>
        <w:trPr>
          <w:trHeight w:val="236"/>
        </w:trPr>
        <w:tc>
          <w:tcPr>
            <w:tcW w:w="5580" w:type="dxa"/>
            <w:vAlign w:val="bottom"/>
            <w:gridSpan w:val="2"/>
          </w:tcPr>
          <w:p>
            <w:pPr>
              <w:ind w:left="2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(3)</w:t>
            </w:r>
          </w:p>
        </w:tc>
        <w:tc>
          <w:tcPr>
            <w:tcW w:w="2280" w:type="dxa"/>
            <w:vAlign w:val="bottom"/>
            <w:gridSpan w:val="2"/>
          </w:tcPr>
          <w:p>
            <w:pPr>
              <w:jc w:val="right"/>
              <w:ind w:right="160"/>
              <w:spacing w:after="0"/>
              <w:rPr>
                <w:sz w:val="20"/>
                <w:szCs w:val="20"/>
                <w:color w:val="auto"/>
              </w:rPr>
            </w:pPr>
            <w:r>
              <w:rPr>
                <w:rFonts w:ascii="Arial" w:cs="Arial" w:eastAsia="Arial" w:hAnsi="Arial"/>
                <w:sz w:val="17"/>
                <w:szCs w:val="17"/>
                <w:color w:val="auto"/>
              </w:rPr>
              <w:t>31,913</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52,656</w:t>
            </w:r>
          </w:p>
        </w:tc>
        <w:tc>
          <w:tcPr>
            <w:tcW w:w="118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0"/>
        </w:trPr>
        <w:tc>
          <w:tcPr>
            <w:tcW w:w="55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Total</w:t>
            </w:r>
          </w:p>
        </w:tc>
        <w:tc>
          <w:tcPr>
            <w:tcW w:w="22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6,101,222</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10,067,016</w:t>
            </w:r>
          </w:p>
        </w:tc>
        <w:tc>
          <w:tcPr>
            <w:tcW w:w="11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9"/>
        </w:trPr>
        <w:tc>
          <w:tcPr>
            <w:tcW w:w="62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bl>
    <w:p>
      <w:pPr>
        <w:spacing w:after="0" w:line="141" w:lineRule="exact"/>
        <w:rPr>
          <w:sz w:val="20"/>
          <w:szCs w:val="20"/>
          <w:color w:val="auto"/>
        </w:rPr>
      </w:pPr>
    </w:p>
    <w:p>
      <w:pPr>
        <w:ind w:left="1680" w:hanging="533"/>
        <w:spacing w:after="0"/>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Consists of 1,779,400 shares purchased by Vivo Ventures Fund VII, L.P. and 38,782 shares purchased by Vivo Ventures VII Affiliates Fund, L.P.</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jointly with Ms. Ali-Jackson's spouse.</w:t>
      </w:r>
    </w:p>
    <w:p>
      <w:pPr>
        <w:spacing w:after="0" w:line="73" w:lineRule="exact"/>
        <w:rPr>
          <w:rFonts w:ascii="Arial" w:cs="Arial" w:eastAsia="Arial" w:hAnsi="Arial"/>
          <w:sz w:val="21"/>
          <w:szCs w:val="21"/>
          <w:color w:val="auto"/>
          <w:vertAlign w:val="superscript"/>
        </w:rPr>
      </w:pPr>
    </w:p>
    <w:p>
      <w:pPr>
        <w:ind w:left="1680" w:hanging="533"/>
        <w:spacing w:after="0"/>
        <w:tabs>
          <w:tab w:leader="none" w:pos="16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Consists of shares held by a trust of which Mr. Tullman's wife is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 Voting Agreement and Right of First Refusal and Co-Sale Agreement</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connection with the sales of redeemable convertible preferred stock described above, we entered into an investors' rights agreement, a voting agreement and a right of first refusal and co-sale agreement with the holders of preferred stock, including each of the persons and entities listed in the table above.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investors' rights agreement, among other things:</w:t>
      </w:r>
    </w:p>
    <w:p>
      <w:pPr>
        <w:spacing w:after="0" w:line="224" w:lineRule="exact"/>
        <w:rPr>
          <w:sz w:val="20"/>
          <w:szCs w:val="20"/>
          <w:color w:val="auto"/>
        </w:rPr>
      </w:pPr>
    </w:p>
    <w:p>
      <w:pPr>
        <w:ind w:left="1060" w:right="260" w:hanging="531"/>
        <w:spacing w:after="0" w:line="25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grants our preferred stockholders specified registration rights with respect to shares of our common stock, including shares of common stock issued or issuable upon conversion of the shares of redeemable convertible preferred stock held by them;</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obligates us to deliver periodic financial statements to some of the stockholders who are parties to the investors' rights agreement; and</w:t>
      </w:r>
    </w:p>
    <w:p>
      <w:pPr>
        <w:spacing w:after="0" w:line="210"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grants a right of first refusal with respect to sales of our shares by us, subject to specified exclusions, which exclusions include the sale of the shares pursuant to this prospectus, to the stockholders who are parties to the investors' rights agreement.</w:t>
      </w:r>
    </w:p>
    <w:p>
      <w:pPr>
        <w:spacing w:after="0" w:line="193"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For more information regarding the registration rights provided in this agreement, please refer to the section titled "Description of Capital Stock — Registration Rights." The provisions of this agreement other than those relating to registration rights will terminate upon the closing of this offering.</w:t>
      </w:r>
    </w:p>
    <w:p>
      <w:pPr>
        <w:spacing w:after="0" w:line="193"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The voting agreement, among other things, provides for the voting of shares with respect to the constituency of our board of directors and the voting of shares in favor of specified transactions approved by our board of directors and the requisite majority of holders of our outstanding preferred stock. The voting agreement will terminate upon the closing of this offering.</w:t>
      </w:r>
    </w:p>
    <w:p>
      <w:pPr>
        <w:spacing w:after="0" w:line="19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right of first refusal and co-sale agreement, among other things, grants our investors rights of first refusal and co-sale with respect to proposed transfers of our securities by specified stockholders and grants us rights of first refusal with respect to proposed transfers of our securities by specified stockholders. The right of first refusal and co-sale agreement will terminate upon the closing of this offering.</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Agreements with Ceptaris and NST</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November 2012, we entered into a services agreement with Ceptaris Therapeutics, Inc., or the initial Ceptaris services agreement, under which Ceptaris Therapeutics, Inc., or Ceptaris, provided us with professional services, administrative support and office services. In September 2013, Ceptaris terminated the agreement in accordance with its terms, and we entered into a second services agreement with Ceptaris under which Ceptaris provided us with pharmaceutical development and management services. The second Ceptaris services agreement was amended in January 2014 pursuant to which we revised the scope of the services provided by Ceptaris to exclude personnel-related services and to eliminate our obligation to pay service fees related to those services. Ceptaris terminated the second Ceptaris services agreement in accordance with its terms in February 2014.</w:t>
      </w:r>
    </w:p>
    <w:p>
      <w:pPr>
        <w:spacing w:after="0" w:line="202" w:lineRule="exact"/>
        <w:rPr>
          <w:sz w:val="20"/>
          <w:szCs w:val="20"/>
          <w:color w:val="auto"/>
        </w:rPr>
      </w:pPr>
    </w:p>
    <w:p>
      <w:pPr>
        <w:ind w:right="380"/>
        <w:spacing w:after="0" w:line="241" w:lineRule="auto"/>
        <w:rPr>
          <w:sz w:val="20"/>
          <w:szCs w:val="20"/>
          <w:color w:val="auto"/>
        </w:rPr>
      </w:pPr>
      <w:r>
        <w:rPr>
          <w:rFonts w:ascii="Arial" w:cs="Arial" w:eastAsia="Arial" w:hAnsi="Arial"/>
          <w:sz w:val="17"/>
          <w:szCs w:val="17"/>
          <w:color w:val="auto"/>
        </w:rPr>
        <w:t>The chairman of our board of directors, Stephen A. Tullman, was the Chief Executive Officer of Ceptaris, and our Chief Legal Officer, Kamil Ali-Jackson, was the Chief Legal Officer of Ceptaris during the periods covered by the services agreements with Ceptaris. Our directors and executive</w:t>
      </w:r>
    </w:p>
    <w:p>
      <w:pPr>
        <w:spacing w:after="0" w:line="1" w:lineRule="exact"/>
        <w:rPr>
          <w:sz w:val="20"/>
          <w:szCs w:val="20"/>
          <w:color w:val="auto"/>
        </w:rPr>
      </w:pPr>
    </w:p>
    <w:p>
      <w:pPr>
        <w:spacing w:after="0"/>
        <w:tabs>
          <w:tab w:leader="none" w:pos="3080" w:val="left"/>
        </w:tabs>
        <w:rPr>
          <w:sz w:val="20"/>
          <w:szCs w:val="20"/>
          <w:color w:val="auto"/>
        </w:rPr>
      </w:pPr>
      <w:r>
        <w:rPr>
          <w:rFonts w:ascii="Arial" w:cs="Arial" w:eastAsia="Arial" w:hAnsi="Arial"/>
          <w:sz w:val="17"/>
          <w:szCs w:val="17"/>
          <w:color w:val="auto"/>
        </w:rPr>
        <w:t>officers in the aggregate owned</w:t>
      </w:r>
      <w:r>
        <w:rPr>
          <w:sz w:val="20"/>
          <w:szCs w:val="20"/>
          <w:color w:val="auto"/>
        </w:rPr>
        <w:tab/>
      </w:r>
      <w:r>
        <w:rPr>
          <w:rFonts w:ascii="Arial" w:cs="Arial" w:eastAsia="Arial" w:hAnsi="Arial"/>
          <w:sz w:val="16"/>
          <w:szCs w:val="16"/>
          <w:color w:val="auto"/>
        </w:rPr>
        <w:t>% of the ownership interests in Ceptaris.</w:t>
      </w:r>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Under the terms of the initial Ceptaris services agreement, we were obligated to pay Ceptaris a monthly service fee of $16,487. Under the terms of the second Ceptaris services agreement, we were obligated to pay Ceptaris a monthly service fee of $7,510. For the years ended December 31, 2012, 2013 and 2014, we paid Ceptaris an aggregate of $64,716, $166,211 and $10,310, respectively, under the two services agreements.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February 2014, we entered into a services agreement with NST, LLC, or the NST services agreement, pursuant to which NST, LLC provides us with pharmaceutical development, management and other administrative services, and we provide services to NST, LLC. Mr. Tullman is the manager of NST, LLC. In addition, several of our directors and executive officers are members of NST, LLC, including Mr. Tullman, Neal Walker, Frank Ruffo and Ms. Ali-Jackson. These directors and executive officers in the aggregate own 35.8% of the membership interests in NST, LLC.</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NST services agreement was amended in January 2015 pursuant to which NST, LLC assigned all interests, rights, duties and obligations under the NST services agreement to NST Consulting, LLC, a wholly owned subsidiary of NST, LLC. Mr. Tullman is also the manager of NST Consulting, LLC. We refer to NST, LLC and NST Consulting, LLC together in this prospectus as NST.</w:t>
      </w:r>
    </w:p>
    <w:p>
      <w:pPr>
        <w:spacing w:after="0" w:line="19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Under the terms of the NST services agreement, as amended, we are obligated to pay NST a monthly service fee of $37,800, including benefits-related expenses. In addition, we have agreed to indemnify NST and its officers, employees and directors against all losses (i) arising out of, due to or in connection with the provision of services under the NST services agreement, subject to specified exceptions, and (ii) resulting from our or our affiliates' gross negligence or intentional misconduct. The NST services agreement may be terminated by either party upon 30 days' written notice.</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through NST, we provide the part-time services of some of our executive officers to Alexar Therapeutics, Inc., a company under common control with us, and NST reimburses us for the services of these executive officers to Alexar Therapeutics, Inc. Specifically, NST reimburses us for 30% of the salaries of Messrs. Powala and Ruffo, 25% of Dr. Shanler's salary and 35% of Ms. Ali-Jackson's salary, plus 25% of each of these executive officers' benefits-related expenses. These personnel reimbursements from NST equal an aggregate payment of $37,800 per month. Our directors and executive officers in the aggregate own 19.0% of Alexar Therapeutics, Inc.</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NST provides us with the part-time services of some NST employees, including Mr. Tullman, and we reimburse NST for those services. We reimburse NST for 25% of Mr. Tullman's salary, plus 25% of his benefits-related expenses.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60"/>
        <w:spacing w:after="0" w:line="252" w:lineRule="auto"/>
        <w:rPr>
          <w:sz w:val="20"/>
          <w:szCs w:val="20"/>
          <w:color w:val="auto"/>
        </w:rPr>
      </w:pPr>
      <w:r>
        <w:rPr>
          <w:rFonts w:ascii="Arial" w:cs="Arial" w:eastAsia="Arial" w:hAnsi="Arial"/>
          <w:sz w:val="17"/>
          <w:szCs w:val="17"/>
          <w:color w:val="auto"/>
        </w:rPr>
        <w:t>For the year ended December 31, 2014, the reimbursements to us from NST aggregated $412,596 and the reimbursements from us to NST aggregated $466,993.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Subleases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September 2012, we entered into a sub-sublease agreement with Ceptaris for its leased office space in Malvern, Pennsylvania. Pursuant to this sub-sublease agreement, for the years ended December 31, 2012 and 2013, made aggregate payments of $21,251 and $51,669, respectively.</w:t>
      </w:r>
    </w:p>
    <w:p>
      <w:pPr>
        <w:spacing w:after="0" w:line="19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Upon the acquisition of Ceptaris in September 2013, we terminated the sub-sublease agreement with Ceptaris and entered into a sublease agreement with NeXeption, Inc. for the leased space. In March 2014, we entered into an Amended and Restated Sublease with NeXeption, Inc., which was subsequently amended in December 2014. Mr. Tullman is the President and Chief Executive Officer and owns 50.0% of the ownership interests of NeXeption, Inc. and Ms. Ali-Jackson is the Chief Legal Officer of NeXeption, Inc. For the years ended December 31, 2013 and 2014, we made aggregate payments pursuant to these sublease agreements with NeXeption, Inc. of $16,435 and $66,145,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98"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 Limitations on Liability and Indemnification Matters."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underwriters have reserved for sale, at the initial public offering price, up to shares of our common stock being offered for sale to our directors, officers and certain other persons associated with us as part of a directed share program.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 Policy</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We have adopted a related person transaction policy that sets forth our procedures for the identification, review, consideration and approval or ratification of related person transactions that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217"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risks, costs and benefits to us;</w:t>
      </w:r>
    </w:p>
    <w:p>
      <w:pPr>
        <w:spacing w:after="0" w:line="224" w:lineRule="exact"/>
        <w:rPr>
          <w:rFonts w:ascii="Arial" w:cs="Arial" w:eastAsia="Arial" w:hAnsi="Arial"/>
          <w:sz w:val="17"/>
          <w:szCs w:val="17"/>
          <w:color w:val="auto"/>
        </w:rPr>
      </w:pPr>
    </w:p>
    <w:p>
      <w:pPr>
        <w:ind w:left="1060" w:right="300" w:hanging="531"/>
        <w:spacing w:after="0" w:line="252"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impact on a director's independence in the event that the related person is a director, immediate family member of a director or an entity with which a director is affiliated;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availability of other sources for comparable services or products;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 or to or from employees generally.</w:t>
      </w:r>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beneficial ownership of our common stock as of January 31, 2015 for:</w:t>
      </w:r>
    </w:p>
    <w:p>
      <w:pPr>
        <w:spacing w:after="0" w:line="224"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21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percentage ownership information shown in the table is based upon 36,761,057 shares of common stock outstanding as of January 31, 2015, after giving effect to the conversion of all of our redeemable convertible preferred stock into 27,341,057 shares of common stock, which will occur upon the closing of this offering.</w:t>
      </w:r>
    </w:p>
    <w:p>
      <w:pPr>
        <w:spacing w:after="0" w:line="199"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on or before April 1, 2015, which is</w:t>
      </w:r>
    </w:p>
    <w:p>
      <w:pPr>
        <w:spacing w:after="0" w:line="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60 days after January 31, 2015.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 The following table does not reflect any potential purchases by our stockholders, directors or executive officers pursuant to the directed share program or otherwise in this offering, which purchases, if any, will increase the percentage of shares owned after the offering of such stockholder from that set forth in the table below.</w:t>
      </w:r>
    </w:p>
    <w:p>
      <w:pPr>
        <w:spacing w:after="0" w:line="202"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Except as otherwise noted below, the address for persons listed in the table is c/o Aclaris Therapeutics, Inc., 101 Lindenwood Drive, Suite 400,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69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Number of</w:t>
            </w:r>
          </w:p>
        </w:tc>
        <w:tc>
          <w:tcPr>
            <w:tcW w:w="286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9"/>
              </w:rPr>
              <w:t>Percentage of Shares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60" w:type="dxa"/>
            <w:vAlign w:val="bottom"/>
            <w:gridSpan w:val="5"/>
          </w:tcPr>
          <w:p>
            <w:pPr>
              <w:jc w:val="center"/>
              <w:ind w:right="1300"/>
              <w:spacing w:after="0" w:line="143" w:lineRule="exact"/>
              <w:rPr>
                <w:sz w:val="20"/>
                <w:szCs w:val="20"/>
                <w:color w:val="auto"/>
              </w:rPr>
            </w:pPr>
            <w:r>
              <w:rPr>
                <w:rFonts w:ascii="Arial" w:cs="Arial" w:eastAsia="Arial" w:hAnsi="Arial"/>
                <w:sz w:val="14"/>
                <w:szCs w:val="14"/>
                <w:b w:val="1"/>
                <w:bCs w:val="1"/>
                <w:color w:val="auto"/>
                <w:w w:val="99"/>
              </w:rPr>
              <w:t>Beneficially Owned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120" w:type="dxa"/>
            <w:vAlign w:val="bottom"/>
            <w:gridSpan w:val="2"/>
            <w:vMerge w:val="restart"/>
          </w:tcPr>
          <w:p>
            <w:pPr>
              <w:jc w:val="center"/>
              <w:ind w:right="140"/>
              <w:spacing w:after="0" w:line="146" w:lineRule="exact"/>
              <w:rPr>
                <w:sz w:val="20"/>
                <w:szCs w:val="20"/>
                <w:color w:val="auto"/>
              </w:rPr>
            </w:pPr>
            <w:r>
              <w:rPr>
                <w:rFonts w:ascii="Arial" w:cs="Arial" w:eastAsia="Arial" w:hAnsi="Arial"/>
                <w:sz w:val="14"/>
                <w:szCs w:val="14"/>
                <w:b w:val="1"/>
                <w:bCs w:val="1"/>
                <w:color w:val="auto"/>
                <w:w w:val="98"/>
              </w:rPr>
              <w:t>Shares</w:t>
            </w: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Beneficially</w:t>
            </w:r>
          </w:p>
        </w:tc>
        <w:tc>
          <w:tcPr>
            <w:tcW w:w="94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rPr>
              <w:t>Before</w:t>
            </w:r>
          </w:p>
        </w:tc>
        <w:tc>
          <w:tcPr>
            <w:tcW w:w="19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rPr>
              <w:t>After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3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Owned</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Offering</w:t>
            </w:r>
          </w:p>
        </w:tc>
        <w:tc>
          <w:tcPr>
            <w:tcW w:w="19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9"/>
              </w:rPr>
              <w:t>Offering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640" w:type="dxa"/>
            <w:vAlign w:val="bottom"/>
            <w:gridSpan w:val="2"/>
            <w:shd w:val="clear" w:color="auto" w:fill="000000"/>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140" w:type="dxa"/>
            <w:vAlign w:val="bottom"/>
          </w:tcPr>
          <w:p>
            <w:pPr>
              <w:spacing w:after="0"/>
              <w:rPr>
                <w:sz w:val="15"/>
                <w:szCs w:val="15"/>
                <w:color w:val="auto"/>
              </w:rPr>
            </w:pPr>
          </w:p>
        </w:tc>
        <w:tc>
          <w:tcPr>
            <w:tcW w:w="6300" w:type="dxa"/>
            <w:vAlign w:val="bottom"/>
            <w:gridSpan w:val="3"/>
            <w:shd w:val="clear" w:color="auto" w:fill="CCEEFF"/>
          </w:tcPr>
          <w:p>
            <w:pPr>
              <w:ind w:left="20"/>
              <w:spacing w:after="0" w:line="184" w:lineRule="exact"/>
              <w:rPr>
                <w:sz w:val="20"/>
                <w:szCs w:val="20"/>
                <w:color w:val="auto"/>
              </w:rPr>
            </w:pPr>
            <w:r>
              <w:rPr>
                <w:rFonts w:ascii="Arial" w:cs="Arial" w:eastAsia="Arial" w:hAnsi="Arial"/>
                <w:sz w:val="17"/>
                <w:szCs w:val="17"/>
                <w:i w:val="1"/>
                <w:iCs w:val="1"/>
                <w:color w:val="auto"/>
              </w:rPr>
              <w:t>5% or Greater Stockholders: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Entities affiliated with Vivo Ventures Fund VII, L.P.</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11,470,682</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31.2%</w:t>
            </w:r>
          </w:p>
        </w:tc>
        <w:tc>
          <w:tcPr>
            <w:tcW w:w="1920" w:type="dxa"/>
            <w:vAlign w:val="bottom"/>
            <w:gridSpan w:val="3"/>
          </w:tcPr>
          <w:p>
            <w:pPr>
              <w:jc w:val="right"/>
              <w:ind w:right="1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27"/>
                <w:szCs w:val="27"/>
                <w:color w:val="auto"/>
                <w:vertAlign w:val="superscript"/>
              </w:rPr>
              <w:t>(2)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10,470,682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28.5</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Sofinnova Venture Partners VIII, L.P.</w:t>
            </w:r>
            <w:r>
              <w:rPr>
                <w:rFonts w:ascii="Arial" w:cs="Arial" w:eastAsia="Arial" w:hAnsi="Arial"/>
                <w:sz w:val="27"/>
                <w:szCs w:val="27"/>
                <w:color w:val="auto"/>
                <w:vertAlign w:val="superscript"/>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4,424,242</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12.0</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63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Named Executive Officers and Directors:</w:t>
            </w: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Neal Walker</w:t>
            </w:r>
            <w:r>
              <w:rPr>
                <w:rFonts w:ascii="Arial" w:cs="Arial" w:eastAsia="Arial" w:hAnsi="Arial"/>
                <w:sz w:val="27"/>
                <w:szCs w:val="27"/>
                <w:color w:val="auto"/>
                <w:vertAlign w:val="superscript"/>
              </w:rPr>
              <w:t>(4)</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3,270,243</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8.8</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Christopher Powala</w:t>
            </w:r>
            <w:r>
              <w:rPr>
                <w:rFonts w:ascii="Arial" w:cs="Arial" w:eastAsia="Arial" w:hAnsi="Arial"/>
                <w:sz w:val="27"/>
                <w:szCs w:val="27"/>
                <w:color w:val="auto"/>
                <w:vertAlign w:val="superscript"/>
              </w:rPr>
              <w:t>(5)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1,085,396</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Stuart Shanler, M.D.</w:t>
            </w:r>
            <w:r>
              <w:rPr>
                <w:rFonts w:ascii="Arial" w:cs="Arial" w:eastAsia="Arial" w:hAnsi="Arial"/>
                <w:sz w:val="27"/>
                <w:szCs w:val="27"/>
                <w:color w:val="auto"/>
                <w:vertAlign w:val="superscript"/>
              </w:rPr>
              <w:t>(6)</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1,080,396</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2.9</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Stephen A. Tullman</w:t>
            </w:r>
            <w:r>
              <w:rPr>
                <w:rFonts w:ascii="Arial" w:cs="Arial" w:eastAsia="Arial" w:hAnsi="Arial"/>
                <w:sz w:val="27"/>
                <w:szCs w:val="27"/>
                <w:color w:val="auto"/>
                <w:vertAlign w:val="superscript"/>
              </w:rPr>
              <w:t>(7)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3,358,441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9.1</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Albert Cha, M.D., Ph.D.</w:t>
            </w:r>
            <w:r>
              <w:rPr>
                <w:rFonts w:ascii="Arial" w:cs="Arial" w:eastAsia="Arial" w:hAnsi="Arial"/>
                <w:sz w:val="27"/>
                <w:szCs w:val="27"/>
                <w:color w:val="auto"/>
                <w:vertAlign w:val="superscript"/>
              </w:rPr>
              <w:t>(1)</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11,470,682</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31.2</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Ketan Patel, M.D.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ind w:left="40"/>
              <w:spacing w:after="0" w:line="236" w:lineRule="exact"/>
              <w:rPr>
                <w:sz w:val="20"/>
                <w:szCs w:val="20"/>
                <w:color w:val="auto"/>
              </w:rPr>
            </w:pPr>
            <w:r>
              <w:rPr>
                <w:rFonts w:ascii="Arial" w:cs="Arial" w:eastAsia="Arial" w:hAnsi="Arial"/>
                <w:sz w:val="17"/>
                <w:szCs w:val="17"/>
                <w:color w:val="auto"/>
              </w:rPr>
              <w:t>Christopher Molineaux</w:t>
            </w:r>
            <w:r>
              <w:rPr>
                <w:rFonts w:ascii="Arial" w:cs="Arial" w:eastAsia="Arial" w:hAnsi="Arial"/>
                <w:sz w:val="27"/>
                <w:szCs w:val="27"/>
                <w:color w:val="auto"/>
                <w:vertAlign w:val="superscript"/>
              </w:rPr>
              <w:t>(8)</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35,301</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color w:val="auto"/>
              </w:rPr>
              <w:t>Anand Mehra, M.D.</w:t>
            </w:r>
            <w:r>
              <w:rPr>
                <w:rFonts w:ascii="Arial" w:cs="Arial" w:eastAsia="Arial" w:hAnsi="Arial"/>
                <w:sz w:val="27"/>
                <w:szCs w:val="27"/>
                <w:color w:val="auto"/>
                <w:vertAlign w:val="superscript"/>
              </w:rPr>
              <w:t>(3)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4,424,242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12.0</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All current directors and executive officers as a group (10 persons)</w:t>
            </w:r>
            <w:r>
              <w:rPr>
                <w:rFonts w:ascii="Arial" w:cs="Arial" w:eastAsia="Arial" w:hAnsi="Arial"/>
                <w:sz w:val="28"/>
                <w:szCs w:val="28"/>
                <w:color w:val="auto"/>
                <w:vertAlign w:val="superscript"/>
              </w:rPr>
              <w:t>(9)</w:t>
            </w: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25,428,212</w:t>
            </w: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66.8</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26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6180" w:type="dxa"/>
            <w:vAlign w:val="bottom"/>
            <w:gridSpan w:val="2"/>
          </w:tcPr>
          <w:p>
            <w:pPr>
              <w:ind w:left="420"/>
              <w:spacing w:after="0"/>
              <w:rPr>
                <w:sz w:val="20"/>
                <w:szCs w:val="20"/>
                <w:color w:val="auto"/>
              </w:rPr>
            </w:pPr>
            <w:r>
              <w:rPr>
                <w:rFonts w:ascii="Arial" w:cs="Arial" w:eastAsia="Arial" w:hAnsi="Arial"/>
                <w:sz w:val="14"/>
                <w:szCs w:val="14"/>
                <w:color w:val="auto"/>
              </w:rPr>
              <w:t>Represents beneficial ownership of less than 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2"/>
          </w:tcPr>
          <w:p>
            <w:pPr>
              <w:ind w:left="4320"/>
              <w:spacing w:after="0"/>
              <w:rPr>
                <w:sz w:val="20"/>
                <w:szCs w:val="20"/>
                <w:color w:val="auto"/>
              </w:rPr>
            </w:pPr>
            <w:r>
              <w:rPr>
                <w:rFonts w:ascii="Arial" w:cs="Arial" w:eastAsia="Arial" w:hAnsi="Arial"/>
                <w:sz w:val="17"/>
                <w:szCs w:val="17"/>
                <w:color w:val="auto"/>
              </w:rPr>
              <w:t>121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1680" w:hanging="533"/>
        <w:spacing w:after="0" w:line="219"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(a) 10,267,363 shares of common stock issuable upon conversion of shares of preferred stock held by Vivo Ventures Fund VII, L.P., or Vivo VII, and (b) 1,000,000 shares of common stock and 223,339 shares of common stock issuable upon conversion of shares of preferred stock held by Vivo Ventures VII Affiliates Fund, L.P., or Vivo VII Affiliates. The shares directly held by Vivo VII and Vivo VII Affiliates are indirectly held by Vivo Ventures VII, LLC, or Vivo VII LLC, the sole general partner of each of Vivo VII and Vivo VII Affiliates. The managing members of Vivo VII LLC are Drs. Albert Cha (a member of our board of directors), Edgar Engleman and Frank Kung, each of whom may be deemed to have shared voting and dispositive power over the shares listed in the table. The principal business address of Vivo VII and Vivo VII Affiliates is 575 High Street, Suite 201, Palo Alto, California 94301.</w:t>
      </w:r>
    </w:p>
    <w:p>
      <w:pPr>
        <w:spacing w:after="0" w:line="146" w:lineRule="exact"/>
        <w:rPr>
          <w:rFonts w:ascii="Arial" w:cs="Arial" w:eastAsia="Arial" w:hAnsi="Arial"/>
          <w:sz w:val="21"/>
          <w:szCs w:val="21"/>
          <w:color w:val="auto"/>
          <w:vertAlign w:val="superscript"/>
        </w:rPr>
      </w:pPr>
    </w:p>
    <w:p>
      <w:pPr>
        <w:ind w:left="1680" w:right="20" w:hanging="533"/>
        <w:spacing w:after="0" w:line="223"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10,470,682 shares of common stock issuable upon conversion of shares of preferred stock held by Beacon Bioventures Fund III Limited Partnership, or Beacon III. The shares directly held by Beacon III are indirectly held by Beacon Bioventures Advisors Fund III Limited Partnership, or Beacon Advisors, its general partner, and Impresa Management LLC, the general partner of Beacon Advisors. Paul L. Mucci is the President of Impresa Management LLC and may be deemed to have voting and dispositive power with respect to the shares held by Beacon III. The principal business address of Beacon III is One Main Street, 13</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Floor, Cambridge, Massachusetts 02142.</w:t>
      </w:r>
    </w:p>
    <w:p>
      <w:pPr>
        <w:spacing w:after="0" w:line="83" w:lineRule="exact"/>
        <w:rPr>
          <w:rFonts w:ascii="Arial" w:cs="Arial" w:eastAsia="Arial" w:hAnsi="Arial"/>
          <w:sz w:val="21"/>
          <w:szCs w:val="21"/>
          <w:color w:val="auto"/>
          <w:vertAlign w:val="superscript"/>
        </w:rPr>
      </w:pPr>
    </w:p>
    <w:p>
      <w:pPr>
        <w:ind w:left="1680" w:right="100" w:hanging="533"/>
        <w:spacing w:after="0" w:line="216"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4,424,242 shares of common stock issuable upon conversion of shares of preferred stock held by Sofinnova Venture Partners VIII, L.P., or Sofinnova VIII. Sofinnova Management VIII, L.L.C. is the general partner of Sofinnova VIII, and Anand Mehra, M.D. (a member of our board of directors), James Healy, M.D., Michael Powell, Ph.D. and Srinivas Akkaraju, M.D., Ph.D., the managing members of Sofinnova Management VIII, L.L.C., may be deemed to have shared voting and dispositive power with respect to such shares. The address of Sofinnova VIII is c/o Sofinnova Ventures, Inc., 3000 Sand Hill Road, Bldg. 4, Suite 250, Menlo Park, California 94025.</w:t>
      </w:r>
    </w:p>
    <w:p>
      <w:pPr>
        <w:spacing w:after="0" w:line="146" w:lineRule="exact"/>
        <w:rPr>
          <w:rFonts w:ascii="Arial" w:cs="Arial" w:eastAsia="Arial" w:hAnsi="Arial"/>
          <w:sz w:val="21"/>
          <w:szCs w:val="21"/>
          <w:color w:val="auto"/>
          <w:vertAlign w:val="superscript"/>
        </w:rPr>
      </w:pPr>
    </w:p>
    <w:p>
      <w:pPr>
        <w:ind w:left="1680" w:right="240" w:hanging="533"/>
        <w:spacing w:after="0" w:line="212"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(a) 2,710,000 shares of common stock and (b) 560,243 shares of common stock underlying options that are exercisable within 60 days of January 31, 2015. Of the shares of common stock, 903,333 shares will be subject to a right of repurchase in our favor within 60 days of January 31, 2015 upon the occurrence of certain events. Does not include 1,800,000 shares of common stock held by NeXeption, LLC. Dr. Walker is a member of NeXeption, LLC, but does not have or share voting or dispositive power over the shares held by NeXeption, LLC.</w:t>
      </w:r>
    </w:p>
    <w:p>
      <w:pPr>
        <w:spacing w:after="0" w:line="146" w:lineRule="exact"/>
        <w:rPr>
          <w:rFonts w:ascii="Arial" w:cs="Arial" w:eastAsia="Arial" w:hAnsi="Arial"/>
          <w:sz w:val="21"/>
          <w:szCs w:val="21"/>
          <w:color w:val="auto"/>
          <w:vertAlign w:val="superscript"/>
        </w:rPr>
      </w:pPr>
    </w:p>
    <w:p>
      <w:pPr>
        <w:ind w:left="1680" w:right="20" w:hanging="533"/>
        <w:spacing w:after="0" w:line="212"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(a) 450,000 shares of common stock held directly by Mr. Powala, (b) 450,000 shares of common stock held by the Christopher V. Powala Aclaris Irrevocable Trust, of which Mr. Powala serves as the trustee, and (c) 185,396 shares of common stock underlying options that are exercisable within 60 days of January 31, 2015. Of the shares of common stock, 150,000 shares held by Mr. Powala directly and 150,000 shares held by the trust will be subject to a right of repurchase in our favor within 60 days of January 31, 2015 upon the occurrence of certain events.</w:t>
      </w:r>
    </w:p>
    <w:p>
      <w:pPr>
        <w:spacing w:after="0" w:line="146" w:lineRule="exact"/>
        <w:rPr>
          <w:rFonts w:ascii="Arial" w:cs="Arial" w:eastAsia="Arial" w:hAnsi="Arial"/>
          <w:sz w:val="21"/>
          <w:szCs w:val="21"/>
          <w:color w:val="auto"/>
          <w:vertAlign w:val="superscript"/>
        </w:rPr>
      </w:pPr>
    </w:p>
    <w:p>
      <w:pPr>
        <w:ind w:left="1680" w:right="240" w:hanging="533"/>
        <w:spacing w:after="0" w:line="205"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(a) 900,000 shares of common stock and (b) 180,396 shares of common stock underlying options that are exercisable within 60 days of January 31, 2015. Of the shares of common stock, 300,000 shares will be subject to a right of repurchase in our favor within 60 days of January 31, 2015 upon the occurrence of certain events.</w:t>
      </w:r>
    </w:p>
    <w:p>
      <w:pPr>
        <w:spacing w:after="0" w:line="147" w:lineRule="exact"/>
        <w:rPr>
          <w:rFonts w:ascii="Arial" w:cs="Arial" w:eastAsia="Arial" w:hAnsi="Arial"/>
          <w:sz w:val="21"/>
          <w:szCs w:val="21"/>
          <w:color w:val="auto"/>
          <w:vertAlign w:val="superscript"/>
        </w:rPr>
      </w:pPr>
    </w:p>
    <w:p>
      <w:pPr>
        <w:ind w:left="1680" w:right="40" w:hanging="533"/>
        <w:spacing w:after="0" w:line="198" w:lineRule="auto"/>
        <w:tabs>
          <w:tab w:leader="none" w:pos="1680" w:val="left"/>
        </w:tabs>
        <w:numPr>
          <w:ilvl w:val="0"/>
          <w:numId w:val="82"/>
        </w:numPr>
        <w:rPr>
          <w:rFonts w:ascii="Arial" w:cs="Arial" w:eastAsia="Arial" w:hAnsi="Arial"/>
          <w:sz w:val="20"/>
          <w:szCs w:val="20"/>
          <w:color w:val="auto"/>
          <w:vertAlign w:val="superscript"/>
        </w:rPr>
      </w:pPr>
      <w:r>
        <w:rPr>
          <w:rFonts w:ascii="Arial" w:cs="Arial" w:eastAsia="Arial" w:hAnsi="Arial"/>
          <w:sz w:val="13"/>
          <w:szCs w:val="13"/>
          <w:color w:val="auto"/>
        </w:rPr>
        <w:t>Consists of (a) 1,200,000 shares of common stock held by the 2007 Irrevocable Trust of Stephen A. Tullman, of which Mr. Tullman's wife serves as the trustee, (b) 31,913 shares of common stock issuable upon conversion of shares of preferred stock held by the 2007 Irrevocable Trust of Stephen A. Tullman,</w:t>
      </w:r>
    </w:p>
    <w:p>
      <w:pPr>
        <w:spacing w:after="0" w:line="1" w:lineRule="exact"/>
        <w:rPr>
          <w:rFonts w:ascii="Arial" w:cs="Arial" w:eastAsia="Arial" w:hAnsi="Arial"/>
          <w:sz w:val="20"/>
          <w:szCs w:val="20"/>
          <w:color w:val="auto"/>
          <w:vertAlign w:val="superscript"/>
        </w:rPr>
      </w:pPr>
    </w:p>
    <w:p>
      <w:pPr>
        <w:ind w:left="1680" w:right="120" w:hanging="9"/>
        <w:spacing w:after="0" w:line="238" w:lineRule="auto"/>
        <w:tabs>
          <w:tab w:leader="none" w:pos="1882" w:val="left"/>
        </w:tabs>
        <w:numPr>
          <w:ilvl w:val="1"/>
          <w:numId w:val="82"/>
        </w:numPr>
        <w:rPr>
          <w:rFonts w:ascii="Arial" w:cs="Arial" w:eastAsia="Arial" w:hAnsi="Arial"/>
          <w:sz w:val="14"/>
          <w:szCs w:val="14"/>
          <w:color w:val="auto"/>
        </w:rPr>
      </w:pPr>
      <w:r>
        <w:rPr>
          <w:rFonts w:ascii="Arial" w:cs="Arial" w:eastAsia="Arial" w:hAnsi="Arial"/>
          <w:sz w:val="14"/>
          <w:szCs w:val="14"/>
          <w:color w:val="auto"/>
        </w:rPr>
        <w:t>1,800,000 shares of common stock held by NeXeption, LLC, of which Mr. Tullman is the Manager and, accordingly, may be deemed to share voting and dispositive power, and (d) 216,528 shares of common stock underlying options that are exercisable within 60 days of January 31, 2015. Of the shares of common stock held by Mr. Tullman directly, 400,000 shares will be subject to a right of repurchase in our favor within 60 days of January 31, 2015 upon the occurrence of certain events.</w:t>
      </w:r>
    </w:p>
    <w:p>
      <w:pPr>
        <w:spacing w:after="0" w:line="74" w:lineRule="exact"/>
        <w:rPr>
          <w:rFonts w:ascii="Arial" w:cs="Arial" w:eastAsia="Arial" w:hAnsi="Arial"/>
          <w:sz w:val="14"/>
          <w:szCs w:val="14"/>
          <w:color w:val="auto"/>
        </w:rPr>
      </w:pPr>
    </w:p>
    <w:p>
      <w:pPr>
        <w:ind w:left="1680" w:hanging="533"/>
        <w:spacing w:after="0"/>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shares of common stock underlying options that are exercisable within 60 days of January 31, 2015.</w:t>
      </w:r>
    </w:p>
    <w:p>
      <w:pPr>
        <w:spacing w:after="0" w:line="64" w:lineRule="exact"/>
        <w:rPr>
          <w:rFonts w:ascii="Arial" w:cs="Arial" w:eastAsia="Arial" w:hAnsi="Arial"/>
          <w:sz w:val="21"/>
          <w:szCs w:val="21"/>
          <w:color w:val="auto"/>
          <w:vertAlign w:val="superscript"/>
        </w:rPr>
      </w:pPr>
    </w:p>
    <w:p>
      <w:pPr>
        <w:ind w:left="1680" w:hanging="533"/>
        <w:spacing w:after="0" w:line="237" w:lineRule="auto"/>
        <w:tabs>
          <w:tab w:leader="none" w:pos="16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Consists of (a) 9,030,000 shares of common stock, (b) 15,075,540 shares of common stock issuable upon conversion of shares of preferred stock and</w:t>
      </w:r>
    </w:p>
    <w:p>
      <w:pPr>
        <w:jc w:val="both"/>
        <w:ind w:left="1680" w:right="260" w:hanging="9"/>
        <w:spacing w:after="0"/>
        <w:tabs>
          <w:tab w:leader="none" w:pos="1890" w:val="left"/>
        </w:tabs>
        <w:numPr>
          <w:ilvl w:val="1"/>
          <w:numId w:val="83"/>
        </w:numPr>
        <w:rPr>
          <w:rFonts w:ascii="Arial" w:cs="Arial" w:eastAsia="Arial" w:hAnsi="Arial"/>
          <w:sz w:val="14"/>
          <w:szCs w:val="14"/>
          <w:color w:val="auto"/>
        </w:rPr>
      </w:pPr>
      <w:r>
        <w:rPr>
          <w:rFonts w:ascii="Arial" w:cs="Arial" w:eastAsia="Arial" w:hAnsi="Arial"/>
          <w:sz w:val="14"/>
          <w:szCs w:val="14"/>
          <w:color w:val="auto"/>
        </w:rPr>
        <w:t>1,322,672 shares of common stock underlying options that are exercisable, subject to a right of repurchase in our favor, within 60 days of January 31, 2015. Of the shares of common stock, 2,076,667 shares will be subject to a right of repurchase in our favor within 60 days of January 31, 2015 upon the occurrence of certain events.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13"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i w:val="1"/>
          <w:iCs w:val="1"/>
          <w:color w:val="auto"/>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filed as exhibits to the registration statement of which this prospectus is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3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Upon the closing of this offering, our amended and restated certificate of incorporation will authorize us to issue up to shares of common stock, $0.00001 par value per share, and shares of preferred stock, $0.00001 par value per share, all of which shares of preferred stock will</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be undesignated. Our board of directors may establish the rights and preferences of the preferred stock from time to time. As of January 31, 2015, we had outstanding 9,420,000 shares of common stock, held by 14 stockholders of record. As of January 31, 2015, after giving effect to the conversion of all outstanding preferred stock into 27,341,057 shares of common stock, there would have been 36,761,057 shares of common stock issued and outstanding, held of record by approximately 40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23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As of January 31, 2015, there were outstanding 27,341,057 shares of redeemable convertible preferred stock, consisting of 20,890,000 shares of Series A redeemable convertible preferred stock and 6,451,057 shares of Series B redeemable convertible preferred stock. All currently outstanding shares of redeemable convertible preferred stock will be converted into an aggregate of 27,341,057 shares of common stock upon the closing of this offering.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closing of this offering, our board of directors will have the authority, without further action by our stockholders, to issue 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Arial" w:cs="Arial" w:eastAsia="Arial" w:hAnsi="Arial"/>
                <w:sz w:val="17"/>
                <w:szCs w:val="17"/>
                <w:color w:val="auto"/>
              </w:rPr>
              <w:t>to</w:t>
            </w:r>
          </w:p>
        </w:tc>
        <w:tc>
          <w:tcPr>
            <w:tcW w:w="10900" w:type="dxa"/>
            <w:vAlign w:val="bottom"/>
          </w:tcPr>
          <w:p>
            <w:pPr>
              <w:jc w:val="right"/>
              <w:ind w:right="5555"/>
              <w:spacing w:after="0"/>
              <w:rPr>
                <w:sz w:val="20"/>
                <w:szCs w:val="20"/>
                <w:color w:val="auto"/>
              </w:rPr>
            </w:pPr>
            <w:r>
              <w:rPr>
                <w:rFonts w:ascii="Arial" w:cs="Arial" w:eastAsia="Arial" w:hAnsi="Arial"/>
                <w:sz w:val="17"/>
                <w:szCs w:val="17"/>
                <w:color w:val="auto"/>
              </w:rPr>
              <w:t>shares of preferred stock in one or more series, to establish from</w:t>
            </w:r>
          </w:p>
        </w:tc>
      </w:tr>
      <w:tr>
        <w:trPr>
          <w:trHeight w:val="406"/>
        </w:trPr>
        <w:tc>
          <w:tcPr>
            <w:tcW w:w="520" w:type="dxa"/>
            <w:vAlign w:val="bottom"/>
          </w:tcPr>
          <w:p>
            <w:pPr>
              <w:spacing w:after="0"/>
              <w:rPr>
                <w:sz w:val="24"/>
                <w:szCs w:val="24"/>
                <w:color w:val="auto"/>
              </w:rPr>
            </w:pPr>
          </w:p>
        </w:tc>
        <w:tc>
          <w:tcPr>
            <w:tcW w:w="10900" w:type="dxa"/>
            <w:vAlign w:val="bottom"/>
          </w:tcPr>
          <w:p>
            <w:pPr>
              <w:jc w:val="right"/>
              <w:ind w:right="5475"/>
              <w:spacing w:after="0"/>
              <w:rPr>
                <w:sz w:val="20"/>
                <w:szCs w:val="20"/>
                <w:color w:val="auto"/>
              </w:rPr>
            </w:pPr>
            <w:r>
              <w:rPr>
                <w:rFonts w:ascii="Arial" w:cs="Arial" w:eastAsia="Arial" w:hAnsi="Arial"/>
                <w:sz w:val="17"/>
                <w:szCs w:val="17"/>
                <w:color w:val="auto"/>
              </w:rPr>
              <w:t>123</w:t>
            </w:r>
          </w:p>
        </w:tc>
      </w:tr>
      <w:tr>
        <w:trPr>
          <w:trHeight w:val="209"/>
        </w:trPr>
        <w:tc>
          <w:tcPr>
            <w:tcW w:w="520" w:type="dxa"/>
            <w:vAlign w:val="bottom"/>
            <w:tcBorders>
              <w:bottom w:val="single" w:sz="8" w:color="808080"/>
            </w:tcBorders>
          </w:tcPr>
          <w:p>
            <w:pPr>
              <w:spacing w:after="0"/>
              <w:rPr>
                <w:sz w:val="18"/>
                <w:szCs w:val="18"/>
                <w:color w:val="auto"/>
              </w:rPr>
            </w:pPr>
          </w:p>
        </w:tc>
        <w:tc>
          <w:tcPr>
            <w:tcW w:w="109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of control of our company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We have no present plans to issue any shares of preferred stock following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of January 31, 2015, under our 2012 plan, options to purchase an aggregate of 1,725,961 shares of common stock were outstanding. For additional information regarding the terms of this plan, see "Executive Compensation — Equity Incentive Plans."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and the holders of our existing redeemable convertible preferred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redeemable convertible preferred stock in connection with our initial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3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At any time beginning six months following the effective date of the registration statement of which this prospectus is a part, the holders of at least 5% of the outstanding shares issuable upon conversion of our redeemable convertible preferred stock in the aggregate have the right to demand that we file up to a total of two registration statements, as long as the anticipated aggregate offering price, net of underwriting discounts and commissions, would exceed $5.0 million. These registration rights are subject to specified conditions and limitations, including the right of the underwriters, if any, to limit the number of shares included in any such registration under specified circumstances. Upon such a request, we are required to effect the</w:t>
      </w:r>
    </w:p>
    <w:p>
      <w:pPr>
        <w:spacing w:after="0" w:line="2"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registration as soon as practicable, but in any event no later than 90 days after the receipt of such request. An aggregate of shares of common stock will be entitled to these demand registration rights.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3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At any time after the closing of this offering, if we propose to register any of our securities under the Securities Act either for our own account or for the account of other stockholders, the holders of shares of common stock that are issued upon conversion of our redeemable convertible preferred stock and the holders of shares of our common stock will each be entitled to notice of the registration and will be entitled to include their shares of common stock in the registration statement. These piggyback registration rights are subject to specified conditions and limitations, including the right of the</w:t>
      </w:r>
    </w:p>
    <w:p>
      <w:pPr>
        <w:spacing w:after="0" w:line="1"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underwriters to limit the number of shares included in any such registration under specified circumstances. An aggregate of shares of common stock will be entitled to these piggyback registration rights.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on Form S-3</w:t>
      </w:r>
    </w:p>
    <w:p>
      <w:pPr>
        <w:spacing w:after="0" w:line="23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At any time after we become eligible to file a registration statement on Form S-3, the holders of shares of common stock that are issued upon conversion of our redeemable convertible preferred stock and the holders of shares of our common stock will each be entitled, upon any such holder's written request, to have such shares registered by us on a Form S-3 registration statement at our expense. These Form S-3 registration rights are subject to other specified conditions and limitations, including the condition that the anticipated aggregate offering price, net of underwriting discounts and commissions, exceeds $5.0 million. Upon receipt of this request, the holders of shares of common stock that are issued upon conversion of our redeemable convertible preferred stock and the holders of shares of our common stock will each be entitled to participate in this registration. An</w:t>
      </w:r>
    </w:p>
    <w:p>
      <w:pPr>
        <w:spacing w:after="0" w:line="2"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aggregate of</w:t>
      </w:r>
      <w:r>
        <w:rPr>
          <w:sz w:val="20"/>
          <w:szCs w:val="20"/>
          <w:color w:val="auto"/>
        </w:rPr>
        <w:tab/>
      </w:r>
      <w:r>
        <w:rPr>
          <w:rFonts w:ascii="Arial" w:cs="Arial" w:eastAsia="Arial" w:hAnsi="Arial"/>
          <w:sz w:val="17"/>
          <w:szCs w:val="17"/>
          <w:color w:val="auto"/>
        </w:rPr>
        <w:t>shares of common stock will be entitled to these Form S-3 registration rights.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will pay all expenses relating to any demand, piggyback or Form S-3 registration, other than underwriting discounts and commissions, subject to specified conditions and limitations.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23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The registration rights granted under the investors' rights agreement will terminate upon the earlier of the fifth anniversary of the closing of this offering, a liquidation event or at such time as all shares held by the preferred stockholders are eligible to be sold without restriction pursuant to Rule 144 under the Securities Act of 1933, as amended, within any 90-day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2" w:lineRule="exact"/>
        <w:rPr>
          <w:sz w:val="20"/>
          <w:szCs w:val="20"/>
          <w:color w:val="auto"/>
        </w:rPr>
      </w:pPr>
    </w:p>
    <w:p>
      <w:pPr>
        <w:ind w:left="1060" w:hanging="531"/>
        <w:spacing w:after="0" w:line="25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205"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9" w:lineRule="exact"/>
        <w:rPr>
          <w:rFonts w:ascii="Arial" w:cs="Arial" w:eastAsia="Arial" w:hAnsi="Arial"/>
          <w:sz w:val="17"/>
          <w:szCs w:val="17"/>
          <w:color w:val="auto"/>
        </w:rPr>
      </w:pPr>
    </w:p>
    <w:p>
      <w:pPr>
        <w:jc w:val="both"/>
        <w:ind w:left="1060" w:right="200" w:hanging="531"/>
        <w:spacing w:after="0" w:line="21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224"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10"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92" w:lineRule="exact"/>
        <w:rPr>
          <w:rFonts w:ascii="Arial" w:cs="Arial" w:eastAsia="Arial" w:hAnsi="Arial"/>
          <w:sz w:val="17"/>
          <w:szCs w:val="17"/>
          <w:color w:val="auto"/>
        </w:rPr>
      </w:pPr>
    </w:p>
    <w:p>
      <w:pPr>
        <w:ind w:left="1060" w:right="4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480" w:hanging="531"/>
        <w:spacing w:after="0" w:line="25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Upon the Closing of this Offering</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amended and restated certificate of incorporation to be in effect upon the closing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closing of this offering, or our restated bylaws, will also provide that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directors may be removed by the stockholders only for cause upon the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Our restated bylaws will also provide that stockholders seeking to present proposals before a meeting of stockholders or to nominate candidates for election as directors at a meeting of stockholders must provide timely advance notice in writing, and will specify requirements as to the form and content of a stockholder's notice.</w:t>
      </w:r>
    </w:p>
    <w:p>
      <w:pPr>
        <w:spacing w:after="0" w:line="19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restated certificate and restated bylaws will provide that the stockholders cannot amend many of the provisions described above except by a vote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w:t>
      </w:r>
    </w:p>
    <w:p>
      <w:pPr>
        <w:spacing w:after="0" w:line="5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99"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Our restated certificate will provide that the Court of Chancery of the State of Delaware will be the exclusive forum for:</w:t>
      </w:r>
    </w:p>
    <w:p>
      <w:pPr>
        <w:spacing w:after="0" w:line="224"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action asserting a breach of fiduciary duty;</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the Delaware General Corporation Law, our restated certificate, or our amended and restated bylaws; or</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 affairs doctrine.</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restated certificate to be inapplicable or unenforceable in such 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spacing w:after="0"/>
        <w:tabs>
          <w:tab w:leader="none" w:pos="4940" w:val="left"/>
          <w:tab w:leader="none" w:pos="808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7"/>
          <w:szCs w:val="17"/>
          <w:color w:val="auto"/>
        </w:rPr>
        <w:t>. The transfer agent's address is</w:t>
      </w:r>
      <w:r>
        <w:rPr>
          <w:sz w:val="20"/>
          <w:szCs w:val="20"/>
          <w:color w:val="auto"/>
        </w:rPr>
        <w:tab/>
      </w:r>
      <w:r>
        <w:rPr>
          <w:rFonts w:ascii="Arial" w:cs="Arial" w:eastAsia="Arial" w:hAnsi="Arial"/>
          <w:sz w:val="17"/>
          <w:szCs w:val="17"/>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 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for listing of our common stock on The NASDAQ Global Market under the trading symbol "ACRS."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SHARES ELIGIBLE FOR FUTURE SALE</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or the perception that these sales could occur, could adversely affect prevailing market prices for our common stock and could impair our future ability to raise equity capital.</w:t>
      </w:r>
    </w:p>
    <w:p>
      <w:pPr>
        <w:spacing w:after="0" w:line="199"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Based on the number of shares outstanding as of</w:t>
      </w:r>
      <w:r>
        <w:rPr>
          <w:sz w:val="20"/>
          <w:szCs w:val="20"/>
          <w:color w:val="auto"/>
        </w:rPr>
        <w:tab/>
      </w:r>
      <w:r>
        <w:rPr>
          <w:rFonts w:ascii="Arial" w:cs="Arial" w:eastAsia="Arial" w:hAnsi="Arial"/>
          <w:sz w:val="17"/>
          <w:szCs w:val="17"/>
          <w:color w:val="auto"/>
        </w:rPr>
        <w:t>, upon the closing of this offering and assuming no exercise of the underwriters' option to</w:t>
      </w:r>
    </w:p>
    <w:p>
      <w:pPr>
        <w:spacing w:after="0" w:line="1"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purchase additional shares,</w:t>
      </w:r>
      <w:r>
        <w:rPr>
          <w:sz w:val="20"/>
          <w:szCs w:val="20"/>
          <w:color w:val="auto"/>
        </w:rPr>
        <w:tab/>
      </w:r>
      <w:r>
        <w:rPr>
          <w:rFonts w:ascii="Arial" w:cs="Arial" w:eastAsia="Arial" w:hAnsi="Arial"/>
          <w:sz w:val="17"/>
          <w:szCs w:val="17"/>
          <w:color w:val="auto"/>
        </w:rPr>
        <w:t>shares of common stock will be outstanding, assuming no outstanding options are exercised. All of the shares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sold in this offering will be freely tradable without restrictions or further registration under the Securities Act, except for any shares sold</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to our "affiliates," as that 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w:t>
      </w:r>
    </w:p>
    <w:p>
      <w:pPr>
        <w:spacing w:after="0" w:line="198"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As a result of contractual restrictions described below and the provisions of Rules 144 and 701, the shares sold in this offering and the restricted securities will be available for sale in the public market as follows:</w:t>
      </w:r>
    </w:p>
    <w:p>
      <w:pPr>
        <w:sectPr>
          <w:pgSz w:w="11900" w:h="16838" w:orient="portrait"/>
          <w:cols w:equalWidth="0" w:num="1">
            <w:col w:w="11400"/>
          </w:cols>
          <w:pgMar w:left="240" w:top="143" w:right="259" w:bottom="144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tabs>
          <w:tab w:leader="none" w:pos="920" w:val="left"/>
          <w:tab w:leader="none" w:pos="3940" w:val="left"/>
        </w:tabs>
        <w:rPr>
          <w:sz w:val="20"/>
          <w:szCs w:val="20"/>
          <w:color w:val="auto"/>
        </w:rPr>
      </w:pP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shares sold in this offering and</w:t>
      </w:r>
      <w:r>
        <w:rPr>
          <w:sz w:val="20"/>
          <w:szCs w:val="20"/>
          <w:color w:val="auto"/>
        </w:rPr>
        <w:tab/>
      </w:r>
      <w:r>
        <w:rPr>
          <w:rFonts w:ascii="Arial" w:cs="Arial" w:eastAsia="Arial" w:hAnsi="Arial"/>
          <w:sz w:val="17"/>
          <w:szCs w:val="17"/>
          <w:color w:val="auto"/>
        </w:rPr>
        <w:t>of the existing restricted shares will be eligible for immediate sale upon the closing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this offering;</w:t>
      </w:r>
    </w:p>
    <w:p>
      <w:pPr>
        <w:spacing w:after="0" w:line="224"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restricted shares will be eligible for sale in the public market 90 days after the date of this prospectus, subject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volume, manner of sale and other limitations under Rule 144 and Rule 701; and</w:t>
      </w:r>
    </w:p>
    <w:p>
      <w:pPr>
        <w:spacing w:after="0" w:line="211"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restricted shares will be eligible for sale in the public market upon expiration of lock-up agreements 180 days after</w:t>
      </w:r>
    </w:p>
    <w:p>
      <w:pPr>
        <w:spacing w:after="0" w:line="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the date of this prospectus, subject in certain circumstances to the volume, manner of sale and other limitations under Rule 144 and Rule 701.</w:t>
      </w:r>
    </w:p>
    <w:p>
      <w:pPr>
        <w:spacing w:after="0" w:line="568" w:lineRule="exact"/>
        <w:rPr>
          <w:sz w:val="20"/>
          <w:szCs w:val="20"/>
          <w:color w:val="auto"/>
        </w:rPr>
      </w:pPr>
    </w:p>
    <w:p>
      <w:pPr>
        <w:sectPr>
          <w:pgSz w:w="11900" w:h="16838" w:orient="portrait"/>
          <w:cols w:equalWidth="0" w:num="2">
            <w:col w:w="700" w:space="360"/>
            <w:col w:w="10340"/>
          </w:cols>
          <w:pgMar w:left="240" w:top="143" w:right="259" w:bottom="1440" w:gutter="0" w:footer="0" w:header="0"/>
          <w:type w:val="continuous"/>
        </w:sectPr>
      </w:pPr>
    </w:p>
    <w:p>
      <w:pPr>
        <w:spacing w:after="0" w:line="31"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Non-Affiliates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Any person who is not deemed to have been one of our affiliates at the time of, or at any time during the three months preceding, a sale may sell an unlimited number of restricted securities under Rule 144 if:</w:t>
      </w:r>
    </w:p>
    <w:p>
      <w:pPr>
        <w:spacing w:after="0" w:line="206" w:lineRule="exact"/>
        <w:rPr>
          <w:sz w:val="20"/>
          <w:szCs w:val="20"/>
          <w:color w:val="auto"/>
        </w:rPr>
      </w:pPr>
    </w:p>
    <w:p>
      <w:pPr>
        <w:ind w:left="1060" w:right="46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restricted securities have been held for at least six months, including the holding period of any prior owner other than one of our affiliates;</w:t>
      </w:r>
    </w:p>
    <w:p>
      <w:pPr>
        <w:spacing w:after="0" w:line="205"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have been subject to the Exchange Act periodic reporting requirements for at least 90 days before the sale; and</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are current in our Exchange Act reporting at the time of sale.</w:t>
      </w:r>
    </w:p>
    <w:p>
      <w:pPr>
        <w:spacing w:after="0" w:line="211" w:lineRule="exact"/>
        <w:rPr>
          <w:sz w:val="20"/>
          <w:szCs w:val="20"/>
          <w:color w:val="auto"/>
        </w:rPr>
      </w:pPr>
    </w:p>
    <w:p>
      <w:pPr>
        <w:jc w:val="both"/>
        <w:ind w:right="240"/>
        <w:spacing w:after="0" w:line="245" w:lineRule="auto"/>
        <w:rPr>
          <w:sz w:val="20"/>
          <w:szCs w:val="20"/>
          <w:color w:val="auto"/>
        </w:rPr>
      </w:pPr>
      <w:r>
        <w:rPr>
          <w:rFonts w:ascii="Arial" w:cs="Arial" w:eastAsia="Arial" w:hAnsi="Arial"/>
          <w:sz w:val="17"/>
          <w:szCs w:val="17"/>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Affiliates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43" w:right="239" w:bottom="1440" w:gutter="0" w:footer="0" w:header="0"/>
        </w:sectPr>
      </w:pP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1% of the number of shares of our common stock then outstanding, which will equal approximately closing of this offering based on the number of shares outstanding as of ; 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 after the</w:t>
      </w:r>
    </w:p>
    <w:p>
      <w:pPr>
        <w:spacing w:after="0" w:line="415" w:lineRule="exact"/>
        <w:rPr>
          <w:sz w:val="20"/>
          <w:szCs w:val="20"/>
          <w:color w:val="auto"/>
        </w:rPr>
      </w:pPr>
    </w:p>
    <w:p>
      <w:pPr>
        <w:sectPr>
          <w:pgSz w:w="11900" w:h="16838" w:orient="portrait"/>
          <w:cols w:equalWidth="0" w:num="3">
            <w:col w:w="620" w:space="440"/>
            <w:col w:w="7440" w:space="720"/>
            <w:col w:w="2200"/>
          </w:cols>
          <w:pgMar w:left="240" w:top="143" w:right="239" w:bottom="1440" w:gutter="0" w:footer="0" w:header="0"/>
          <w:type w:val="continuous"/>
        </w:sectPr>
      </w:pPr>
    </w:p>
    <w:p>
      <w:pPr>
        <w:spacing w:after="0" w:line="6" w:lineRule="exact"/>
        <w:rPr>
          <w:sz w:val="20"/>
          <w:szCs w:val="20"/>
          <w:color w:val="auto"/>
        </w:rPr>
      </w:pPr>
    </w:p>
    <w:p>
      <w:pPr>
        <w:ind w:left="1060" w:right="20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of this prospectus titled "Underwriting" and will become eligible for sale upon the expiration of the restrictions set forth in those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soon as practicable after the closing of this offering, we intend to file with the SEC one or more registration statements on Form S-8 under the Securities Act to register the shares of our common stock that are issuable pursuant to our 2012 plan and 2015 plan.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and the holders of substantially all of our common stock outstanding on the date of this prospectus, including each of our executive officers and directors,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to purchase shares of our common stock, or any securities convertible into, or exchangeable for or that represent the right to receive shares of our common stock, without the prior written consent of the representatives of the underwriters for a period of 180 days from the date of this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following is a general discussion of the material U.S. federal income and estate tax considerations applicable to non-U.S. holders with respect to their ownership and disposition of shares of our common stock issued pursuant to this offering. All prospective non-U.S. holders of our common stock should consult their tax advisors with respect to the U.S. federal, state, local and non-U.S. tax consequences of the purchase, ownership and disposition of our common stock. In general, a non-U.S. holder means a beneficial owner of our common stock (other than a partnership or an entity or arrangement treated as a partnership for U.S. federal income tax purposes) that is not, for U.S. federal income tax purposes:</w:t>
      </w:r>
    </w:p>
    <w:p>
      <w:pPr>
        <w:spacing w:after="0" w:line="212" w:lineRule="exact"/>
        <w:rPr>
          <w:sz w:val="20"/>
          <w:szCs w:val="20"/>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4"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10" w:lineRule="exact"/>
        <w:rPr>
          <w:rFonts w:ascii="Arial" w:cs="Arial" w:eastAsia="Arial" w:hAnsi="Arial"/>
          <w:sz w:val="17"/>
          <w:szCs w:val="17"/>
          <w:color w:val="auto"/>
        </w:rPr>
      </w:pPr>
    </w:p>
    <w:p>
      <w:pPr>
        <w:jc w:val="both"/>
        <w:ind w:left="1060" w:hanging="531"/>
        <w:spacing w:after="0" w:line="246"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trust if (1) a U.S. court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discussion is based on current provisions of the U.S. Internal Revenue Code of 1986, as amended, which we refer to as the Code, existing U.S. Treasury Regulations promulgated thereunder, published administrative rulings and judicial decisions, all as in effect as of the date of this prospectus. These laws are subject to change and to differing interpretation, possibly with retroactive effect. Any change or differing interpretation could alter the tax consequences to non-U.S. holders described in this prospectus.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assume in this discussion that a non-U.S. holder holds shares of our common stock as a capital asset within the meaning of Section 1221 of the Code (generally,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This discussion also does not consider any specific facts or circumstances that may apply to a non-U.S. holder and does not address the special tax rules applicable to particular non-U.S. holders, such as holders that own, or are deemed to own, more than 5% of our capital stock (except to the extent specifically set forth below), corporations that accumulate earnings to avoid U.S. federal income tax, tax-exempt organizations, banks, financial institutions, insurance companies, real estate investment trusts, brokers, dealers or traders in securities, commodities or currencies, tax-qualified retirement plans, holders subject to the alternative minimum tax or the Medicare contribution tax, holders who hold or receive our common stock pursuant to the exercise of employee stock options or otherwise as compensation, holders holding our common stock as part of a hedge, straddle or other risk reduction strategy, conversion transaction or other integrated investment, holders deemed to sell our common stock under the constructive sale provisions of the Code, controlled foreign corporations, passive foreign investment companies and certain former U.S. citizens or long-term residents.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common stock.</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There can be no assurance that the Internal Revenue Service, which we refer to as the IRS, will not challenge one or more of the tax consequences described herein, and we have not obtained, nor do we intend to obtain, a ruling with respect to the U.S. federal income or estate tax consequences to a non-U.S. holder of the purchase, ownership or disposition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 on Our Common Stock</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Any remaining excess will be treated as capital gain from the sale or exchange of such common stock, subject to the tax treatment described below in "Gain on Sale, Exchange or Other Disposition of Our Common Stock." Any such distribution will also be subject to the discussion below under the heading "Foreign Accounts."</w:t>
      </w:r>
    </w:p>
    <w:p>
      <w:pPr>
        <w:spacing w:after="0" w:line="202"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Dividends paid to a non-U.S. holder will generally be subject to withholding of U.S. federal income tax at a 30% rate or such lower rate as may be specified by an applicable income tax treaty between the United States and such holder's country of residence.</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20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w:t>
      </w:r>
    </w:p>
    <w:p>
      <w:pPr>
        <w:spacing w:after="0" w:line="198"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A non-U.S. holder that is eligible for a reduced rate of U.S. withholding tax under an income tax treaty may obtain a refund or credit of any excess amounts withheld by timely filing an appropriate claim for refund with the IRS.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Exchange or Other Disposition of Our Common Stock</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Subject to the discussion below regarding backup withholding and foreign accounts, in general, a non-U.S. holder will not be subject to any U.S. federal income tax on any gain realized upon such holder's sale, exchange or other disposition of shares of our common stock unless:</w:t>
      </w:r>
    </w:p>
    <w:p>
      <w:pPr>
        <w:spacing w:after="0" w:line="206" w:lineRule="exact"/>
        <w:rPr>
          <w:sz w:val="20"/>
          <w:szCs w:val="20"/>
          <w:color w:val="auto"/>
        </w:rPr>
      </w:pPr>
    </w:p>
    <w:p>
      <w:pPr>
        <w:ind w:left="1060" w:hanging="531"/>
        <w:spacing w:after="0" w:line="244"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graduated U.S. federal income tax rates applicable to U.S. persons (as defined in the Code) and, if the non-U.S. holder is a foreign corporation, the branch profits tax described above in "Distributions on Our Common Stock" also may apply;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right="260" w:hanging="531"/>
        <w:spacing w:after="0" w:line="244"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212" w:lineRule="exact"/>
        <w:rPr>
          <w:rFonts w:ascii="Arial" w:cs="Arial" w:eastAsia="Arial" w:hAnsi="Arial"/>
          <w:sz w:val="17"/>
          <w:szCs w:val="17"/>
          <w:color w:val="auto"/>
        </w:rPr>
      </w:pPr>
    </w:p>
    <w:p>
      <w:pPr>
        <w:ind w:left="1060" w:right="20" w:hanging="531"/>
        <w:spacing w:after="0" w:line="242"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because we are, or have been, at any time during the five-year period preceding such disposition (or the non-U.S. holder's holding period, if shorter) a "U.S. real property holding corporation." Even if we are or become a U.S. real property holding corporation, provided that our common stock is regularly traded on an established securities market, our common stock will be treated as a U.S. real property interest only with respect to a non-U.S. holder that holds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continue to be regularly traded on an established securities market for purposes of the rules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U.S. person (as defined in the Code) in order to avoid backup withholding at the applicable rate with respect to dividends on our common stock. Dividends paid to non-U.S. holders subject to the U.S. withholding tax, as described above in "Distributions on Our Common Stock," generally will be exempt from U.S. backup withholding.</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Copies of information returns may be made available to the tax authorities of the country in which the non-U.S. holder resides or is incorporated under the provisions of a specific treaty or agreement.</w:t>
      </w:r>
    </w:p>
    <w:p>
      <w:pPr>
        <w:spacing w:after="0" w:line="193"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Foreign Account Tax Compliance Act provisions of the Hiring Incentives to Restore Employment Act, or FATCA, generally imposes a U.S. federal withholding tax of 30% on dividends and the gross proceeds of a disposition of our common stock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 U.S. federal withholding tax of 30% also applies to dividends and the gross proceeds of a disposition of our common stock paid to a non-financial foreign entity (as specifically defined for this purpose), unless such entity provides the withholding agent with either a certification that it does not have any substantial direct or indirect U.S. owners or provides information regarding substantial direct and indirect U.S. owners of the entity. The withholding provisions described above currently apply to dividends paid on our common stock and will generally apply with respect to gross proceeds of a sale or other disposition of our common stock on or after January 1, 2017. Under certain circumstances, a non-U.S. holder might be eligible for refunds or credits of such taxes. An intergovernmental agreement between the United States and an applicable foreign country may modify the requirements described in this paragraph.</w:t>
      </w:r>
    </w:p>
    <w:p>
      <w:pPr>
        <w:spacing w:after="0" w:line="204"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EACH PROSPECTIVE INVESTOR SHOULD CONSULT ITS TAX ADVISOR REGARDING THE PARTICULAR U.S. FEDERAL, STATE AND LOCAL AND NON-U.S. TAX CONSEQUENCES OF PURCHASING, HOLDING AND DISPOSING OF OUR COMMON STOCK, INCLUDING THE CONSEQUENCES OF ANY PROPOSED CHANGES IN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5"/>
        </w:trPr>
        <w:tc>
          <w:tcPr>
            <w:tcW w:w="694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434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5600" w:type="dxa"/>
            <w:vAlign w:val="bottom"/>
          </w:tcPr>
          <w:p>
            <w:pPr>
              <w:ind w:left="3680"/>
              <w:spacing w:after="0"/>
              <w:rPr>
                <w:sz w:val="20"/>
                <w:szCs w:val="20"/>
                <w:color w:val="auto"/>
              </w:rPr>
            </w:pPr>
            <w:r>
              <w:rPr>
                <w:rFonts w:ascii="Arial" w:cs="Arial" w:eastAsia="Arial" w:hAnsi="Arial"/>
                <w:sz w:val="17"/>
                <w:szCs w:val="17"/>
                <w:b w:val="1"/>
                <w:bCs w:val="1"/>
                <w:color w:val="auto"/>
              </w:rPr>
              <w:t>UNDERWRITING</w:t>
            </w:r>
          </w:p>
        </w:tc>
        <w:tc>
          <w:tcPr>
            <w:tcW w:w="4340" w:type="dxa"/>
            <w:vAlign w:val="bottom"/>
          </w:tcPr>
          <w:p>
            <w:pPr>
              <w:spacing w:after="0"/>
              <w:rPr>
                <w:sz w:val="24"/>
                <w:szCs w:val="24"/>
                <w:color w:val="auto"/>
              </w:rPr>
            </w:pPr>
          </w:p>
        </w:tc>
      </w:tr>
      <w:tr>
        <w:trPr>
          <w:trHeight w:val="399"/>
        </w:trPr>
        <w:tc>
          <w:tcPr>
            <w:tcW w:w="6940" w:type="dxa"/>
            <w:vAlign w:val="bottom"/>
            <w:gridSpan w:val="2"/>
          </w:tcPr>
          <w:p>
            <w:pPr>
              <w:spacing w:after="0"/>
              <w:rPr>
                <w:sz w:val="20"/>
                <w:szCs w:val="20"/>
                <w:color w:val="auto"/>
              </w:rPr>
            </w:pPr>
            <w:r>
              <w:rPr>
                <w:rFonts w:ascii="Arial" w:cs="Arial" w:eastAsia="Arial" w:hAnsi="Arial"/>
                <w:sz w:val="17"/>
                <w:szCs w:val="17"/>
                <w:color w:val="auto"/>
              </w:rPr>
              <w:t>Subject to the terms and conditions set forth in the underwriting agreement, dated</w:t>
            </w:r>
          </w:p>
        </w:tc>
        <w:tc>
          <w:tcPr>
            <w:tcW w:w="4340" w:type="dxa"/>
            <w:vAlign w:val="bottom"/>
          </w:tcPr>
          <w:p>
            <w:pPr>
              <w:ind w:left="580"/>
              <w:spacing w:after="0"/>
              <w:rPr>
                <w:sz w:val="20"/>
                <w:szCs w:val="20"/>
                <w:color w:val="auto"/>
              </w:rPr>
            </w:pPr>
            <w:r>
              <w:rPr>
                <w:rFonts w:ascii="Arial" w:cs="Arial" w:eastAsia="Arial" w:hAnsi="Arial"/>
                <w:sz w:val="17"/>
                <w:szCs w:val="17"/>
                <w:color w:val="auto"/>
                <w:w w:val="99"/>
              </w:rPr>
              <w:t>, 2015, among us and Jefferies LLC and Citigroup</w:t>
            </w:r>
          </w:p>
        </w:tc>
      </w:tr>
    </w:tbl>
    <w:p>
      <w:pPr>
        <w:ind w:right="240"/>
        <w:spacing w:after="0" w:line="246" w:lineRule="auto"/>
        <w:rPr>
          <w:sz w:val="20"/>
          <w:szCs w:val="20"/>
          <w:color w:val="auto"/>
        </w:rPr>
      </w:pPr>
      <w:r>
        <w:rPr>
          <w:rFonts w:ascii="Arial" w:cs="Arial" w:eastAsia="Arial" w:hAnsi="Arial"/>
          <w:sz w:val="17"/>
          <w:szCs w:val="17"/>
          <w:color w:val="auto"/>
        </w:rPr>
        <w:t>Global Markets Inc.,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9"/>
              </w:rPr>
              <w:t>Number of</w:t>
            </w:r>
          </w:p>
        </w:tc>
      </w:tr>
      <w:tr>
        <w:trPr>
          <w:trHeight w:val="169"/>
        </w:trPr>
        <w:tc>
          <w:tcPr>
            <w:tcW w:w="17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8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8"/>
              </w:rPr>
              <w:t>Shares</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68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Jefferies LLC</w:t>
            </w:r>
          </w:p>
        </w:tc>
        <w:tc>
          <w:tcPr>
            <w:tcW w:w="1100" w:type="dxa"/>
            <w:vAlign w:val="bottom"/>
            <w:shd w:val="clear" w:color="auto" w:fill="CCEEFF"/>
          </w:tcPr>
          <w:p>
            <w:pPr>
              <w:spacing w:after="0"/>
              <w:rPr>
                <w:sz w:val="16"/>
                <w:szCs w:val="16"/>
                <w:color w:val="auto"/>
              </w:rPr>
            </w:pPr>
          </w:p>
        </w:tc>
        <w:tc>
          <w:tcPr>
            <w:tcW w:w="1740" w:type="dxa"/>
            <w:vAlign w:val="bottom"/>
          </w:tcPr>
          <w:p>
            <w:pPr>
              <w:spacing w:after="0"/>
              <w:rPr>
                <w:sz w:val="16"/>
                <w:szCs w:val="16"/>
                <w:color w:val="auto"/>
              </w:rPr>
            </w:pPr>
          </w:p>
        </w:tc>
      </w:tr>
      <w:tr>
        <w:trPr>
          <w:trHeight w:val="197"/>
        </w:trPr>
        <w:tc>
          <w:tcPr>
            <w:tcW w:w="8600" w:type="dxa"/>
            <w:vAlign w:val="bottom"/>
            <w:gridSpan w:val="3"/>
          </w:tcPr>
          <w:p>
            <w:pPr>
              <w:ind w:left="1720"/>
              <w:spacing w:after="0"/>
              <w:rPr>
                <w:sz w:val="20"/>
                <w:szCs w:val="20"/>
                <w:color w:val="auto"/>
              </w:rPr>
            </w:pPr>
            <w:r>
              <w:rPr>
                <w:rFonts w:ascii="Arial" w:cs="Arial" w:eastAsia="Arial" w:hAnsi="Arial"/>
                <w:sz w:val="17"/>
                <w:szCs w:val="17"/>
                <w:color w:val="auto"/>
              </w:rPr>
              <w:t>Citigroup Global Markets Inc.</w:t>
            </w: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Blair &amp; Company, L.L.C.</w:t>
            </w:r>
          </w:p>
        </w:tc>
        <w:tc>
          <w:tcPr>
            <w:tcW w:w="1100" w:type="dxa"/>
            <w:vAlign w:val="bottom"/>
            <w:tcBorders>
              <w:bottom w:val="single" w:sz="8" w:color="auto"/>
            </w:tcBorders>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190"/>
        </w:trPr>
        <w:tc>
          <w:tcPr>
            <w:tcW w:w="1720" w:type="dxa"/>
            <w:vAlign w:val="bottom"/>
          </w:tcPr>
          <w:p>
            <w:pPr>
              <w:spacing w:after="0"/>
              <w:rPr>
                <w:sz w:val="16"/>
                <w:szCs w:val="16"/>
                <w:color w:val="auto"/>
              </w:rPr>
            </w:pPr>
          </w:p>
        </w:tc>
        <w:tc>
          <w:tcPr>
            <w:tcW w:w="688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4"/>
        </w:trPr>
        <w:tc>
          <w:tcPr>
            <w:tcW w:w="17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bl>
    <w:p>
      <w:pPr>
        <w:spacing w:after="0" w:line="21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underwriters have advised us that, following the pricing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cover page of this prospectus and to certain dealers, which may include the underwriters, at that price less a concession not in excess of $ per share of common stock. The underwriters may allow, and certain dealers may reallow, a discount from the concession not in excess of $ per</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4"/>
                <w:szCs w:val="14"/>
                <w:color w:val="auto"/>
              </w:rPr>
            </w:pPr>
          </w:p>
        </w:tc>
        <w:tc>
          <w:tcPr>
            <w:tcW w:w="3060" w:type="dxa"/>
            <w:vAlign w:val="bottom"/>
            <w:gridSpan w:val="5"/>
          </w:tcPr>
          <w:p>
            <w:pPr>
              <w:ind w:left="720"/>
              <w:spacing w:after="0"/>
              <w:rPr>
                <w:sz w:val="20"/>
                <w:szCs w:val="20"/>
                <w:color w:val="auto"/>
              </w:rPr>
            </w:pPr>
            <w:r>
              <w:rPr>
                <w:rFonts w:ascii="Arial" w:cs="Arial" w:eastAsia="Arial" w:hAnsi="Arial"/>
                <w:sz w:val="14"/>
                <w:szCs w:val="14"/>
                <w:b w:val="1"/>
                <w:bCs w:val="1"/>
                <w:color w:val="auto"/>
              </w:rPr>
              <w:t>Total</w:t>
            </w:r>
          </w:p>
        </w:tc>
      </w:tr>
      <w:tr>
        <w:trPr>
          <w:trHeight w:val="139"/>
        </w:trPr>
        <w:tc>
          <w:tcPr>
            <w:tcW w:w="1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With</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9"/>
              </w:rPr>
              <w:t>Without</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With</w:t>
            </w:r>
          </w:p>
        </w:tc>
        <w:tc>
          <w:tcPr>
            <w:tcW w:w="13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Option to</w:t>
            </w:r>
          </w:p>
        </w:tc>
        <w:tc>
          <w:tcPr>
            <w:tcW w:w="160" w:type="dxa"/>
            <w:vAlign w:val="bottom"/>
          </w:tcPr>
          <w:p>
            <w:pPr>
              <w:spacing w:after="0"/>
              <w:rPr>
                <w:sz w:val="13"/>
                <w:szCs w:val="13"/>
                <w:color w:val="auto"/>
              </w:rPr>
            </w:pPr>
          </w:p>
        </w:tc>
        <w:tc>
          <w:tcPr>
            <w:tcW w:w="21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w w:val="99"/>
              </w:rPr>
              <w:t>Option to</w:t>
            </w: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3"/>
                <w:szCs w:val="13"/>
                <w:color w:val="auto"/>
              </w:rPr>
            </w:pPr>
          </w:p>
        </w:tc>
        <w:tc>
          <w:tcPr>
            <w:tcW w:w="2120" w:type="dxa"/>
            <w:vAlign w:val="bottom"/>
            <w:gridSpan w:val="3"/>
          </w:tcPr>
          <w:p>
            <w:pPr>
              <w:jc w:val="center"/>
              <w:ind w:right="1300"/>
              <w:spacing w:after="0" w:line="157" w:lineRule="exact"/>
              <w:rPr>
                <w:sz w:val="20"/>
                <w:szCs w:val="20"/>
                <w:color w:val="auto"/>
              </w:rPr>
            </w:pPr>
            <w:r>
              <w:rPr>
                <w:rFonts w:ascii="Arial" w:cs="Arial" w:eastAsia="Arial" w:hAnsi="Arial"/>
                <w:sz w:val="14"/>
                <w:szCs w:val="14"/>
                <w:b w:val="1"/>
                <w:bCs w:val="1"/>
                <w:color w:val="auto"/>
                <w:w w:val="98"/>
              </w:rPr>
              <w:t>Purchase</w:t>
            </w:r>
          </w:p>
        </w:tc>
      </w:tr>
      <w:tr>
        <w:trPr>
          <w:trHeight w:val="157"/>
        </w:trPr>
        <w:tc>
          <w:tcPr>
            <w:tcW w:w="114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3"/>
                <w:szCs w:val="13"/>
                <w:color w:val="auto"/>
              </w:rPr>
            </w:pPr>
          </w:p>
        </w:tc>
        <w:tc>
          <w:tcPr>
            <w:tcW w:w="212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99"/>
              </w:rPr>
              <w:t>Additional</w:t>
            </w:r>
          </w:p>
        </w:tc>
      </w:tr>
      <w:tr>
        <w:trPr>
          <w:trHeight w:val="169"/>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3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5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Public offering price</w:t>
            </w:r>
          </w:p>
        </w:tc>
        <w:tc>
          <w:tcPr>
            <w:tcW w:w="780" w:type="dxa"/>
            <w:vAlign w:val="bottom"/>
            <w:shd w:val="clear" w:color="auto" w:fill="CCEEFF"/>
          </w:tcPr>
          <w:p>
            <w:pPr>
              <w:jc w:val="right"/>
              <w:ind w:right="605"/>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1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1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3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5360" w:type="dxa"/>
            <w:vAlign w:val="bottom"/>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780" w:type="dxa"/>
            <w:vAlign w:val="bottom"/>
          </w:tcPr>
          <w:p>
            <w:pPr>
              <w:jc w:val="right"/>
              <w:ind w:right="60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61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1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3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to us, before expenses</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1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3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approximately $ . We have also agreed to reimburse the underwriters for certain expenses, including an amount not to exceed $ in connection with the clearance of this offering with the Financial Industry Regulatory Authority, as set forth in the underwriting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23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98"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have our common stock approved for listing on The NASDAQ Global Market under the trading symbol "ACRS."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Stamp Taxes</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our officers, directors and holders of all or substantially all our outstanding capital stock have agreed, subject to specified exceptions, not to directly or indirectly:</w:t>
      </w:r>
    </w:p>
    <w:p>
      <w:pPr>
        <w:spacing w:after="0" w:line="206" w:lineRule="exact"/>
        <w:rPr>
          <w:sz w:val="20"/>
          <w:szCs w:val="20"/>
          <w:color w:val="auto"/>
        </w:rPr>
      </w:pPr>
    </w:p>
    <w:p>
      <w:pPr>
        <w:ind w:left="1060" w:right="40" w:hanging="531"/>
        <w:spacing w:after="0" w:line="25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205" w:lineRule="exact"/>
        <w:rPr>
          <w:rFonts w:ascii="Arial" w:cs="Arial" w:eastAsia="Arial" w:hAnsi="Arial"/>
          <w:sz w:val="17"/>
          <w:szCs w:val="17"/>
          <w:color w:val="auto"/>
        </w:rPr>
      </w:pPr>
    </w:p>
    <w:p>
      <w:pPr>
        <w:ind w:left="1060" w:right="800" w:hanging="531"/>
        <w:spacing w:after="0" w:line="25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otherwise dispose of any shares of common stock or options to acquire shares of common stock, or securities exchangeable or exercisable for or convertible into shares of common stock currently or hereafter owned either of record or beneficially, or</w:t>
      </w:r>
    </w:p>
    <w:p>
      <w:pPr>
        <w:spacing w:after="0" w:line="192" w:lineRule="exact"/>
        <w:rPr>
          <w:rFonts w:ascii="Arial" w:cs="Arial" w:eastAsia="Arial" w:hAnsi="Arial"/>
          <w:sz w:val="17"/>
          <w:szCs w:val="17"/>
          <w:color w:val="auto"/>
        </w:rPr>
      </w:pPr>
    </w:p>
    <w:p>
      <w:pPr>
        <w:ind w:left="1060" w:right="20" w:hanging="531"/>
        <w:spacing w:after="0" w:line="252"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Citigroup Global Markets Inc.</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Jefferies LLC and Citigroup Global Markets Inc. may, in their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23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underwriters have advised us that they, pursuant to Regulation M under the Securities Exchange Act of 1934,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9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originally sold by such syndicate member are purchased in a syndicate covering transaction and therefore have not been effectively placed by such syndicate member.</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23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23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At our request, the underwriters have reserved for sale at the initial public offering price up to shares of common stock for employees, directors and other persons associated with us who have expressed an interest in purchasing shares in the offering. The number of shares of common stock available for sale to the general public in the offering will be reduced to the extent these persons purchase the directed shares in the program. Any directed shares not so purchased will be offered by the underwriters to the general public on the same terms as the other shares. Except for certain participants who have entered into lock-up agreements as contemplated above, each person buying shares through the directed share program has</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agreed that, for a period of 180 days from and including the date of this prospectus, he or she will not, without the prior written consent of , dispose of or hedge any shares of common stock or any securities convertible into or exchangeable for shares of common stock with respect to shares purchased in the program. For those participants who have entered into lock-up agreements as contemplated above, the lock-up agreements</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contemplated therein shall govern with respect to their purchases of shares of common stock in the program. in its sole discretion may release any of the securities subject to these lock-up agreements at any time. We have agreed to indemnify the underwriters against certain liabilities and expenses, including liabilities under the Securities Act, in connection with sales of the directed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23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224" w:lineRule="exact"/>
        <w:rPr>
          <w:sz w:val="20"/>
          <w:szCs w:val="20"/>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224"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9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224" w:lineRule="exact"/>
        <w:rPr>
          <w:sz w:val="20"/>
          <w:szCs w:val="20"/>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10" w:lineRule="exact"/>
        <w:rPr>
          <w:rFonts w:ascii="Arial" w:cs="Arial" w:eastAsia="Arial" w:hAnsi="Arial"/>
          <w:sz w:val="17"/>
          <w:szCs w:val="17"/>
          <w:color w:val="auto"/>
        </w:rPr>
      </w:pPr>
    </w:p>
    <w:p>
      <w:pPr>
        <w:ind w:left="1060" w:right="380" w:hanging="531"/>
        <w:spacing w:after="0" w:line="269" w:lineRule="auto"/>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81" w:lineRule="exact"/>
        <w:rPr>
          <w:rFonts w:ascii="Arial" w:cs="Arial" w:eastAsia="Arial" w:hAnsi="Arial"/>
          <w:sz w:val="16"/>
          <w:szCs w:val="16"/>
          <w:color w:val="auto"/>
        </w:rPr>
      </w:pPr>
    </w:p>
    <w:p>
      <w:pPr>
        <w:ind w:left="1060" w:hanging="531"/>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20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Where the common stock is subscribed or purchased under Section 275 of the SFA by a relevant person which is:</w:t>
      </w:r>
    </w:p>
    <w:p>
      <w:pPr>
        <w:spacing w:after="0" w:line="224" w:lineRule="exact"/>
        <w:rPr>
          <w:sz w:val="20"/>
          <w:szCs w:val="20"/>
          <w:color w:val="auto"/>
        </w:rPr>
      </w:pPr>
    </w:p>
    <w:p>
      <w:pPr>
        <w:ind w:left="1060" w:right="40" w:hanging="531"/>
        <w:spacing w:after="0" w:line="25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5" w:lineRule="exact"/>
        <w:rPr>
          <w:rFonts w:ascii="Arial" w:cs="Arial" w:eastAsia="Arial" w:hAnsi="Arial"/>
          <w:sz w:val="17"/>
          <w:szCs w:val="17"/>
          <w:color w:val="auto"/>
        </w:rPr>
      </w:pPr>
    </w:p>
    <w:p>
      <w:pPr>
        <w:jc w:val="both"/>
        <w:ind w:left="1060" w:right="80" w:hanging="531"/>
        <w:spacing w:after="0" w:line="245"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98"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224"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210" w:lineRule="exact"/>
        <w:rPr>
          <w:rFonts w:ascii="Arial" w:cs="Arial" w:eastAsia="Arial" w:hAnsi="Arial"/>
          <w:sz w:val="17"/>
          <w:szCs w:val="17"/>
          <w:color w:val="auto"/>
        </w:rPr>
      </w:pPr>
    </w:p>
    <w:p>
      <w:pPr>
        <w:ind w:left="1060" w:right="660" w:hanging="531"/>
        <w:spacing w:after="0" w:line="252"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98"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validity of the shares of common stock being offered by this prospectus will be passed upon for us by Cooley LLP, Reston, Virginia. Certain legal matters related to this offering will be passed upon for the underwriters by Latham &amp; Watkins LLP.</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as of December 31, 2013 and 2014 and for each of the two years in the period ended December 31, 2014 included in this prospectus have been so included in reliance on the report of PricewaterhouseCoopers LLP, an independent registered public accounting firm, given on the authority of said firm as experts in auditing and accounting.</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with the SEC at its public reference room at 100 F Street, N.E., Room 1580,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Arial" w:cs="Arial" w:eastAsia="Arial" w:hAnsi="Arial"/>
          <w:sz w:val="17"/>
          <w:szCs w:val="17"/>
          <w:i w:val="1"/>
          <w:iCs w:val="1"/>
          <w:color w:val="auto"/>
        </w:rPr>
        <w:t>www.aclaristx.com</w:t>
      </w:r>
      <w:r>
        <w:rPr>
          <w:rFonts w:ascii="Arial" w:cs="Arial" w:eastAsia="Arial" w:hAnsi="Arial"/>
          <w:sz w:val="17"/>
          <w:szCs w:val="17"/>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1180" w:type="dxa"/>
            <w:vAlign w:val="bottom"/>
            <w:gridSpan w:val="3"/>
          </w:tcPr>
          <w:p>
            <w:pPr>
              <w:spacing w:after="0"/>
              <w:rPr>
                <w:sz w:val="14"/>
                <w:szCs w:val="14"/>
                <w:color w:val="auto"/>
              </w:rPr>
            </w:pPr>
          </w:p>
        </w:tc>
      </w:tr>
      <w:tr>
        <w:trPr>
          <w:trHeight w:val="164"/>
        </w:trPr>
        <w:tc>
          <w:tcPr>
            <w:tcW w:w="1160" w:type="dxa"/>
            <w:vAlign w:val="bottom"/>
          </w:tcPr>
          <w:p>
            <w:pPr>
              <w:spacing w:after="0"/>
              <w:rPr>
                <w:sz w:val="14"/>
                <w:szCs w:val="14"/>
                <w:color w:val="auto"/>
              </w:rPr>
            </w:pPr>
          </w:p>
        </w:tc>
        <w:tc>
          <w:tcPr>
            <w:tcW w:w="8640" w:type="dxa"/>
            <w:vAlign w:val="bottom"/>
            <w:gridSpan w:val="7"/>
          </w:tcPr>
          <w:p>
            <w:pPr>
              <w:spacing w:after="0" w:line="163" w:lineRule="exact"/>
              <w:rPr>
                <w:rFonts w:ascii="Arial" w:cs="Arial" w:eastAsia="Arial" w:hAnsi="Arial"/>
                <w:sz w:val="17"/>
                <w:szCs w:val="17"/>
                <w:color w:val="0000EE"/>
              </w:rPr>
            </w:pPr>
            <w:hyperlink w:anchor="page147">
              <w:r>
                <w:rPr>
                  <w:rFonts w:ascii="Arial" w:cs="Arial" w:eastAsia="Arial" w:hAnsi="Arial"/>
                  <w:sz w:val="17"/>
                  <w:szCs w:val="17"/>
                  <w:color w:val="0000EE"/>
                </w:rPr>
                <w:t>Report of Independent Registered Public Accounting Firm</w:t>
              </w:r>
            </w:hyperlink>
          </w:p>
        </w:tc>
        <w:tc>
          <w:tcPr>
            <w:tcW w:w="1640" w:type="dxa"/>
            <w:vAlign w:val="bottom"/>
            <w:gridSpan w:val="5"/>
          </w:tcPr>
          <w:p>
            <w:pPr>
              <w:ind w:left="220"/>
              <w:spacing w:after="0" w:line="163" w:lineRule="exact"/>
              <w:rPr>
                <w:rFonts w:ascii="Arial" w:cs="Arial" w:eastAsia="Arial" w:hAnsi="Arial"/>
                <w:sz w:val="17"/>
                <w:szCs w:val="17"/>
                <w:color w:val="0000EE"/>
              </w:rPr>
            </w:pPr>
            <w:hyperlink w:anchor="page147">
              <w:r>
                <w:rPr>
                  <w:rFonts w:ascii="Arial" w:cs="Arial" w:eastAsia="Arial" w:hAnsi="Arial"/>
                  <w:sz w:val="17"/>
                  <w:szCs w:val="17"/>
                  <w:color w:val="0000EE"/>
                </w:rPr>
                <w:t>F-2</w:t>
              </w:r>
            </w:hyperlink>
          </w:p>
        </w:tc>
      </w:tr>
      <w:tr>
        <w:trPr>
          <w:trHeight w:val="177"/>
        </w:trPr>
        <w:tc>
          <w:tcPr>
            <w:tcW w:w="1160" w:type="dxa"/>
            <w:vAlign w:val="bottom"/>
          </w:tcPr>
          <w:p>
            <w:pPr>
              <w:spacing w:after="0"/>
              <w:rPr>
                <w:sz w:val="15"/>
                <w:szCs w:val="15"/>
                <w:color w:val="auto"/>
              </w:rPr>
            </w:pPr>
          </w:p>
        </w:tc>
        <w:tc>
          <w:tcPr>
            <w:tcW w:w="4340" w:type="dxa"/>
            <w:vAlign w:val="bottom"/>
            <w:tcBorders>
              <w:top w:val="single" w:sz="8" w:color="0000EE"/>
            </w:tcBorders>
            <w:gridSpan w:val="5"/>
          </w:tcPr>
          <w:p>
            <w:pPr>
              <w:spacing w:after="0" w:line="176" w:lineRule="exact"/>
              <w:rPr>
                <w:rFonts w:ascii="Arial" w:cs="Arial" w:eastAsia="Arial" w:hAnsi="Arial"/>
                <w:sz w:val="17"/>
                <w:szCs w:val="17"/>
                <w:color w:val="0000EE"/>
              </w:rPr>
            </w:pPr>
            <w:hyperlink w:anchor="page148">
              <w:r>
                <w:rPr>
                  <w:rFonts w:ascii="Arial" w:cs="Arial" w:eastAsia="Arial" w:hAnsi="Arial"/>
                  <w:sz w:val="17"/>
                  <w:szCs w:val="17"/>
                  <w:color w:val="0000EE"/>
                </w:rPr>
                <w:t>Balance Sheets</w:t>
              </w:r>
            </w:hyperlink>
          </w:p>
        </w:tc>
        <w:tc>
          <w:tcPr>
            <w:tcW w:w="4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0000EE"/>
            </w:tcBorders>
            <w:gridSpan w:val="2"/>
          </w:tcPr>
          <w:p>
            <w:pPr>
              <w:spacing w:after="0" w:line="176" w:lineRule="exact"/>
              <w:rPr>
                <w:rFonts w:ascii="Arial" w:cs="Arial" w:eastAsia="Arial" w:hAnsi="Arial"/>
                <w:sz w:val="17"/>
                <w:szCs w:val="17"/>
                <w:color w:val="0000EE"/>
                <w:w w:val="93"/>
              </w:rPr>
            </w:pPr>
            <w:hyperlink w:anchor="page148">
              <w:r>
                <w:rPr>
                  <w:rFonts w:ascii="Arial" w:cs="Arial" w:eastAsia="Arial" w:hAnsi="Arial"/>
                  <w:sz w:val="17"/>
                  <w:szCs w:val="17"/>
                  <w:color w:val="0000EE"/>
                  <w:w w:val="93"/>
                </w:rPr>
                <w:t>F-3</w:t>
              </w:r>
            </w:hyperlink>
          </w:p>
        </w:tc>
        <w:tc>
          <w:tcPr>
            <w:tcW w:w="11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49">
              <w:r>
                <w:rPr>
                  <w:rFonts w:ascii="Arial" w:cs="Arial" w:eastAsia="Arial" w:hAnsi="Arial"/>
                  <w:sz w:val="17"/>
                  <w:szCs w:val="17"/>
                  <w:color w:val="0000EE"/>
                </w:rPr>
                <w:t>Statements of Operations and Comprehensive Loss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49">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612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50">
              <w:r>
                <w:rPr>
                  <w:rFonts w:ascii="Arial" w:cs="Arial" w:eastAsia="Arial" w:hAnsi="Arial"/>
                  <w:sz w:val="17"/>
                  <w:szCs w:val="17"/>
                  <w:color w:val="0000EE"/>
                  <w:w w:val="99"/>
                </w:rPr>
                <w:t>Statements of Redeemable Convertible Preferred Stock and Stockholders' Deficit</w:t>
              </w:r>
            </w:hyperlink>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0000EE"/>
            </w:tcBorders>
            <w:gridSpan w:val="2"/>
          </w:tcPr>
          <w:p>
            <w:pPr>
              <w:spacing w:after="0" w:line="176" w:lineRule="exact"/>
              <w:rPr>
                <w:rFonts w:ascii="Arial" w:cs="Arial" w:eastAsia="Arial" w:hAnsi="Arial"/>
                <w:sz w:val="17"/>
                <w:szCs w:val="17"/>
                <w:color w:val="0000EE"/>
                <w:w w:val="93"/>
              </w:rPr>
            </w:pPr>
            <w:hyperlink w:anchor="page150">
              <w:r>
                <w:rPr>
                  <w:rFonts w:ascii="Arial" w:cs="Arial" w:eastAsia="Arial" w:hAnsi="Arial"/>
                  <w:sz w:val="17"/>
                  <w:szCs w:val="17"/>
                  <w:color w:val="0000EE"/>
                  <w:w w:val="93"/>
                </w:rPr>
                <w:t>F-5</w:t>
              </w:r>
            </w:hyperlink>
          </w:p>
        </w:tc>
        <w:tc>
          <w:tcPr>
            <w:tcW w:w="1160" w:type="dxa"/>
            <w:vAlign w:val="bottom"/>
            <w:gridSpan w:val="2"/>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Statements of Cash Flows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40" w:type="dxa"/>
            <w:vAlign w:val="bottom"/>
            <w:gridSpan w:val="7"/>
          </w:tcPr>
          <w:p>
            <w:pPr>
              <w:spacing w:after="0" w:line="176" w:lineRule="exact"/>
              <w:rPr>
                <w:rFonts w:ascii="Arial" w:cs="Arial" w:eastAsia="Arial" w:hAnsi="Arial"/>
                <w:sz w:val="17"/>
                <w:szCs w:val="17"/>
                <w:color w:val="0000EE"/>
              </w:rPr>
            </w:pPr>
            <w:hyperlink w:anchor="page152">
              <w:r>
                <w:rPr>
                  <w:rFonts w:ascii="Arial" w:cs="Arial" w:eastAsia="Arial" w:hAnsi="Arial"/>
                  <w:sz w:val="17"/>
                  <w:szCs w:val="17"/>
                  <w:color w:val="0000EE"/>
                </w:rPr>
                <w:t>Notes to Financial Statements</w:t>
              </w:r>
            </w:hyperlink>
          </w:p>
        </w:tc>
        <w:tc>
          <w:tcPr>
            <w:tcW w:w="1640" w:type="dxa"/>
            <w:vAlign w:val="bottom"/>
            <w:gridSpan w:val="5"/>
          </w:tcPr>
          <w:p>
            <w:pPr>
              <w:ind w:left="220"/>
              <w:spacing w:after="0" w:line="176" w:lineRule="exact"/>
              <w:rPr>
                <w:rFonts w:ascii="Arial" w:cs="Arial" w:eastAsia="Arial" w:hAnsi="Arial"/>
                <w:sz w:val="17"/>
                <w:szCs w:val="17"/>
                <w:color w:val="0000EE"/>
              </w:rPr>
            </w:pPr>
            <w:hyperlink w:anchor="page152">
              <w:r>
                <w:rPr>
                  <w:rFonts w:ascii="Arial" w:cs="Arial" w:eastAsia="Arial" w:hAnsi="Arial"/>
                  <w:sz w:val="17"/>
                  <w:szCs w:val="17"/>
                  <w:color w:val="0000EE"/>
                </w:rPr>
                <w:t>F-7</w:t>
              </w:r>
            </w:hyperlink>
          </w:p>
        </w:tc>
      </w:tr>
      <w:tr>
        <w:trPr>
          <w:trHeight w:val="111"/>
        </w:trPr>
        <w:tc>
          <w:tcPr>
            <w:tcW w:w="1160" w:type="dxa"/>
            <w:vAlign w:val="bottom"/>
            <w:tcBorders>
              <w:bottom w:val="single" w:sz="8" w:color="auto"/>
            </w:tcBorders>
          </w:tcPr>
          <w:p>
            <w:pPr>
              <w:spacing w:after="0"/>
              <w:rPr>
                <w:sz w:val="9"/>
                <w:szCs w:val="9"/>
                <w:color w:val="auto"/>
              </w:rPr>
            </w:pPr>
          </w:p>
        </w:tc>
        <w:tc>
          <w:tcPr>
            <w:tcW w:w="1180" w:type="dxa"/>
            <w:vAlign w:val="bottom"/>
            <w:tcBorders>
              <w:top w:val="single" w:sz="8" w:color="0000EE"/>
              <w:bottom w:val="single" w:sz="8" w:color="auto"/>
            </w:tcBorders>
          </w:tcPr>
          <w:p>
            <w:pPr>
              <w:spacing w:after="0"/>
              <w:rPr>
                <w:sz w:val="9"/>
                <w:szCs w:val="9"/>
                <w:color w:val="auto"/>
              </w:rPr>
            </w:pPr>
          </w:p>
        </w:tc>
        <w:tc>
          <w:tcPr>
            <w:tcW w:w="800" w:type="dxa"/>
            <w:vAlign w:val="bottom"/>
            <w:tcBorders>
              <w:top w:val="single" w:sz="8" w:color="0000EE"/>
              <w:bottom w:val="single" w:sz="8" w:color="auto"/>
            </w:tcBorders>
          </w:tcPr>
          <w:p>
            <w:pPr>
              <w:spacing w:after="0"/>
              <w:rPr>
                <w:sz w:val="9"/>
                <w:szCs w:val="9"/>
                <w:color w:val="auto"/>
              </w:rPr>
            </w:pPr>
          </w:p>
        </w:tc>
        <w:tc>
          <w:tcPr>
            <w:tcW w:w="280" w:type="dxa"/>
            <w:vAlign w:val="bottom"/>
            <w:tcBorders>
              <w:top w:val="single" w:sz="8" w:color="0000EE"/>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410"/>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Aclaris Therapeutics, Inc.</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our opinion, the accompanying balance sheets and the related statements of operations and comprehensive loss, of redeemable convertible preferred stock and stockholders' deficit and of cash flows, present fairly, in all material respects, the financial position of Aclaris Therapeutics, Inc. at December 31, 2013 and 2014,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April 2, 2015</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320" w:type="dxa"/>
            <w:vAlign w:val="bottom"/>
            <w:gridSpan w:val="4"/>
            <w:vMerge w:val="restart"/>
          </w:tcPr>
          <w:p>
            <w:pPr>
              <w:jc w:val="center"/>
              <w:ind w:right="1320"/>
              <w:spacing w:after="0" w:line="15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6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3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7"/>
              <w:spacing w:after="0" w:line="151" w:lineRule="exact"/>
              <w:rPr>
                <w:sz w:val="20"/>
                <w:szCs w:val="20"/>
                <w:color w:val="auto"/>
              </w:rPr>
            </w:pPr>
            <w:r>
              <w:rPr>
                <w:rFonts w:ascii="Arial" w:cs="Arial" w:eastAsia="Arial" w:hAnsi="Arial"/>
                <w:sz w:val="14"/>
                <w:szCs w:val="14"/>
                <w:b w:val="1"/>
                <w:bCs w:val="1"/>
                <w:color w:val="auto"/>
                <w:w w:val="99"/>
              </w:rPr>
              <w:t>(unaudited)</w:t>
            </w:r>
          </w:p>
        </w:tc>
        <w:tc>
          <w:tcPr>
            <w:tcW w:w="1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9,588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3,736</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5,373</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5,373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13,386</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16,334</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16,334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515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vMerge w:val="restart"/>
          </w:tcPr>
          <w:p>
            <w:pPr>
              <w:ind w:left="32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120" w:type="dxa"/>
            <w:vAlign w:val="bottom"/>
            <w:vMerge w:val="continue"/>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14,207</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17,377</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17,377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6120" w:type="dxa"/>
            <w:vAlign w:val="bottom"/>
            <w:shd w:val="clear" w:color="auto" w:fill="CCEEFF"/>
          </w:tcPr>
          <w:p>
            <w:pPr>
              <w:ind w:left="20"/>
              <w:spacing w:after="0" w:line="159" w:lineRule="exact"/>
              <w:rPr>
                <w:sz w:val="20"/>
                <w:szCs w:val="20"/>
                <w:color w:val="auto"/>
              </w:rPr>
            </w:pPr>
            <w:r>
              <w:rPr>
                <w:rFonts w:ascii="Arial" w:cs="Arial" w:eastAsia="Arial" w:hAnsi="Arial"/>
                <w:sz w:val="17"/>
                <w:szCs w:val="17"/>
                <w:b w:val="1"/>
                <w:bCs w:val="1"/>
                <w:color w:val="auto"/>
              </w:rPr>
              <w:t>Liabilities, Redeemable Convertible Preferred Stock and Stockholders'</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Equity (Deficit)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1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367</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1,451</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1,451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Deferred rent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1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370</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1,455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1,455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120" w:type="dxa"/>
            <w:vAlign w:val="bottom"/>
          </w:tcPr>
          <w:p>
            <w:pPr>
              <w:ind w:left="20"/>
              <w:spacing w:after="0" w:line="189" w:lineRule="exact"/>
              <w:rPr>
                <w:sz w:val="20"/>
                <w:szCs w:val="20"/>
                <w:color w:val="auto"/>
              </w:rPr>
            </w:pPr>
            <w:r>
              <w:rPr>
                <w:rFonts w:ascii="Arial" w:cs="Arial" w:eastAsia="Arial" w:hAnsi="Arial"/>
                <w:sz w:val="17"/>
                <w:szCs w:val="17"/>
                <w:color w:val="auto"/>
              </w:rPr>
              <w:t>Commitments and contingencies (Note 10)</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 (Series A and B), $0.00001 par value;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20,890,000 and 34,090,000 shares authorized at December 31, 2013 and</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2014, respectively; 20,890,000 and 27,341,057 shares issued and</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outstanding at December 31, 2013 and 2014, respectively; aggregate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liquidation preference of $35,882 at December 31, 2014; no shares issued</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1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or outstanding, pro forma at December 31, 2014</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23,000</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36,677</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Arial" w:cs="Arial" w:eastAsia="Arial" w:hAnsi="Arial"/>
                <w:sz w:val="17"/>
                <w:szCs w:val="17"/>
                <w:color w:val="auto"/>
              </w:rPr>
              <w:t>Stockholders' equity (deficit):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stock, $0.00001 par value; 41,000,000 and 77,000,000 shares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authorized at December 31, 2013 and 2014, respectively; 9,420,000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shares issued and outstanding at December 31, 2013 and 2014;</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36,761,057 shares issued and outstanding, pro forma at December 31,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1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2014</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36,677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(9,166)</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(20,749)</w:t>
            </w: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(20,749)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1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stockholders' equity (deficit)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(9,163)</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(20,755)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15,922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6120" w:type="dxa"/>
            <w:vAlign w:val="bottom"/>
          </w:tcPr>
          <w:p>
            <w:pPr>
              <w:ind w:left="320"/>
              <w:spacing w:after="0" w:line="193" w:lineRule="exact"/>
              <w:rPr>
                <w:sz w:val="20"/>
                <w:szCs w:val="20"/>
                <w:color w:val="auto"/>
              </w:rPr>
            </w:pPr>
            <w:r>
              <w:rPr>
                <w:rFonts w:ascii="Arial" w:cs="Arial" w:eastAsia="Arial" w:hAnsi="Arial"/>
                <w:sz w:val="17"/>
                <w:szCs w:val="17"/>
                <w:color w:val="auto"/>
              </w:rPr>
              <w:t>Total liabilities, redeemable convertible preferred stock and stockholders'</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120" w:type="dxa"/>
            <w:vAlign w:val="bottom"/>
          </w:tcPr>
          <w:p>
            <w:pPr>
              <w:ind w:left="480"/>
              <w:spacing w:after="0" w:line="194" w:lineRule="exact"/>
              <w:rPr>
                <w:sz w:val="20"/>
                <w:szCs w:val="20"/>
                <w:color w:val="auto"/>
              </w:rPr>
            </w:pPr>
            <w:r>
              <w:rPr>
                <w:rFonts w:ascii="Arial" w:cs="Arial" w:eastAsia="Arial" w:hAnsi="Arial"/>
                <w:sz w:val="17"/>
                <w:szCs w:val="17"/>
                <w:color w:val="auto"/>
              </w:rPr>
              <w:t>equity (deficit)</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14,207</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17,377</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17,377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tcPr>
          <w:p>
            <w:pPr>
              <w:ind w:left="20"/>
              <w:spacing w:after="0" w:line="189" w:lineRule="exact"/>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3,488</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5,257</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8,533</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tcPr>
          <w:p>
            <w:pPr>
              <w:ind w:left="20"/>
              <w:spacing w:after="0" w:line="189" w:lineRule="exact"/>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(5,257)</w:t>
            </w:r>
          </w:p>
        </w:tc>
        <w:tc>
          <w:tcPr>
            <w:tcW w:w="140" w:type="dxa"/>
            <w:vAlign w:val="bottom"/>
          </w:tcPr>
          <w:p>
            <w:pPr>
              <w:spacing w:after="0"/>
              <w:rPr>
                <w:sz w:val="16"/>
                <w:szCs w:val="16"/>
                <w:color w:val="auto"/>
              </w:rPr>
            </w:pP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(8,533)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tcPr>
          <w:p>
            <w:pPr>
              <w:ind w:left="20"/>
              <w:spacing w:after="0" w:line="189" w:lineRule="exact"/>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(5,236)</w:t>
            </w:r>
          </w:p>
        </w:tc>
        <w:tc>
          <w:tcPr>
            <w:tcW w:w="140" w:type="dxa"/>
            <w:vAlign w:val="bottom"/>
          </w:tcPr>
          <w:p>
            <w:pPr>
              <w:spacing w:after="0"/>
              <w:rPr>
                <w:sz w:val="16"/>
                <w:szCs w:val="16"/>
                <w:color w:val="auto"/>
              </w:rPr>
            </w:pP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(8,517)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(6,976)</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(10,571)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7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Net loss per share attributable to common stockholders, basic and diluted</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(1.87)</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(1.78)</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Weighted average common shares outstanding,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3,730,654</w:t>
            </w:r>
          </w:p>
        </w:tc>
        <w:tc>
          <w:tcPr>
            <w:tcW w:w="140" w:type="dxa"/>
            <w:vAlign w:val="bottom"/>
          </w:tcPr>
          <w:p>
            <w:pPr>
              <w:spacing w:after="0"/>
              <w:rPr>
                <w:sz w:val="15"/>
                <w:szCs w:val="15"/>
                <w:color w:val="auto"/>
              </w:rPr>
            </w:pP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5,934,302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7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Pro forma net loss per share attributable to common stockholders, basic and diluted</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76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(unaudited)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(0.30)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Pro forma weighted average common shares outstanding, basic and diluted</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40" w:type="dxa"/>
            <w:vAlign w:val="bottom"/>
          </w:tcPr>
          <w:p>
            <w:pPr>
              <w:spacing w:after="0"/>
              <w:rPr>
                <w:sz w:val="15"/>
                <w:szCs w:val="15"/>
                <w:color w:val="auto"/>
              </w:rPr>
            </w:pPr>
          </w:p>
        </w:tc>
        <w:tc>
          <w:tcPr>
            <w:tcW w:w="6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760" w:type="dxa"/>
            <w:vAlign w:val="bottom"/>
          </w:tcPr>
          <w:p>
            <w:pPr>
              <w:ind w:left="160"/>
              <w:spacing w:after="0" w:line="194" w:lineRule="exact"/>
              <w:rPr>
                <w:sz w:val="20"/>
                <w:szCs w:val="20"/>
                <w:color w:val="auto"/>
              </w:rPr>
            </w:pPr>
            <w:r>
              <w:rPr>
                <w:rFonts w:ascii="Arial" w:cs="Arial" w:eastAsia="Arial" w:hAnsi="Arial"/>
                <w:sz w:val="17"/>
                <w:szCs w:val="17"/>
                <w:color w:val="auto"/>
              </w:rPr>
              <w:t>(unaudited)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28,467,995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1140" w:type="dxa"/>
            <w:vAlign w:val="bottom"/>
          </w:tcPr>
          <w:p>
            <w:pPr>
              <w:spacing w:after="0"/>
              <w:rPr>
                <w:sz w:val="24"/>
                <w:szCs w:val="24"/>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760" w:type="dxa"/>
            <w:vAlign w:val="bottom"/>
          </w:tcPr>
          <w:p>
            <w:pPr>
              <w:ind w:left="160"/>
              <w:spacing w:after="0"/>
              <w:rPr>
                <w:sz w:val="20"/>
                <w:szCs w:val="20"/>
                <w:color w:val="auto"/>
              </w:rPr>
            </w:pPr>
            <w:r>
              <w:rPr>
                <w:rFonts w:ascii="Arial" w:cs="Arial" w:eastAsia="Arial" w:hAnsi="Arial"/>
                <w:sz w:val="17"/>
                <w:szCs w:val="17"/>
                <w:color w:val="auto"/>
              </w:rPr>
              <w:t>Unrealized gain (loss) on marketable securities, net of tax of $0</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other comprehensive income (loss)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vMerge w:val="restart"/>
          </w:tcPr>
          <w:p>
            <w:pPr>
              <w:ind w:left="20"/>
              <w:spacing w:after="0"/>
              <w:rPr>
                <w:sz w:val="20"/>
                <w:szCs w:val="20"/>
                <w:color w:val="auto"/>
              </w:rPr>
            </w:pPr>
            <w:r>
              <w:rPr>
                <w:rFonts w:ascii="Arial" w:cs="Arial" w:eastAsia="Arial" w:hAnsi="Arial"/>
                <w:sz w:val="17"/>
                <w:szCs w:val="17"/>
                <w:color w:val="auto"/>
              </w:rPr>
              <w:t>Comprehensive loss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(5,233)</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(8,526)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67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REDEEMABLE CONVERTIBLE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 STOCKHOLDERS' DEFICIT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vMerge w:val="restart"/>
          </w:tcPr>
          <w:p>
            <w:pPr>
              <w:jc w:val="center"/>
              <w:ind w:right="100"/>
              <w:spacing w:after="0"/>
              <w:rPr>
                <w:sz w:val="20"/>
                <w:szCs w:val="20"/>
                <w:color w:val="auto"/>
              </w:rPr>
            </w:pPr>
            <w:r>
              <w:rPr>
                <w:rFonts w:ascii="Arial" w:cs="Arial" w:eastAsia="Arial" w:hAnsi="Arial"/>
                <w:sz w:val="17"/>
                <w:szCs w:val="17"/>
                <w:b w:val="1"/>
                <w:bCs w:val="1"/>
                <w:color w:val="auto"/>
                <w:w w:val="99"/>
              </w:rPr>
              <w:t>Series A and 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9"/>
              </w:rPr>
              <w:t>Accumulated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7"/>
                <w:szCs w:val="17"/>
                <w:b w:val="1"/>
                <w:bCs w:val="1"/>
                <w:color w:val="auto"/>
              </w:rPr>
              <w:t>Common Stock</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9"/>
              </w:rPr>
              <w:t>Redeemable</w:t>
            </w:r>
          </w:p>
        </w:tc>
        <w:tc>
          <w:tcPr>
            <w:tcW w:w="160" w:type="dxa"/>
            <w:vAlign w:val="bottom"/>
            <w:tcBorders>
              <w:left w:val="single" w:sz="8" w:color="auto"/>
            </w:tcBorders>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Compre-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00" w:type="dxa"/>
            <w:vAlign w:val="bottom"/>
            <w:gridSpan w:val="4"/>
          </w:tcPr>
          <w:p>
            <w:pPr>
              <w:jc w:val="center"/>
              <w:ind w:right="100"/>
              <w:spacing w:after="0" w:line="173" w:lineRule="exact"/>
              <w:rPr>
                <w:sz w:val="20"/>
                <w:szCs w:val="20"/>
                <w:color w:val="auto"/>
              </w:rPr>
            </w:pPr>
            <w:r>
              <w:rPr>
                <w:rFonts w:ascii="Arial" w:cs="Arial" w:eastAsia="Arial" w:hAnsi="Arial"/>
                <w:sz w:val="17"/>
                <w:szCs w:val="17"/>
                <w:b w:val="1"/>
                <w:bCs w:val="1"/>
                <w:color w:val="auto"/>
              </w:rPr>
              <w:t>Convertible Preferred</w:t>
            </w:r>
          </w:p>
        </w:tc>
        <w:tc>
          <w:tcPr>
            <w:tcW w:w="160" w:type="dxa"/>
            <w:vAlign w:val="bottom"/>
            <w:tcBorders>
              <w:left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line="173" w:lineRule="exact"/>
              <w:rPr>
                <w:sz w:val="20"/>
                <w:szCs w:val="20"/>
                <w:color w:val="auto"/>
              </w:rPr>
            </w:pPr>
            <w:r>
              <w:rPr>
                <w:rFonts w:ascii="Arial" w:cs="Arial" w:eastAsia="Arial" w:hAnsi="Arial"/>
                <w:sz w:val="17"/>
                <w:szCs w:val="17"/>
                <w:b w:val="1"/>
                <w:bCs w:val="1"/>
                <w:color w:val="auto"/>
              </w:rPr>
              <w:t>Additional</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line="173" w:lineRule="exact"/>
              <w:rPr>
                <w:sz w:val="20"/>
                <w:szCs w:val="20"/>
                <w:color w:val="auto"/>
              </w:rPr>
            </w:pPr>
            <w:r>
              <w:rPr>
                <w:rFonts w:ascii="Arial" w:cs="Arial" w:eastAsia="Arial" w:hAnsi="Arial"/>
                <w:sz w:val="17"/>
                <w:szCs w:val="17"/>
                <w:b w:val="1"/>
                <w:bCs w:val="1"/>
                <w:color w:val="auto"/>
                <w:w w:val="97"/>
              </w:rPr>
              <w:t>hensive</w:t>
            </w:r>
          </w:p>
        </w:tc>
        <w:tc>
          <w:tcPr>
            <w:tcW w:w="840" w:type="dxa"/>
            <w:vAlign w:val="bottom"/>
            <w:gridSpan w:val="3"/>
          </w:tcPr>
          <w:p>
            <w:pPr>
              <w:jc w:val="center"/>
              <w:ind w:right="100"/>
              <w:spacing w:after="0" w:line="173" w:lineRule="exact"/>
              <w:rPr>
                <w:sz w:val="20"/>
                <w:szCs w:val="20"/>
                <w:color w:val="auto"/>
              </w:rPr>
            </w:pPr>
            <w:r>
              <w:rPr>
                <w:rFonts w:ascii="Arial" w:cs="Arial" w:eastAsia="Arial" w:hAnsi="Arial"/>
                <w:sz w:val="17"/>
                <w:szCs w:val="17"/>
                <w:b w:val="1"/>
                <w:bCs w:val="1"/>
                <w:color w:val="auto"/>
                <w:w w:val="99"/>
              </w:rPr>
              <w:t>Accum-</w:t>
            </w:r>
          </w:p>
        </w:tc>
        <w:tc>
          <w:tcPr>
            <w:tcW w:w="200" w:type="dxa"/>
            <w:vAlign w:val="bottom"/>
          </w:tcPr>
          <w:p>
            <w:pPr>
              <w:spacing w:after="0"/>
              <w:rPr>
                <w:sz w:val="15"/>
                <w:szCs w:val="15"/>
                <w:color w:val="auto"/>
              </w:rPr>
            </w:pPr>
          </w:p>
        </w:tc>
        <w:tc>
          <w:tcPr>
            <w:tcW w:w="2100" w:type="dxa"/>
            <w:vAlign w:val="bottom"/>
            <w:gridSpan w:val="3"/>
          </w:tcPr>
          <w:p>
            <w:pPr>
              <w:jc w:val="center"/>
              <w:ind w:right="1380"/>
              <w:spacing w:after="0" w:line="173" w:lineRule="exact"/>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rPr>
              <w:t>Stock</w:t>
            </w:r>
          </w:p>
        </w:tc>
        <w:tc>
          <w:tcPr>
            <w:tcW w:w="16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7"/>
                <w:szCs w:val="17"/>
                <w:b w:val="1"/>
                <w:bCs w:val="1"/>
                <w:color w:val="auto"/>
              </w:rPr>
              <w:t>Par</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Paid-in</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Income</w:t>
            </w:r>
          </w:p>
        </w:tc>
        <w:tc>
          <w:tcPr>
            <w:tcW w:w="10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ulated</w:t>
            </w:r>
          </w:p>
        </w:tc>
        <w:tc>
          <w:tcPr>
            <w:tcW w:w="2300" w:type="dxa"/>
            <w:vAlign w:val="bottom"/>
            <w:gridSpan w:val="4"/>
          </w:tcPr>
          <w:p>
            <w:pPr>
              <w:jc w:val="center"/>
              <w:ind w:right="1180"/>
              <w:spacing w:after="0"/>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00" w:type="dxa"/>
            <w:vAlign w:val="bottom"/>
            <w:tcBorders>
              <w:top w:val="single" w:sz="8" w:color="auto"/>
            </w:tcBorders>
            <w:gridSpan w:val="2"/>
          </w:tcPr>
          <w:p>
            <w:pPr>
              <w:ind w:left="180"/>
              <w:spacing w:after="0" w:line="189" w:lineRule="exact"/>
              <w:rPr>
                <w:sz w:val="20"/>
                <w:szCs w:val="20"/>
                <w:color w:val="auto"/>
              </w:rPr>
            </w:pPr>
            <w:r>
              <w:rPr>
                <w:rFonts w:ascii="Arial" w:cs="Arial" w:eastAsia="Arial" w:hAnsi="Arial"/>
                <w:sz w:val="17"/>
                <w:szCs w:val="17"/>
                <w:b w:val="1"/>
                <w:bCs w:val="1"/>
                <w:color w:val="auto"/>
              </w:rPr>
              <w:t>Shares</w:t>
            </w:r>
          </w:p>
        </w:tc>
        <w:tc>
          <w:tcPr>
            <w:tcW w:w="70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6"/>
                <w:szCs w:val="16"/>
                <w:color w:val="auto"/>
              </w:rPr>
            </w:pP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Shares</w:t>
            </w:r>
          </w:p>
        </w:tc>
        <w:tc>
          <w:tcPr>
            <w:tcW w:w="58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6"/>
                <w:szCs w:val="16"/>
                <w:color w:val="auto"/>
              </w:rPr>
            </w:pP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97"/>
              </w:rPr>
              <w:t>(Loss)</w:t>
            </w:r>
          </w:p>
        </w:tc>
        <w:tc>
          <w:tcPr>
            <w:tcW w:w="100" w:type="dxa"/>
            <w:vAlign w:val="bottom"/>
          </w:tcPr>
          <w:p>
            <w:pPr>
              <w:spacing w:after="0"/>
              <w:rPr>
                <w:sz w:val="16"/>
                <w:szCs w:val="16"/>
                <w:color w:val="auto"/>
              </w:rPr>
            </w:pPr>
          </w:p>
        </w:tc>
        <w:tc>
          <w:tcPr>
            <w:tcW w:w="740" w:type="dxa"/>
            <w:vAlign w:val="bottom"/>
            <w:gridSpan w:val="2"/>
          </w:tcPr>
          <w:p>
            <w:pPr>
              <w:jc w:val="center"/>
              <w:ind w:right="220"/>
              <w:spacing w:after="0" w:line="189" w:lineRule="exact"/>
              <w:rPr>
                <w:sz w:val="20"/>
                <w:szCs w:val="20"/>
                <w:color w:val="auto"/>
              </w:rPr>
            </w:pPr>
            <w:r>
              <w:rPr>
                <w:rFonts w:ascii="Arial" w:cs="Arial" w:eastAsia="Arial" w:hAnsi="Arial"/>
                <w:sz w:val="17"/>
                <w:szCs w:val="17"/>
                <w:b w:val="1"/>
                <w:bCs w:val="1"/>
                <w:color w:val="auto"/>
                <w:w w:val="99"/>
              </w:rPr>
              <w:t>Deficit</w:t>
            </w:r>
          </w:p>
        </w:tc>
        <w:tc>
          <w:tcPr>
            <w:tcW w:w="200" w:type="dxa"/>
            <w:vAlign w:val="bottom"/>
          </w:tcPr>
          <w:p>
            <w:pPr>
              <w:spacing w:after="0"/>
              <w:rPr>
                <w:sz w:val="16"/>
                <w:szCs w:val="16"/>
                <w:color w:val="auto"/>
              </w:rPr>
            </w:pPr>
          </w:p>
        </w:tc>
        <w:tc>
          <w:tcPr>
            <w:tcW w:w="2100" w:type="dxa"/>
            <w:vAlign w:val="bottom"/>
            <w:gridSpan w:val="3"/>
          </w:tcPr>
          <w:p>
            <w:pPr>
              <w:jc w:val="center"/>
              <w:ind w:right="1380"/>
              <w:spacing w:after="0" w:line="189" w:lineRule="exact"/>
              <w:rPr>
                <w:sz w:val="20"/>
                <w:szCs w:val="20"/>
                <w:color w:val="auto"/>
              </w:rPr>
            </w:pPr>
            <w:r>
              <w:rPr>
                <w:rFonts w:ascii="Arial" w:cs="Arial" w:eastAsia="Arial" w:hAnsi="Arial"/>
                <w:sz w:val="17"/>
                <w:szCs w:val="17"/>
                <w:b w:val="1"/>
                <w:bCs w:val="1"/>
                <w:color w:val="auto"/>
                <w:w w:val="99"/>
              </w:rPr>
              <w:t>Deficit</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$ 21,260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Unrealized gain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1,740</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(1,740)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(5,236)</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20,890,000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23,000</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Issuance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Series B</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stock and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purchased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put option,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net of</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issuance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costs of $60</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6,451,057</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11,623</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200" w:type="dxa"/>
            <w:vAlign w:val="bottom"/>
          </w:tcPr>
          <w:p>
            <w:pPr>
              <w:spacing w:after="0"/>
              <w:rPr>
                <w:sz w:val="16"/>
                <w:szCs w:val="16"/>
                <w:color w:val="auto"/>
              </w:rPr>
            </w:pP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(1,039)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loss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marketable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securities</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(9)</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Stock-based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280"/>
              <w:spacing w:after="0"/>
              <w:rPr>
                <w:sz w:val="20"/>
                <w:szCs w:val="20"/>
                <w:color w:val="auto"/>
              </w:rPr>
            </w:pPr>
            <w:r>
              <w:rPr>
                <w:rFonts w:ascii="Arial" w:cs="Arial" w:eastAsia="Arial" w:hAnsi="Arial"/>
                <w:sz w:val="17"/>
                <w:szCs w:val="17"/>
                <w:color w:val="auto"/>
              </w:rPr>
              <w:t>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tcPr>
          <w:p>
            <w:pPr>
              <w:ind w:left="280"/>
              <w:spacing w:after="0" w:line="194" w:lineRule="exact"/>
              <w:rPr>
                <w:sz w:val="20"/>
                <w:szCs w:val="20"/>
                <w:color w:val="auto"/>
              </w:rPr>
            </w:pPr>
            <w:r>
              <w:rPr>
                <w:rFonts w:ascii="Arial" w:cs="Arial" w:eastAsia="Arial" w:hAnsi="Arial"/>
                <w:sz w:val="17"/>
                <w:szCs w:val="17"/>
                <w:color w:val="auto"/>
              </w:rPr>
              <w:t>expense</w:t>
            </w:r>
          </w:p>
        </w:tc>
        <w:tc>
          <w:tcPr>
            <w:tcW w:w="110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4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27</w:t>
            </w:r>
          </w:p>
        </w:tc>
        <w:tc>
          <w:tcPr>
            <w:tcW w:w="140" w:type="dxa"/>
            <w:vAlign w:val="bottom"/>
          </w:tcPr>
          <w:p>
            <w:pPr>
              <w:spacing w:after="0"/>
              <w:rPr>
                <w:sz w:val="16"/>
                <w:szCs w:val="16"/>
                <w:color w:val="auto"/>
              </w:rPr>
            </w:pPr>
          </w:p>
        </w:tc>
        <w:tc>
          <w:tcPr>
            <w:tcW w:w="10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Accretion of</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redeemable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convertible</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preferred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redemption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value</w:t>
            </w:r>
          </w:p>
        </w:tc>
        <w:tc>
          <w:tcPr>
            <w:tcW w:w="11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2,054</w:t>
            </w:r>
          </w:p>
        </w:tc>
        <w:tc>
          <w:tcPr>
            <w:tcW w:w="160" w:type="dxa"/>
            <w:vAlign w:val="bottom"/>
            <w:tcBorders>
              <w:left w:val="single" w:sz="8" w:color="auto"/>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(2,027)</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(2,054)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2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(8,517)</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44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Balance at</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December 31,</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$ 36,677</w:t>
            </w:r>
          </w:p>
        </w:tc>
        <w:tc>
          <w:tcPr>
            <w:tcW w:w="160" w:type="dxa"/>
            <w:vAlign w:val="bottom"/>
            <w:tcBorders>
              <w:lef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9,420,000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(20,749) $</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(20,755)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6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center"/>
              <w:ind w:right="15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center"/>
              <w:ind w:right="14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6"/>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(8,517)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7"/>
                <w:szCs w:val="17"/>
                <w:color w:val="auto"/>
              </w:rPr>
              <w:t>Depreciation expense</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 expense</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7"/>
                <w:szCs w:val="17"/>
                <w:color w:val="auto"/>
              </w:rPr>
              <w:t>Deferred rent</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480"/>
              <w:spacing w:after="0"/>
              <w:rPr>
                <w:sz w:val="20"/>
                <w:szCs w:val="20"/>
                <w:color w:val="auto"/>
              </w:rPr>
            </w:pPr>
            <w:r>
              <w:rPr>
                <w:rFonts w:ascii="Arial" w:cs="Arial" w:eastAsia="Arial" w:hAnsi="Arial"/>
                <w:sz w:val="17"/>
                <w:szCs w:val="17"/>
                <w:color w:val="auto"/>
              </w:rPr>
              <w:t>Prepaid expenses and other assets</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819</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48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174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Net cash used in operating activities</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(4,920)</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(7,636)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7"/>
                <w:szCs w:val="17"/>
                <w:color w:val="auto"/>
              </w:rPr>
              <w:t>Purchases of marketable securities</w:t>
            </w:r>
          </w:p>
        </w:tc>
        <w:tc>
          <w:tcPr>
            <w:tcW w:w="1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(5,035)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sales and maturities of marketable securities</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3,673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vMerge w:val="restart"/>
          </w:tcPr>
          <w:p>
            <w:pPr>
              <w:ind w:left="3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(4,535)</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(1,779)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10,584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Net cash provided by financing activities</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10,584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(9,455)</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1,169</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year</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19,043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9,588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30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9,588</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10,757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73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tcPr>
          <w:p>
            <w:pPr>
              <w:ind w:left="160"/>
              <w:spacing w:after="0"/>
              <w:rPr>
                <w:sz w:val="20"/>
                <w:szCs w:val="20"/>
                <w:color w:val="auto"/>
              </w:rPr>
            </w:pPr>
            <w:r>
              <w:rPr>
                <w:rFonts w:ascii="Arial" w:cs="Arial" w:eastAsia="Arial" w:hAnsi="Arial"/>
                <w:sz w:val="17"/>
                <w:szCs w:val="17"/>
                <w:color w:val="auto"/>
              </w:rPr>
              <w:t>Additions to property and equipment purchases included in 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2,054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7"/>
                <w:szCs w:val="17"/>
                <w:color w:val="auto"/>
              </w:rPr>
              <w:t>Fair value of preferred stock purchased put option on date of issuance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Aclaris Therapeutics, Inc. (the "Company") was incorporated under the laws of the State of Delaware in 2012. The Company is a clinical-stage specialty pharmaceutical company focused on identifying, developing and commercializing innovative and differentiated topical drugs to address significant unmet needs in dermatology. The Company's lead drug candidate, A-101, is a proprietary high-concentration hydrogen peroxide topical solution that the Company is developing as a prescription treatment for seborrheic keratosis ("SK"), a common non-malignant skin tumor. The Company has completed three clinical trials of A-101 in patients with SK.</w:t>
      </w:r>
    </w:p>
    <w:p>
      <w:pPr>
        <w:spacing w:after="0" w:line="199"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having no commercial manufacturing experience, marketing or sales capability or experience;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20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$20,749 as of December 31, 2014. As of December 31, 2014, the Company had cash and cash equivalents of $10,757 and marketable securities of $5,891. The Company expects that its cash, cash equivalents and marketable securities at December 31, 2014 should be sufficient to fund its operating expenses and capital expenditure requirements through at least December 31, 2015. The future viability of the Company is dependent on its ability to generate cash from operating activities or to raise additional capital to finance its operations. The Company's failure to raise capital as and when needed could have a negative impact on its financial condition and ability to pursue its business strategies.</w:t>
      </w:r>
    </w:p>
    <w:p>
      <w:pPr>
        <w:spacing w:after="0" w:line="201"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The Company is seeking to complete an initial public offering of its common stock, which would provide additional capital to fund its operations. Upon the closing of a qualified public offering on specified terms, all of the Company's outstanding redeemable convertible preferred stock will convert into shares of common stock. In the event the Company does not complete an initial public offering,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 and Basis of Presentation (Continued)</w:t>
      </w:r>
    </w:p>
    <w:p>
      <w:pPr>
        <w:spacing w:after="0" w:line="231"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unable to obtain funding, the Company could be forced to delay, reduce or eliminate its research and development programs, product portfolio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98"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accrual of research and development expenses and the valuation of common stock, stock-based awards and a purchased put option.</w:t>
      </w:r>
    </w:p>
    <w:p>
      <w:pPr>
        <w:spacing w:after="0" w:line="198" w:lineRule="exact"/>
        <w:rPr>
          <w:sz w:val="20"/>
          <w:szCs w:val="20"/>
          <w:color w:val="auto"/>
        </w:rPr>
      </w:pPr>
    </w:p>
    <w:p>
      <w:pPr>
        <w:ind w:right="780"/>
        <w:spacing w:after="0" w:line="252" w:lineRule="auto"/>
        <w:rPr>
          <w:sz w:val="20"/>
          <w:szCs w:val="20"/>
          <w:color w:val="auto"/>
        </w:rPr>
      </w:pPr>
      <w:r>
        <w:rPr>
          <w:rFonts w:ascii="Arial" w:cs="Arial" w:eastAsia="Arial" w:hAnsi="Arial"/>
          <w:sz w:val="17"/>
          <w:szCs w:val="17"/>
          <w:color w:val="auto"/>
        </w:rPr>
        <w:t>Estimates are periodically reviewed in light of changes in circumstances, facts and experience. Actual results could differ from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3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accompanying unaudited pro forma balance sheet as of December 31, 2014 has been prepared to give effect to the conversion of all outstanding shares of redeemable convertible preferred stock into 27,341,057 shares of common stock as if the proposed initial public offering had occurred on December 31, 2014.</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the accompanying statements of operations, unaudited pro forma basic and diluted net loss per share attributable to common stockholders for the year ended December 31, 2014 have been prepared to give effect to the conversion of all outstanding shares of redeemable convertible preferred stock into shares of common stock as if the proposed initial public offering had occurred on the later of January 1, 2014 or the issuance date of the redeemable convertible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Research and development costs are expensed as incurred. Research and development expenses include salaries, stock-based compensation and benefits of employees, fees paid under a third-party assignment agreement and other operational costs related to the Company's research and development activities, including allocated facility-related expenses and external costs of outside vendors engaged to conduct both pre-clinical studies and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its studies and clinical trials, including the phase or completion of events, invoices received and contracted costs. Significant judgments and estimates are made in determining the accrued balances at the end of any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reporting period. Actual results could differ from the Company's estimates. The Company's historical accrual estimates have not been materially different from the actual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The Company measures all stock options and other stock-based awards granted to employees and directors based on the fair value on the date of grant and recognizes compensation expense of those awards, net of estimated forfeitures, over the requisite service period, which is generally the vesting period of the respective award. Generally, the Company issues stock options and restricted stock awards with only service-based vesting conditions and records the expense for these awards using the straight-line method.</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9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fair value of each restricted stock award is measured as the aggregate difference between the purchase price per share of the award, if any, and the fair value per share of the Company's common stock on the date of grant.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Accretion of Redeemable Convertible Preferred Stock</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Accretion of redeemable convertible preferred stock includes the accretion of accruing dividends on and issuance costs of the Company's Series A and Series B redeemable convertible preferred stock. The carrying values of the Series A and Series B redeemable convertible preferred stock are being accreted to their respective redemption values, using the effective interest method, from the date of issuance to the earliest date the holders can demand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Comprehensive loss includes net loss as well as other changes in stockholders' equity (deficit) that result from transactions and economic events other than those with stockholders. Comprehensive loss is comprised of net loss and unrealized gains (losses) on marketable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as its redeemable convertible preferred stock and common stock are participating securities.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do not participate in losses.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Company's redeemable convertible preferred stock contractually entitles the holders of such shares to participate in dividends but does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with original maturities of 90 days or less at acquisition date to be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which consist of money market accounts, are stated at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Marketable securities with original maturities of greater than three months and remaining maturities of less than one year from the balance sheet date are classified as short term. Marketable securities with remaining maturities of greater than one year from the balance sheet date are classified as long term.</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Company classifies all of its marketable securities as available-for-sale securities. The Company's marketable securities are measured and reported at fair value using quoted prices in markets that are not active for identical or similar securities. Unrealized gains and losses are reported as a separate component of stockholders' equity (deficit). The cost of securities sold is determined on a specific identification basis, and realized gains and losses are included in other income (expense) within the statement of operations and comprehensive loss. If any adjustment to fair value reflects a decline in the value of the investment, the Company considers available evidence to evaluate the extent to which the decline is "other than temporary" and reduces the investment to fair value through a charge to the statement of operations and comprehensive loss.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3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212" w:lineRule="exact"/>
        <w:rPr>
          <w:sz w:val="20"/>
          <w:szCs w:val="20"/>
          <w:color w:val="auto"/>
        </w:rPr>
      </w:pPr>
    </w:p>
    <w:p>
      <w:pPr>
        <w:ind w:left="1060" w:hanging="531"/>
        <w:spacing w:after="0"/>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24" w:lineRule="exact"/>
        <w:rPr>
          <w:rFonts w:ascii="Arial" w:cs="Arial" w:eastAsia="Arial" w:hAnsi="Arial"/>
          <w:sz w:val="17"/>
          <w:szCs w:val="17"/>
          <w:color w:val="auto"/>
        </w:rPr>
      </w:pPr>
    </w:p>
    <w:p>
      <w:pPr>
        <w:ind w:left="1060" w:right="160" w:hanging="531"/>
        <w:spacing w:after="0" w:line="246"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44" w:lineRule="exact"/>
        <w:rPr>
          <w:sz w:val="20"/>
          <w:szCs w:val="20"/>
          <w:color w:val="auto"/>
        </w:rPr>
      </w:pPr>
    </w:p>
    <w:p>
      <w:pPr>
        <w:ind w:left="1060" w:right="40" w:hanging="531"/>
        <w:spacing w:after="0" w:line="252"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9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of Significant Suppliers</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and marketable securities. The Company holds all cash, cash equivalents and marketable securities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98" w:lineRule="exact"/>
        <w:rPr>
          <w:sz w:val="20"/>
          <w:szCs w:val="20"/>
          <w:color w:val="auto"/>
        </w:rPr>
      </w:pPr>
    </w:p>
    <w:p>
      <w:pPr>
        <w:jc w:val="both"/>
        <w:ind w:right="740"/>
        <w:spacing w:after="0" w:line="246" w:lineRule="auto"/>
        <w:rPr>
          <w:sz w:val="20"/>
          <w:szCs w:val="20"/>
          <w:color w:val="auto"/>
        </w:rPr>
      </w:pPr>
      <w:r>
        <w:rPr>
          <w:rFonts w:ascii="Arial" w:cs="Arial" w:eastAsia="Arial" w:hAnsi="Arial"/>
          <w:sz w:val="17"/>
          <w:szCs w:val="17"/>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active pharmaceutical ingredients and other components.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31"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(deficit) as a reduction of additional paid-in capital generated as a result of the offering. Should the equity financing no longer be considered probable of being consummated, all deferred offering costs will be charged to operating expenses in the statement of operations. The Company did not record any deferred offering costs as of December 31, 2013 or 2014.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Computer equipment is depreciated over three years. Manufacturing equipment is depreciated over five years.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asset over its fair value, determined based on discounted cash flows. To date, the Company has not recorded any impairment losses on long-lived assets.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Data</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Company's singular focus is identifying, developing and commercializing innovative and differentiated topical drugs to address significant unmet needs in dermatology. No revenue has been generated since inception, and all tangible assets are held in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and Adopted Accounting Pronouncements</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June 2014, the Financial Accounting Standards Board ("FASB") issued Accounting Standards Update ("ASU") 2014-10, </w:t>
      </w:r>
      <w:r>
        <w:rPr>
          <w:rFonts w:ascii="Arial" w:cs="Arial" w:eastAsia="Arial" w:hAnsi="Arial"/>
          <w:sz w:val="17"/>
          <w:szCs w:val="17"/>
          <w:i w:val="1"/>
          <w:iCs w:val="1"/>
          <w:color w:val="auto"/>
        </w:rPr>
        <w:t>Development Stage Entities</w:t>
      </w:r>
      <w:r>
        <w:rPr>
          <w:rFonts w:ascii="Arial" w:cs="Arial" w:eastAsia="Arial" w:hAnsi="Arial"/>
          <w:sz w:val="17"/>
          <w:szCs w:val="17"/>
          <w:color w:val="auto"/>
        </w:rPr>
        <w:t>. The amendments in this update removed all incremental financial reporting requirements, including inception-to-date information and certain other disclosures currently required under GAAP, in the financial statements of development stage companies. The amendments are effective for annual reporting periods beginning after December 15, 2014 and interim reporting periods beginning after December 15, 2015. Early adoption is permitted. The Company elected to early adopt this guidance and, therefore, has not presented inception-to-date disclosures in its financial statements.</w:t>
      </w:r>
    </w:p>
    <w:p>
      <w:pPr>
        <w:spacing w:after="0" w:line="17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amendments in this update will explicitly require a company's management to assess an entity's ability to continue as a going concern, and to provide related footnote disclosures in certain circumstances. The new standard will be effective in the first annual period ending after December 15, 2016. Early application is permitted. The Company is currently evaluating the potential impact of the adoption of this standard, but believes its adoption will have no impact on its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following tables present information about the Company's assets and liabilities as of December 31, 2013 and 2014 that are measured at fair value on a recurring basis and indicate the level of the fair value hierarchy utilized to determine such fair values: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20" w:type="dxa"/>
            <w:vAlign w:val="bottom"/>
            <w:gridSpan w:val="12"/>
          </w:tcPr>
          <w:p>
            <w:pPr>
              <w:ind w:left="100"/>
              <w:spacing w:after="0"/>
              <w:rPr>
                <w:sz w:val="20"/>
                <w:szCs w:val="20"/>
                <w:color w:val="auto"/>
              </w:rPr>
            </w:pPr>
            <w:r>
              <w:rPr>
                <w:rFonts w:ascii="Arial" w:cs="Arial" w:eastAsia="Arial" w:hAnsi="Arial"/>
                <w:sz w:val="14"/>
                <w:szCs w:val="14"/>
                <w:b w:val="1"/>
                <w:bCs w:val="1"/>
                <w:color w:val="auto"/>
              </w:rPr>
              <w:t>Fair Value Measurements as of December 31, 2013 Using:</w:t>
            </w:r>
          </w:p>
        </w:tc>
      </w:tr>
      <w:tr>
        <w:trPr>
          <w:trHeight w:val="150"/>
        </w:trPr>
        <w:tc>
          <w:tcPr>
            <w:tcW w:w="1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5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3"/>
                <w:szCs w:val="13"/>
                <w:color w:val="auto"/>
              </w:rPr>
            </w:pPr>
          </w:p>
        </w:tc>
      </w:tr>
      <w:tr>
        <w:trPr>
          <w:trHeight w:val="190"/>
        </w:trPr>
        <w:tc>
          <w:tcPr>
            <w:tcW w:w="1140" w:type="dxa"/>
            <w:vAlign w:val="bottom"/>
          </w:tcPr>
          <w:p>
            <w:pPr>
              <w:spacing w:after="0"/>
              <w:rPr>
                <w:sz w:val="16"/>
                <w:szCs w:val="16"/>
                <w:color w:val="auto"/>
              </w:rPr>
            </w:pP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4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08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9,465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9,465</w:t>
            </w:r>
          </w:p>
        </w:tc>
        <w:tc>
          <w:tcPr>
            <w:tcW w:w="1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4,538</w:t>
            </w: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360"/>
              <w:spacing w:after="0"/>
              <w:rPr>
                <w:sz w:val="20"/>
                <w:szCs w:val="20"/>
                <w:color w:val="auto"/>
              </w:rPr>
            </w:pPr>
            <w:r>
              <w:rPr>
                <w:rFonts w:ascii="Arial" w:cs="Arial" w:eastAsia="Arial" w:hAnsi="Arial"/>
                <w:sz w:val="17"/>
                <w:szCs w:val="17"/>
                <w:color w:val="auto"/>
              </w:rPr>
              <w:t>9,465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4,538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14,003</w:t>
            </w:r>
          </w:p>
        </w:tc>
        <w:tc>
          <w:tcPr>
            <w:tcW w:w="1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F-13</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11"/>
          </w:tcPr>
          <w:p>
            <w:pPr>
              <w:ind w:left="140"/>
              <w:spacing w:after="0"/>
              <w:rPr>
                <w:sz w:val="20"/>
                <w:szCs w:val="20"/>
                <w:color w:val="auto"/>
              </w:rPr>
            </w:pPr>
            <w:r>
              <w:rPr>
                <w:rFonts w:ascii="Arial" w:cs="Arial" w:eastAsia="Arial" w:hAnsi="Arial"/>
                <w:sz w:val="14"/>
                <w:szCs w:val="14"/>
                <w:b w:val="1"/>
                <w:bCs w:val="1"/>
                <w:color w:val="auto"/>
              </w:rPr>
              <w:t>Fair Value Measurements as of December 31, 2014 Using:</w:t>
            </w:r>
          </w:p>
        </w:tc>
      </w:tr>
      <w:tr>
        <w:trPr>
          <w:trHeight w:val="150"/>
        </w:trPr>
        <w:tc>
          <w:tcPr>
            <w:tcW w:w="4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60"/>
              <w:spacing w:after="0" w:line="151"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520"/>
              <w:spacing w:after="0" w:line="151"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9"/>
              <w:spacing w:after="0" w:line="15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90"/>
        </w:trPr>
        <w:tc>
          <w:tcPr>
            <w:tcW w:w="4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456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10,012</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10,012</w:t>
            </w:r>
          </w:p>
        </w:tc>
      </w:tr>
      <w:tr>
        <w:trPr>
          <w:trHeight w:val="197"/>
        </w:trPr>
        <w:tc>
          <w:tcPr>
            <w:tcW w:w="4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10,012</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5,891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15,903</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December 31, 2013 and 2014, the Company's cash equivalents, which were invested in money market funds, were valued based on Level 1 inputs. In determining the fair value of its marketable securities valued using Level 2 inputs, the Company primarily relied on quoted prices from a third-party pricing service for identical securities in markets that are not active. The models used by the third-party pricing service are based on market data and utilize available trade, bid and other observable market data for identical securities. Quarterly, the Company compares the prices obtained from the third-party pricing service to other available independent pricing information to validate the reasonableness of the valuations provided. The Company evaluates whether adjustments to third-party pricing is necessary and, historically, the Company has not made adjustments to prices obtained from the third-party pricing service. During the years ended December 31, 2013 and 2014, there were no transfers between Level 1, Level 2 and Level 3.</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and 2014, the fair value of the Company's available-for-sale marketable securities by type of security was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3,734</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3,736</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802</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4,535</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4,538</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9"/>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3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Gross</w:t>
            </w:r>
          </w:p>
        </w:tc>
        <w:tc>
          <w:tcPr>
            <w:tcW w:w="640" w:type="dxa"/>
            <w:vAlign w:val="bottom"/>
          </w:tcPr>
          <w:p>
            <w:pPr>
              <w:jc w:val="center"/>
              <w:ind w:left="124"/>
              <w:spacing w:after="0" w:line="13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5280" w:type="dxa"/>
            <w:vAlign w:val="bottom"/>
          </w:tcPr>
          <w:p>
            <w:pPr>
              <w:spacing w:after="0"/>
              <w:rPr>
                <w:sz w:val="13"/>
                <w:szCs w:val="13"/>
                <w:color w:val="auto"/>
              </w:rPr>
            </w:pPr>
          </w:p>
        </w:tc>
        <w:tc>
          <w:tcPr>
            <w:tcW w:w="9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Amortized</w:t>
            </w:r>
          </w:p>
        </w:tc>
        <w:tc>
          <w:tcPr>
            <w:tcW w:w="100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7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Fair</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Gain</w:t>
            </w:r>
          </w:p>
        </w:tc>
        <w:tc>
          <w:tcPr>
            <w:tcW w:w="640" w:type="dxa"/>
            <w:vAlign w:val="bottom"/>
          </w:tcPr>
          <w:p>
            <w:pPr>
              <w:jc w:val="center"/>
              <w:ind w:left="124"/>
              <w:spacing w:after="0"/>
              <w:rPr>
                <w:sz w:val="20"/>
                <w:szCs w:val="20"/>
                <w:color w:val="auto"/>
              </w:rPr>
            </w:pPr>
            <w:r>
              <w:rPr>
                <w:rFonts w:ascii="Arial" w:cs="Arial" w:eastAsia="Arial" w:hAnsi="Arial"/>
                <w:sz w:val="14"/>
                <w:szCs w:val="14"/>
                <w:b w:val="1"/>
                <w:bCs w:val="1"/>
                <w:color w:val="auto"/>
                <w:w w:val="97"/>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r>
      <w:tr>
        <w:trPr>
          <w:trHeight w:val="190"/>
        </w:trPr>
        <w:tc>
          <w:tcPr>
            <w:tcW w:w="5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Marketable securities: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5280" w:type="dxa"/>
            <w:vAlign w:val="bottom"/>
          </w:tcPr>
          <w:p>
            <w:pPr>
              <w:ind w:left="160"/>
              <w:spacing w:after="0"/>
              <w:rPr>
                <w:sz w:val="20"/>
                <w:szCs w:val="20"/>
                <w:color w:val="auto"/>
              </w:rPr>
            </w:pPr>
            <w:r>
              <w:rPr>
                <w:rFonts w:ascii="Arial" w:cs="Arial" w:eastAsia="Arial" w:hAnsi="Arial"/>
                <w:sz w:val="17"/>
                <w:szCs w:val="17"/>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5,096</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5,090</w:t>
            </w:r>
          </w:p>
        </w:tc>
      </w:tr>
      <w:tr>
        <w:trPr>
          <w:trHeight w:val="197"/>
        </w:trPr>
        <w:tc>
          <w:tcPr>
            <w:tcW w:w="5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agency debt securities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801</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5,897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46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5,891</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As of December 31, 2013 and 2014, the Company's corporate debt securities had credit ratings of A and above and remaining maturities of less than 10 months and less than 13 months, respectively.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 Net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7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9"/>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r>
      <w:tr>
        <w:trPr>
          <w:trHeight w:val="190"/>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Computer equipment</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36</w:t>
            </w:r>
          </w:p>
        </w:tc>
      </w:tr>
      <w:tr>
        <w:trPr>
          <w:trHeight w:val="197"/>
        </w:trPr>
        <w:tc>
          <w:tcPr>
            <w:tcW w:w="742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506</w:t>
            </w:r>
          </w:p>
        </w:tc>
      </w:tr>
      <w:tr>
        <w:trPr>
          <w:trHeight w:val="20"/>
        </w:trPr>
        <w:tc>
          <w:tcPr>
            <w:tcW w:w="7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542</w:t>
            </w:r>
          </w:p>
        </w:tc>
      </w:tr>
      <w:tr>
        <w:trPr>
          <w:trHeight w:val="197"/>
        </w:trPr>
        <w:tc>
          <w:tcPr>
            <w:tcW w:w="7420" w:type="dxa"/>
            <w:vAlign w:val="bottom"/>
          </w:tcPr>
          <w:p>
            <w:pPr>
              <w:ind w:left="20"/>
              <w:spacing w:after="0"/>
              <w:rPr>
                <w:sz w:val="20"/>
                <w:szCs w:val="20"/>
                <w:color w:val="auto"/>
              </w:rPr>
            </w:pPr>
            <w:r>
              <w:rPr>
                <w:rFonts w:ascii="Arial" w:cs="Arial" w:eastAsia="Arial" w:hAnsi="Arial"/>
                <w:sz w:val="17"/>
                <w:szCs w:val="17"/>
                <w:color w:val="auto"/>
              </w:rPr>
              <w:t>Less: Accumulated depreciation</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r>
      <w:tr>
        <w:trPr>
          <w:trHeight w:val="20"/>
        </w:trPr>
        <w:tc>
          <w:tcPr>
            <w:tcW w:w="7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515</w:t>
            </w:r>
          </w:p>
        </w:tc>
      </w:tr>
      <w:tr>
        <w:trPr>
          <w:trHeight w:val="20"/>
        </w:trPr>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Depreciation expense was $11 and $12 for the years ended December 31, 2013 and 2014, respectively. Construction in progress as of December 31, 2014 consisted of manufacturing equipment, which is expected to be placed into service in 2015.</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7140" w:type="dxa"/>
            <w:vAlign w:val="bottom"/>
          </w:tcPr>
          <w:p>
            <w:pPr>
              <w:spacing w:after="0"/>
              <w:rPr>
                <w:sz w:val="14"/>
                <w:szCs w:val="14"/>
                <w:color w:val="auto"/>
              </w:rPr>
            </w:pPr>
          </w:p>
        </w:tc>
        <w:tc>
          <w:tcPr>
            <w:tcW w:w="1980" w:type="dxa"/>
            <w:vAlign w:val="bottom"/>
            <w:gridSpan w:val="6"/>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50"/>
        </w:trPr>
        <w:tc>
          <w:tcPr>
            <w:tcW w:w="7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9"/>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r>
      <w:tr>
        <w:trPr>
          <w:trHeight w:val="190"/>
        </w:trPr>
        <w:tc>
          <w:tcPr>
            <w:tcW w:w="7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Clinical trial expenses</w:t>
            </w:r>
          </w:p>
        </w:tc>
        <w:tc>
          <w:tcPr>
            <w:tcW w:w="600" w:type="dxa"/>
            <w:vAlign w:val="bottom"/>
            <w:shd w:val="clear" w:color="auto" w:fill="CCEEFF"/>
          </w:tcPr>
          <w:p>
            <w:pPr>
              <w:jc w:val="right"/>
              <w:ind w:right="402"/>
              <w:spacing w:after="0" w:line="189" w:lineRule="exact"/>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163</w:t>
            </w:r>
          </w:p>
        </w:tc>
      </w:tr>
      <w:tr>
        <w:trPr>
          <w:trHeight w:val="197"/>
        </w:trPr>
        <w:tc>
          <w:tcPr>
            <w:tcW w:w="7140" w:type="dxa"/>
            <w:vAlign w:val="bottom"/>
          </w:tcPr>
          <w:p>
            <w:pPr>
              <w:ind w:left="20"/>
              <w:spacing w:after="0"/>
              <w:rPr>
                <w:sz w:val="20"/>
                <w:szCs w:val="20"/>
                <w:color w:val="auto"/>
              </w:rPr>
            </w:pPr>
            <w:r>
              <w:rPr>
                <w:rFonts w:ascii="Arial" w:cs="Arial" w:eastAsia="Arial" w:hAnsi="Arial"/>
                <w:sz w:val="17"/>
                <w:szCs w:val="17"/>
                <w:color w:val="auto"/>
              </w:rPr>
              <w:t>Other</w:t>
            </w:r>
          </w:p>
        </w:tc>
        <w:tc>
          <w:tcPr>
            <w:tcW w:w="6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r>
      <w:tr>
        <w:trPr>
          <w:trHeight w:val="20"/>
        </w:trPr>
        <w:tc>
          <w:tcPr>
            <w:tcW w:w="7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7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02"/>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w:t>
            </w:r>
          </w:p>
        </w:tc>
      </w:tr>
      <w:tr>
        <w:trPr>
          <w:trHeight w:val="20"/>
        </w:trPr>
        <w:tc>
          <w:tcPr>
            <w:tcW w:w="7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w:t>
      </w:r>
    </w:p>
    <w:p>
      <w:pPr>
        <w:spacing w:after="0" w:line="23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Company has issued Series A and Series B redeemable convertible preferred stock (collectively, the "Redeemable Preferred Stock"). The Redeemable Preferred Stock is classified outside of stockholders' equity (deficit) because the shares contain redemption features that are not solely within the control of the Company. As of December 31, 2013 and 2014, the Company's certificate of incorporation, as amended and restated, authorized the Company to issue 20,890,000 shares and 34,090,000 shares, respectively, of $0.00001 par value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2014, the Company entered into a stock purchase agreement pursuant to which the Company agreed to sell to the investors an initial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(the "First Tranche") of 6,451,057 shares of Series B redeemable convertible preferred stock at $1.65 per share for gross proceeds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$10,644. Per the terms of that stock purchase agreement, upon the successful attainment of two specified milestones, the Company may call a second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tranche of 6,451,057 shares of Series B redeemable convertible preferred stock at $1.65 per share (the "purchased put option"). The Company has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right, but not the obligation, to exercise its purchased put option after successful attainment of the specified milestones as confirmed by a vote of five-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sixths of the members of the Company's board of directors and 60% of voting stockholders of the Company. The two milestones relate to (i)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successful achievement of the primary efficacy endpoint and demonstrated safety of a specified Phase 2b clinical trial of A-101 in patients with SK, and</w:t>
      </w:r>
    </w:p>
    <w:p>
      <w:pPr>
        <w:spacing w:after="0" w:line="1" w:lineRule="exact"/>
        <w:rPr>
          <w:sz w:val="20"/>
          <w:szCs w:val="20"/>
          <w:color w:val="auto"/>
        </w:rPr>
      </w:pPr>
    </w:p>
    <w:p>
      <w:pPr>
        <w:ind w:left="5540" w:right="2900" w:hanging="5535"/>
        <w:spacing w:after="0" w:line="509" w:lineRule="auto"/>
        <w:tabs>
          <w:tab w:leader="none" w:pos="24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occurrence of an end-of-Phase 2 meeting with the U.S. Food and Drug Administration ("FDA"), as a result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of which the FDA has not raised any objection to the Company proceeding to a Phase 3 clinical trial of A-101 in patients with SK. Upon the closing of a qualified initial public offering, the Company will amend its certificate of incorporation to eliminate all authorized shares of Series A and Series B redeemable preferred stock, which will eliminate the Company's purchased put option.</w:t>
      </w:r>
    </w:p>
    <w:p>
      <w:pPr>
        <w:spacing w:after="0" w:line="19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connection with the initial issuance of Series B redeemable convertible preferred stock in September 2014, the Company recorded the First Tranche transaction, net of issuance costs of $60, and the $1,039 issuance-date fair value of the purchased put option. The purchased put option was recorded as a charge to accumulated deficit within stockholders' deficit and as an increase to the carrying value of Series B redeemable convertible preferred stock based on the Company's conclusion that the purchased put option met the equity classification criteria at time of issuance as the purchased put option (i) is a freestanding financial instrument that does not require the Company to issue shares that are potentially redeemable and (ii) requires gross physical settlement in all circumstances.</w:t>
      </w:r>
    </w:p>
    <w:p>
      <w:pPr>
        <w:spacing w:after="0" w:line="20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The fair value of the purchased put option was determined on the date of its issuance using the Black-Scholes option-pricing model with the following assumptions and inputs: risk-free interest rate of 0.08%, expected term of nine months, expected volatility of 80.0%, no expected dividends and fair value of underlying instruments of $1.65. The fair value calculation also included an estimate of a 60% probability of occurrence of the successful attainment of the specified milestones that trigger the Company's ability to exercise the purchased put option, as well as an estimate of a 60% probability of the Company exercising the purchased put option, if it became exercisable.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Redeemable Preferred Stock consisted of the following at December 31, 2013 and 2014: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December 31, 2013</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23,000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23,169</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20,890,000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23,000</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23,169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79"/>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December 31, 2014</w:t>
            </w: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9"/>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Common</w:t>
            </w:r>
          </w:p>
        </w:tc>
        <w:tc>
          <w:tcPr>
            <w:tcW w:w="1220" w:type="dxa"/>
            <w:vAlign w:val="bottom"/>
            <w:gridSpan w:val="2"/>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Preferred</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3"/>
          </w:tcPr>
          <w:p>
            <w:pPr>
              <w:jc w:val="center"/>
              <w:ind w:right="1240"/>
              <w:spacing w:after="0" w:line="157" w:lineRule="exact"/>
              <w:rPr>
                <w:sz w:val="20"/>
                <w:szCs w:val="20"/>
                <w:color w:val="auto"/>
              </w:rPr>
            </w:pPr>
            <w:r>
              <w:rPr>
                <w:rFonts w:ascii="Arial" w:cs="Arial" w:eastAsia="Arial" w:hAnsi="Arial"/>
                <w:sz w:val="14"/>
                <w:szCs w:val="14"/>
                <w:b w:val="1"/>
                <w:bCs w:val="1"/>
                <w:color w:val="auto"/>
                <w:w w:val="99"/>
              </w:rPr>
              <w:t>Stock Issuable</w:t>
            </w:r>
          </w:p>
        </w:tc>
      </w:tr>
      <w:tr>
        <w:trPr>
          <w:trHeight w:val="157"/>
        </w:trPr>
        <w:tc>
          <w:tcPr>
            <w:tcW w:w="11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Issued and</w:t>
            </w:r>
          </w:p>
        </w:tc>
        <w:tc>
          <w:tcPr>
            <w:tcW w:w="9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Liquidation</w:t>
            </w:r>
          </w:p>
        </w:tc>
        <w:tc>
          <w:tcPr>
            <w:tcW w:w="2220" w:type="dxa"/>
            <w:vAlign w:val="bottom"/>
            <w:gridSpan w:val="3"/>
          </w:tcPr>
          <w:p>
            <w:pPr>
              <w:jc w:val="center"/>
              <w:ind w:right="1220"/>
              <w:spacing w:after="0" w:line="157" w:lineRule="exact"/>
              <w:rPr>
                <w:sz w:val="20"/>
                <w:szCs w:val="20"/>
                <w:color w:val="auto"/>
              </w:rPr>
            </w:pPr>
            <w:r>
              <w:rPr>
                <w:rFonts w:ascii="Arial" w:cs="Arial" w:eastAsia="Arial" w:hAnsi="Arial"/>
                <w:sz w:val="14"/>
                <w:szCs w:val="14"/>
                <w:b w:val="1"/>
                <w:bCs w:val="1"/>
                <w:color w:val="auto"/>
              </w:rPr>
              <w:t>Upon</w:t>
            </w:r>
          </w:p>
        </w:tc>
      </w:tr>
      <w:tr>
        <w:trPr>
          <w:trHeight w:val="169"/>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Conversion</w:t>
            </w:r>
          </w:p>
        </w:tc>
        <w:tc>
          <w:tcPr>
            <w:tcW w:w="1220" w:type="dxa"/>
            <w:vAlign w:val="bottom"/>
            <w:gridSpan w:val="2"/>
          </w:tcPr>
          <w:p>
            <w:pPr>
              <w:spacing w:after="0"/>
              <w:rPr>
                <w:sz w:val="14"/>
                <w:szCs w:val="14"/>
                <w:color w:val="auto"/>
              </w:rPr>
            </w:pPr>
          </w:p>
        </w:tc>
      </w:tr>
      <w:tr>
        <w:trPr>
          <w:trHeight w:val="190"/>
        </w:trPr>
        <w:tc>
          <w:tcPr>
            <w:tcW w:w="114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 redeemable convertible preferred stock</w:t>
            </w:r>
          </w:p>
        </w:tc>
        <w:tc>
          <w:tcPr>
            <w:tcW w:w="112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20,890,000</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24,879</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25,023</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20,890,000</w:t>
            </w:r>
          </w:p>
        </w:tc>
        <w:tc>
          <w:tcPr>
            <w:tcW w:w="108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Series B redeemable convertible preferred stock</w:t>
            </w:r>
          </w:p>
        </w:tc>
        <w:tc>
          <w:tcPr>
            <w:tcW w:w="1120" w:type="dxa"/>
            <w:vAlign w:val="bottom"/>
            <w:gridSpan w:val="2"/>
          </w:tcPr>
          <w:p>
            <w:pPr>
              <w:ind w:left="120"/>
              <w:spacing w:after="0"/>
              <w:rPr>
                <w:sz w:val="20"/>
                <w:szCs w:val="20"/>
                <w:color w:val="auto"/>
              </w:rPr>
            </w:pPr>
            <w:r>
              <w:rPr>
                <w:rFonts w:ascii="Arial" w:cs="Arial" w:eastAsia="Arial" w:hAnsi="Arial"/>
                <w:sz w:val="17"/>
                <w:szCs w:val="17"/>
                <w:color w:val="auto"/>
              </w:rPr>
              <w:t>13,200,000</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11,798</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10,859</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6,451,057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34,090,000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36,677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35,882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c>
          <w:tcPr>
            <w:tcW w:w="10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gridSpan w:val="2"/>
          </w:tcPr>
          <w:p>
            <w:pPr>
              <w:ind w:left="480"/>
              <w:spacing w:after="0"/>
              <w:rPr>
                <w:sz w:val="20"/>
                <w:szCs w:val="20"/>
                <w:color w:val="auto"/>
              </w:rPr>
            </w:pPr>
            <w:r>
              <w:rPr>
                <w:rFonts w:ascii="Arial" w:cs="Arial" w:eastAsia="Arial" w:hAnsi="Arial"/>
                <w:sz w:val="17"/>
                <w:szCs w:val="17"/>
                <w:color w:val="auto"/>
              </w:rPr>
              <w:t>F-16</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Redeemable Preferred Stock have the following rights and preferences: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 xml:space="preserve">The holders of Redeemable Preferred Stock are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cumulative dividends, in cash, at the rate of 8% per year on the applicable Original Issue Price (as defined below) and accrued but unpaid dividends. Dividends accrue on a daily basis, whether or not earned or declared, irrespective of the availability of profits or surplus and compound annually on the anniversary of the date of original issuance. Dividends on the Redeemable Preferred Stock are payable upon redemption of the Redeemable Preferred Stock or upon liquidation. The Original Issue Price for Series A and Series B redeemable convertible preferred stock is $1.00 and $1.65, respectively, per share, subject to appropriate adjustment in the event of any stock dividend, stock split, combination or recapitalization affecting the Redeemable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 xml:space="preserve">In the event of any liquidation dissolution or winding up of the Company, either voluntary or involuntary, or in the event of Deemed Liquidation Event (as defined below), holders of Redeemable Preferred Stock are entitled to receive, in preference to all other stockholders, and to the extent available, an amount equal to the Original Issue Price, adjusted for any stock dividends, stock splits or recapitalizations, plus any accruing dividend accrued but unpaid, whether or not earned or declared. In the event that proceeds are not sufficient to permit payment in full to these holders, the proceeds will be ratably distributed among the holders of Redeemable Preferred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full preferential amount each such holder is otherwise entitled to receive.</w:t>
      </w:r>
    </w:p>
    <w:p>
      <w:pPr>
        <w:spacing w:after="0" w:line="202" w:lineRule="exact"/>
        <w:rPr>
          <w:sz w:val="20"/>
          <w:szCs w:val="20"/>
          <w:color w:val="auto"/>
        </w:rPr>
      </w:pPr>
    </w:p>
    <w:p>
      <w:pPr>
        <w:jc w:val="both"/>
        <w:ind w:right="160"/>
        <w:spacing w:after="0" w:line="246" w:lineRule="auto"/>
        <w:rPr>
          <w:sz w:val="20"/>
          <w:szCs w:val="20"/>
          <w:color w:val="auto"/>
        </w:rPr>
      </w:pPr>
      <w:r>
        <w:rPr>
          <w:rFonts w:ascii="Arial" w:cs="Arial" w:eastAsia="Arial" w:hAnsi="Arial"/>
          <w:sz w:val="17"/>
          <w:szCs w:val="17"/>
          <w:color w:val="auto"/>
        </w:rPr>
        <w:t>After payments have been made in full to the holders of Redeemable Preferred Stock, then, to the extent available, holders of the common stock and Redeemable Preferred Stock are entitled to participate in the distribution of the remaining assets, pro rata based on the number of shares of common stock held by each (on an as-converted to common basis).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Unless the holders of at least 60% of the then outstanding shares of the Redeemable Preferred Stock, voting together as a single class on an as-converted basis, elect otherwise, a Deemed Liquidation Event shall include a merger or consolidation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231"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Each share of Redeemable Preferred Stock is convertible into common stock at the option of the stockholder at any time after the date of issuance. Each share of the Redeemable Preferred Stock will be converted into shares of common stock, at the applicable conversion ratio of each series of Redeemable Preferred Stock then in effect, upon the earlier of (i) a qualified public offering with net proceeds of not less than $50,000 and a price of not less than $4.95 per share, subject to appropriate adjustment for any stock dividend, stock split, combination or other similar recapitalization, and</w:t>
      </w:r>
    </w:p>
    <w:p>
      <w:pPr>
        <w:spacing w:after="0" w:line="1" w:lineRule="exact"/>
        <w:rPr>
          <w:sz w:val="20"/>
          <w:szCs w:val="20"/>
          <w:color w:val="auto"/>
        </w:rPr>
      </w:pPr>
    </w:p>
    <w:p>
      <w:pPr>
        <w:ind w:right="660" w:firstLine="5"/>
        <w:spacing w:after="0" w:line="252" w:lineRule="auto"/>
        <w:tabs>
          <w:tab w:leader="none" w:pos="23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date specified by written consent or agreement of the holders of 60% of the then-outstanding shares of Series A redeemable convertible preferred stock and the holders of 60% of the then-outstanding shares of Series B redeemable convertible preferred stock.</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conversion ratio of each series of Redeemable Preferred Stock is determined by dividing the Original Issue Price of each series of preferred stock by the Conversion Price of each series. The Conversion Price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Redeemable Convertible Preferred Stock (Continued)</w:t>
      </w:r>
    </w:p>
    <w:p>
      <w:pPr>
        <w:spacing w:after="0" w:line="231" w:lineRule="exact"/>
        <w:rPr>
          <w:sz w:val="20"/>
          <w:szCs w:val="20"/>
          <w:color w:val="auto"/>
        </w:rPr>
      </w:pPr>
    </w:p>
    <w:p>
      <w:pPr>
        <w:jc w:val="both"/>
        <w:ind w:right="500"/>
        <w:spacing w:after="0" w:line="246" w:lineRule="auto"/>
        <w:rPr>
          <w:sz w:val="20"/>
          <w:szCs w:val="20"/>
          <w:color w:val="auto"/>
        </w:rPr>
      </w:pPr>
      <w:r>
        <w:rPr>
          <w:rFonts w:ascii="Arial" w:cs="Arial" w:eastAsia="Arial" w:hAnsi="Arial"/>
          <w:sz w:val="17"/>
          <w:szCs w:val="17"/>
          <w:color w:val="auto"/>
        </w:rPr>
        <w:t>each series is $1.00 for Series A and $1.65 for Series B and is subject to adjustment as set forth in the Company's certificate of incorporation, as amended and restated. As of December 31, 2014, all outstanding shares of Series A and Series B redeemable convertible preferred stock were convertible into common stock on a one-for-one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A redeemable convertible preferred stock, voting together as a single class, the shares of Series A redeemable convertible preferred stock outstanding shall be redeemed at any time on or after September 30, 2019, in three annual installments commencing sixty days after receipt of the required vote, at the Original Issue Price per share of Series A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the written election of the holders of at least 60% of the outstanding Series B redeemable convertible preferred stock, voting together as a single class, the shares of Series B redeemable convertible preferred stock outstanding shall be redeemed at any time on or after September 30, 2019, in three annual installments commencing sixty days after receipt of the required vote, at the Original Issue Price per share of Series B redeemable convertible preferred stock plus all accruing dividends accrued thereon, whether or not declared, together with any other dividends declared but unpaid thereon.</w:t>
      </w:r>
    </w:p>
    <w:p>
      <w:pPr>
        <w:spacing w:after="0" w:line="199"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The Company shall redeem the shares on a pro rata basis in accordance with the number of shares of Series A or Series B redeemable convertible preferred stock held by each stockholder. No shares of Series A redeemable convertible preferred stock shall be redeemed so long as any shares of Series B redeemable convertible preferred stock remain issued and outstanding.</w:t>
      </w:r>
    </w:p>
    <w:p>
      <w:pPr>
        <w:spacing w:after="0" w:line="199"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carrying values of the Series A and Series B redeemable convertible preferred stock are being accreted to their redemption values through September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holders of Redeemable Preferred Stock are entitled to vote, together with the holders of common stock, on all matters submitted to stockholders for a vote. Holders of Redeemable Preferred Stock have the right to vote the number of shares equal to the number of shares of common stock into which such Redeemable Preferred Stock could convert on the record date for determination of stockholders entitled to vote. The holders of the majority of Redeemable Preferred Stock, voting separately as a class, are entitled to elect three directors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31" w:lineRule="exact"/>
        <w:rPr>
          <w:sz w:val="20"/>
          <w:szCs w:val="20"/>
          <w:color w:val="auto"/>
        </w:rPr>
      </w:pPr>
    </w:p>
    <w:p>
      <w:pPr>
        <w:ind w:right="840"/>
        <w:spacing w:after="0" w:line="252" w:lineRule="auto"/>
        <w:rPr>
          <w:sz w:val="20"/>
          <w:szCs w:val="20"/>
          <w:color w:val="auto"/>
        </w:rPr>
      </w:pPr>
      <w:r>
        <w:rPr>
          <w:rFonts w:ascii="Arial" w:cs="Arial" w:eastAsia="Arial" w:hAnsi="Arial"/>
          <w:sz w:val="17"/>
          <w:szCs w:val="17"/>
          <w:color w:val="auto"/>
        </w:rPr>
        <w:t>As of December 31, 2013 and 2014, the Company's certificate of incorporation, as amended and restated, authorized the Company to issue 41,000,000 shares and 77,000,000 shares, respectively, of $0.00001 par value common stock.</w:t>
      </w:r>
    </w:p>
    <w:p>
      <w:pPr>
        <w:spacing w:after="0" w:line="193"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Redeemable Preferred Stock. When dividends are declared on shares of common stock, the Company must declare at the same time a dividend payable to the holders of Redeemable Preferred Stock equivalent to the dividend amount they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 (Continued)</w:t>
      </w:r>
    </w:p>
    <w:p>
      <w:pPr>
        <w:spacing w:after="0" w:line="231"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color w:val="auto"/>
        </w:rPr>
        <w:t>would receive if each preferred share were converted into common stock. The Company may not pay dividends to common stockholders until all dividends accrued or declared but unpaid on the Redeemable Preferred Stock have been paid in full. No dividends had been declared through December 31, 2014.</w:t>
      </w:r>
    </w:p>
    <w:p>
      <w:pPr>
        <w:spacing w:after="0" w:line="19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As of December 31, 2013 and 2014, the Company had reserved 21,470,000 shares and 29,067,018 shares, respectively, for the conversion of the outstanding shares of Series A and Series B redeemable convertible stock (see Note 6) and the exercise of outstanding stock options and the number of shares remaining available for future grant under the Company's 2012 Plan (see Note 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w:t>
      </w:r>
    </w:p>
    <w:p>
      <w:pPr>
        <w:spacing w:after="0" w:line="23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Company has granted restricted common stock with time-based vesting conditions. Unvested shares of restricted common stock may not be sold or transferred by the holder. These restrictions lapse according to the time-based vesting conditions of each award.</w:t>
      </w:r>
    </w:p>
    <w:p>
      <w:pPr>
        <w:spacing w:after="0" w:line="19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July 2012, the Company issued 9,420,000 shares of common stock to its founders in connection with the Company's formation, of which 6,620,000 shares were subject to vesting pursuant to restricted stock agreements, with 25% of such shares vesting in July 2013 and the remaining 75% vesting in equal monthly installments over a three-year period thereafter. The estimated grant-date fair value of these restricted common shares was $0.00001 per share, equal to the par value of each share. As of December 31, 2013 and 2014, 4,275,417 and 2,620,417 shares, respectively, were subject to repurchase.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Company's restricted stock activity since January 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Weighted</w:t>
            </w:r>
          </w:p>
        </w:tc>
      </w:tr>
      <w:tr>
        <w:trPr>
          <w:trHeight w:val="157"/>
        </w:trPr>
        <w:tc>
          <w:tcPr>
            <w:tcW w:w="6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Average Grant</w:t>
            </w:r>
          </w:p>
        </w:tc>
      </w:tr>
      <w:tr>
        <w:trPr>
          <w:trHeight w:val="157"/>
        </w:trPr>
        <w:tc>
          <w:tcPr>
            <w:tcW w:w="6800" w:type="dxa"/>
            <w:vAlign w:val="bottom"/>
          </w:tcPr>
          <w:p>
            <w:pPr>
              <w:spacing w:after="0"/>
              <w:rPr>
                <w:sz w:val="13"/>
                <w:szCs w:val="13"/>
                <w:color w:val="auto"/>
              </w:rPr>
            </w:pPr>
          </w:p>
        </w:tc>
        <w:tc>
          <w:tcPr>
            <w:tcW w:w="108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rPr>
              <w:t>Number</w:t>
            </w:r>
          </w:p>
        </w:tc>
        <w:tc>
          <w:tcPr>
            <w:tcW w:w="124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Date Fair Value</w:t>
            </w:r>
          </w:p>
        </w:tc>
      </w:tr>
      <w:tr>
        <w:trPr>
          <w:trHeight w:val="169"/>
        </w:trPr>
        <w:tc>
          <w:tcPr>
            <w:tcW w:w="6800" w:type="dxa"/>
            <w:vAlign w:val="bottom"/>
          </w:tcPr>
          <w:p>
            <w:pPr>
              <w:spacing w:after="0"/>
              <w:rPr>
                <w:sz w:val="14"/>
                <w:szCs w:val="1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2012</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6,620,000</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(2,344,583)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2013</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4,275,417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197"/>
        </w:trPr>
        <w:tc>
          <w:tcPr>
            <w:tcW w:w="6800" w:type="dxa"/>
            <w:vAlign w:val="bottom"/>
          </w:tcPr>
          <w:p>
            <w:pPr>
              <w:ind w:left="160"/>
              <w:spacing w:after="0"/>
              <w:rPr>
                <w:sz w:val="20"/>
                <w:szCs w:val="20"/>
                <w:color w:val="auto"/>
              </w:rPr>
            </w:pPr>
            <w:r>
              <w:rPr>
                <w:rFonts w:ascii="Arial" w:cs="Arial" w:eastAsia="Arial" w:hAnsi="Arial"/>
                <w:sz w:val="17"/>
                <w:szCs w:val="17"/>
                <w:color w:val="auto"/>
              </w:rPr>
              <w:t>Vested</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(1,655,000)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0.00001</w:t>
            </w:r>
          </w:p>
        </w:tc>
      </w:tr>
      <w:tr>
        <w:trPr>
          <w:trHeight w:val="190"/>
        </w:trPr>
        <w:tc>
          <w:tcPr>
            <w:tcW w:w="68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Unvested restricted common stock as of December 31, 2014</w:t>
            </w:r>
          </w:p>
        </w:tc>
        <w:tc>
          <w:tcPr>
            <w:tcW w:w="9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2,620,417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0.00001</w:t>
            </w:r>
          </w:p>
        </w:tc>
      </w:tr>
      <w:tr>
        <w:trPr>
          <w:trHeight w:val="20"/>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700"/>
        <w:spacing w:after="0" w:line="252" w:lineRule="auto"/>
        <w:rPr>
          <w:sz w:val="20"/>
          <w:szCs w:val="20"/>
          <w:color w:val="auto"/>
        </w:rPr>
      </w:pPr>
      <w:r>
        <w:rPr>
          <w:rFonts w:ascii="Arial" w:cs="Arial" w:eastAsia="Arial" w:hAnsi="Arial"/>
          <w:sz w:val="17"/>
          <w:szCs w:val="17"/>
          <w:color w:val="auto"/>
        </w:rPr>
        <w:t>The aggregate intrinsic value of restricted stock awards that vested during the years ended December 31, 2013 and 2014 was $281 and $488,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Equity Compensation Plan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Company's 2012 Equity Compensation Plan, as amended and restated, (the "2012 Plan") provides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The exercise prices, vesting and other restrictions are determined at the discretion of the board of directors, or their committee if so delegated,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3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except that the exercise price per share of stock options may not be less than 100% of the fair market value of the share of common stock on the date of grant and the term of stock options may not be greater than ten years. The Company generally grants stock-based awards with service conditions only ("service-based" awards).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Stock options granted under the 2012 Plan generally vest over four years and expire after ten years.</w:t>
      </w:r>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total number of shares of common stock that may be issued under the 2012 Plan was 580,000 shares as of December 31, 2013, all of which shares remained available for future grant at December 31, 2013. On September 30, 2014, the Company effected an increase in the number of shares of common stock reserved for issuance under the 2012 Plan to 1,725,961 shares. The number of shares reserved for issuance under the 2012 Plan will be automatically increased to 1,980,708 shares upon the Company's exercise of the purchased put option (see Note 6). As of December 31, 2014, no shares remained available for grant under the 2012 Plan.</w:t>
      </w:r>
    </w:p>
    <w:p>
      <w:pPr>
        <w:spacing w:after="0" w:line="199" w:lineRule="exact"/>
        <w:rPr>
          <w:sz w:val="20"/>
          <w:szCs w:val="20"/>
          <w:color w:val="auto"/>
        </w:rPr>
      </w:pPr>
    </w:p>
    <w:p>
      <w:pPr>
        <w:jc w:val="both"/>
        <w:ind w:right="140"/>
        <w:spacing w:after="0" w:line="245" w:lineRule="auto"/>
        <w:rPr>
          <w:sz w:val="20"/>
          <w:szCs w:val="20"/>
          <w:color w:val="auto"/>
        </w:rPr>
      </w:pPr>
      <w:r>
        <w:rPr>
          <w:rFonts w:ascii="Arial" w:cs="Arial" w:eastAsia="Arial" w:hAnsi="Arial"/>
          <w:sz w:val="17"/>
          <w:szCs w:val="17"/>
          <w:color w:val="auto"/>
        </w:rPr>
        <w:t>As required by the 2012 Plan, the exercise price for stock options granted is not to be less than the fair value of common shares as determined by the Company as of the date of grant. The Company values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Valuation</w:t>
      </w:r>
    </w:p>
    <w:p>
      <w:pPr>
        <w:spacing w:after="0" w:line="231" w:lineRule="exact"/>
        <w:rPr>
          <w:sz w:val="20"/>
          <w:szCs w:val="20"/>
          <w:color w:val="auto"/>
        </w:rPr>
      </w:pPr>
    </w:p>
    <w:p>
      <w:pPr>
        <w:ind w:right="780"/>
        <w:spacing w:after="0" w:line="252" w:lineRule="auto"/>
        <w:rPr>
          <w:sz w:val="20"/>
          <w:szCs w:val="20"/>
          <w:color w:val="auto"/>
        </w:rPr>
      </w:pPr>
      <w:r>
        <w:rPr>
          <w:rFonts w:ascii="Arial" w:cs="Arial" w:eastAsia="Arial" w:hAnsi="Arial"/>
          <w:sz w:val="17"/>
          <w:szCs w:val="17"/>
          <w:color w:val="auto"/>
        </w:rPr>
        <w:t>The assumptions that the Company used to determine the fair value of the stock options granted to employees and directors were as follows, presented on a weighted average basis: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5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762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gridSpan w:val="2"/>
          </w:tcPr>
          <w:p>
            <w:pPr>
              <w:spacing w:after="0"/>
              <w:rPr>
                <w:sz w:val="14"/>
                <w:szCs w:val="14"/>
                <w:color w:val="auto"/>
              </w:rPr>
            </w:pPr>
          </w:p>
        </w:tc>
      </w:tr>
      <w:tr>
        <w:trPr>
          <w:trHeight w:val="190"/>
        </w:trPr>
        <w:tc>
          <w:tcPr>
            <w:tcW w:w="76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Risk-free interest rate</w:t>
            </w:r>
          </w:p>
        </w:tc>
        <w:tc>
          <w:tcPr>
            <w:tcW w:w="1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1.87%</w:t>
            </w:r>
          </w:p>
        </w:tc>
        <w:tc>
          <w:tcPr>
            <w:tcW w:w="20" w:type="dxa"/>
            <w:vAlign w:val="bottom"/>
          </w:tcPr>
          <w:p>
            <w:pPr>
              <w:spacing w:after="0"/>
              <w:rPr>
                <w:sz w:val="16"/>
                <w:szCs w:val="16"/>
                <w:color w:val="auto"/>
              </w:rPr>
            </w:pPr>
          </w:p>
        </w:tc>
      </w:tr>
      <w:tr>
        <w:trPr>
          <w:trHeight w:val="197"/>
        </w:trPr>
        <w:tc>
          <w:tcPr>
            <w:tcW w:w="76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7"/>
                <w:szCs w:val="17"/>
                <w:color w:val="auto"/>
              </w:rPr>
            </w:pPr>
          </w:p>
        </w:tc>
      </w:tr>
      <w:tr>
        <w:trPr>
          <w:trHeight w:val="197"/>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20" w:type="dxa"/>
            <w:vAlign w:val="bottom"/>
          </w:tcPr>
          <w:p>
            <w:pPr>
              <w:spacing w:after="0"/>
              <w:rPr>
                <w:sz w:val="17"/>
                <w:szCs w:val="17"/>
                <w:color w:val="auto"/>
              </w:rPr>
            </w:pPr>
          </w:p>
        </w:tc>
      </w:tr>
      <w:tr>
        <w:trPr>
          <w:trHeight w:val="207"/>
        </w:trPr>
        <w:tc>
          <w:tcPr>
            <w:tcW w:w="76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0%</w:t>
            </w:r>
          </w:p>
        </w:tc>
      </w:tr>
    </w:tbl>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Company recognizes compensation expense for only the portion of awards that are expected to vest. For the year ended December 31, 2014, the Company applied an expected forfeiture rate of 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Awards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There were no stock options granted, exercised, forfeited or canceled during year ended December 31, 2013. The following table summarizes stock option activity under the 2012 Plan from January 1, 2014 through December 31, 2014:</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8"/>
              </w:rPr>
              <w:t>Weighted</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7"/>
              </w:rPr>
              <w:t>Average</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rPr>
              <w:t>Remaining</w:t>
            </w:r>
          </w:p>
        </w:tc>
        <w:tc>
          <w:tcPr>
            <w:tcW w:w="88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7"/>
        </w:trPr>
        <w:tc>
          <w:tcPr>
            <w:tcW w:w="24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6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Exercise</w:t>
            </w:r>
          </w:p>
        </w:tc>
        <w:tc>
          <w:tcPr>
            <w:tcW w:w="9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3"/>
                <w:szCs w:val="13"/>
                <w:color w:val="auto"/>
              </w:rPr>
            </w:pPr>
          </w:p>
        </w:tc>
        <w:tc>
          <w:tcPr>
            <w:tcW w:w="7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2013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3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1,725,961</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0.35</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40" w:type="dxa"/>
            <w:vAlign w:val="bottom"/>
            <w:gridSpan w:val="2"/>
          </w:tcPr>
          <w:p>
            <w:pPr>
              <w:ind w:left="160"/>
              <w:spacing w:after="0"/>
              <w:rPr>
                <w:sz w:val="20"/>
                <w:szCs w:val="20"/>
                <w:color w:val="auto"/>
              </w:rPr>
            </w:pPr>
            <w:r>
              <w:rPr>
                <w:rFonts w:ascii="Arial" w:cs="Arial" w:eastAsia="Arial" w:hAnsi="Arial"/>
                <w:sz w:val="17"/>
                <w:szCs w:val="17"/>
                <w:color w:val="auto"/>
              </w:rPr>
              <w:t>Forfeited and canceled</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Outstanding as of December 31, 2014</w:t>
            </w:r>
          </w:p>
        </w:tc>
        <w:tc>
          <w:tcPr>
            <w:tcW w:w="10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1,725,961</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0.35</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9.77</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0"/>
              <w:spacing w:after="0"/>
              <w:rPr>
                <w:sz w:val="20"/>
                <w:szCs w:val="20"/>
                <w:color w:val="auto"/>
              </w:rPr>
            </w:pPr>
            <w:r>
              <w:rPr>
                <w:rFonts w:ascii="Arial" w:cs="Arial" w:eastAsia="Arial" w:hAnsi="Arial"/>
                <w:sz w:val="17"/>
                <w:szCs w:val="17"/>
                <w:color w:val="auto"/>
              </w:rPr>
              <w:t>Options vested and expected to vest as of December 31, 2014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0.35</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9.77</w:t>
            </w: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line="20" w:lineRule="exact"/>
              <w:rPr>
                <w:sz w:val="1"/>
                <w:szCs w:val="1"/>
                <w:color w:val="auto"/>
              </w:rPr>
            </w:pPr>
          </w:p>
        </w:tc>
      </w:tr>
      <w:tr>
        <w:trPr>
          <w:trHeight w:val="176"/>
        </w:trPr>
        <w:tc>
          <w:tcPr>
            <w:tcW w:w="5340" w:type="dxa"/>
            <w:vAlign w:val="bottom"/>
            <w:gridSpan w:val="2"/>
            <w:vMerge w:val="continue"/>
          </w:tcPr>
          <w:p>
            <w:pPr>
              <w:spacing w:after="0"/>
              <w:rPr>
                <w:sz w:val="15"/>
                <w:szCs w:val="15"/>
                <w:color w:val="auto"/>
              </w:rPr>
            </w:pPr>
          </w:p>
        </w:tc>
        <w:tc>
          <w:tcPr>
            <w:tcW w:w="1060" w:type="dxa"/>
            <w:vAlign w:val="bottom"/>
            <w:gridSpan w:val="2"/>
          </w:tcPr>
          <w:p>
            <w:pPr>
              <w:jc w:val="right"/>
              <w:ind w:right="180"/>
              <w:spacing w:after="0" w:line="176" w:lineRule="exact"/>
              <w:rPr>
                <w:sz w:val="20"/>
                <w:szCs w:val="20"/>
                <w:color w:val="auto"/>
              </w:rPr>
            </w:pPr>
            <w:r>
              <w:rPr>
                <w:rFonts w:ascii="Arial" w:cs="Arial" w:eastAsia="Arial" w:hAnsi="Arial"/>
                <w:sz w:val="17"/>
                <w:szCs w:val="17"/>
                <w:color w:val="auto"/>
              </w:rPr>
              <w:t>1,725,961</w:t>
            </w:r>
          </w:p>
        </w:tc>
        <w:tc>
          <w:tcPr>
            <w:tcW w:w="1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Options exercisable as of December 31, 2014</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0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45" w:lineRule="auto"/>
        <w:tabs>
          <w:tab w:leader="none" w:pos="16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All options granted to date under the 2012 Plan are exercisable immediately, subject to a repurchase right in the Company's favor that lapses as the option vests. This amount reflects the number of shares under options that were vested, as opposed to exercisable, as of December 31, 2014.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grant-date fair value of stock options granted during the year ended December 31, 2014 was $0.40 per share.</w:t>
      </w:r>
    </w:p>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jc w:val="both"/>
        <w:ind w:right="500"/>
        <w:spacing w:after="0" w:line="246" w:lineRule="auto"/>
        <w:rPr>
          <w:sz w:val="20"/>
          <w:szCs w:val="20"/>
          <w:color w:val="auto"/>
        </w:rPr>
      </w:pPr>
      <w:r>
        <w:rPr>
          <w:rFonts w:ascii="Arial" w:cs="Arial" w:eastAsia="Arial" w:hAnsi="Arial"/>
          <w:sz w:val="17"/>
          <w:szCs w:val="17"/>
          <w:color w:val="auto"/>
        </w:rPr>
        <w:t>The Company recorded no stock-based compensation expense for the year ended December 31, 2013. The Company recorded stock-based compensation expense related to stock options for the year ended December 31, 2014 in the following expense categories of its statements of operations and comprehensive loss: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7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Pr>
          <w:p>
            <w:pPr>
              <w:spacing w:after="0"/>
              <w:rPr>
                <w:sz w:val="14"/>
                <w:szCs w:val="14"/>
                <w:color w:val="auto"/>
              </w:rPr>
            </w:pPr>
          </w:p>
        </w:tc>
      </w:tr>
      <w:tr>
        <w:trPr>
          <w:trHeight w:val="190"/>
        </w:trPr>
        <w:tc>
          <w:tcPr>
            <w:tcW w:w="73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w:t>
            </w:r>
          </w:p>
        </w:tc>
      </w:tr>
      <w:tr>
        <w:trPr>
          <w:trHeight w:val="197"/>
        </w:trPr>
        <w:tc>
          <w:tcPr>
            <w:tcW w:w="734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7"/>
                <w:szCs w:val="17"/>
                <w:color w:val="auto"/>
              </w:rPr>
            </w:pPr>
          </w:p>
        </w:tc>
      </w:tr>
      <w:tr>
        <w:trPr>
          <w:trHeight w:val="203"/>
        </w:trPr>
        <w:tc>
          <w:tcPr>
            <w:tcW w:w="7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r>
      <w:tr>
        <w:trPr>
          <w:trHeight w:val="20"/>
        </w:trPr>
        <w:tc>
          <w:tcPr>
            <w:tcW w:w="7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As of December 31, 2014, the Company had an aggregate of $670 of unrecognized stock-based compensation cost, which is expected to be recognized over a weighted average period of 3.78 years.</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6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8"/>
              <w:spacing w:after="0" w:line="151"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7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Numerator:</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7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(5,236)</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(8,517)</w:t>
            </w: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(1,740)</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(6,976)</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(10,571)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760" w:type="dxa"/>
            <w:vAlign w:val="bottom"/>
          </w:tcPr>
          <w:p>
            <w:pPr>
              <w:ind w:left="160"/>
              <w:spacing w:after="0"/>
              <w:rPr>
                <w:sz w:val="20"/>
                <w:szCs w:val="20"/>
                <w:color w:val="auto"/>
              </w:rPr>
            </w:pPr>
            <w:r>
              <w:rPr>
                <w:rFonts w:ascii="Arial" w:cs="Arial" w:eastAsia="Arial" w:hAnsi="Arial"/>
                <w:sz w:val="17"/>
                <w:szCs w:val="17"/>
                <w:color w:val="auto"/>
              </w:rPr>
              <w:t>Weighted average shares of common stock outstanding</w:t>
            </w: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9,420,000</w:t>
            </w:r>
          </w:p>
        </w:tc>
        <w:tc>
          <w:tcPr>
            <w:tcW w:w="1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9,420,000</w:t>
            </w: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Weighted average shares of unvested restricted common stock outstanding</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(5,689,346)</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(3,485,698)</w:t>
            </w:r>
          </w:p>
        </w:tc>
        <w:tc>
          <w:tcPr>
            <w:tcW w:w="0" w:type="dxa"/>
            <w:vAlign w:val="bottom"/>
          </w:tcPr>
          <w:p>
            <w:pPr>
              <w:spacing w:after="0"/>
              <w:rPr>
                <w:sz w:val="1"/>
                <w:szCs w:val="1"/>
                <w:color w:val="auto"/>
              </w:rPr>
            </w:pPr>
          </w:p>
        </w:tc>
      </w:tr>
      <w:tr>
        <w:trPr>
          <w:trHeight w:val="193"/>
        </w:trPr>
        <w:tc>
          <w:tcPr>
            <w:tcW w:w="6760" w:type="dxa"/>
            <w:vAlign w:val="bottom"/>
          </w:tcPr>
          <w:p>
            <w:pPr>
              <w:ind w:left="320"/>
              <w:spacing w:after="0" w:line="193" w:lineRule="exact"/>
              <w:rPr>
                <w:sz w:val="20"/>
                <w:szCs w:val="20"/>
                <w:color w:val="auto"/>
              </w:rPr>
            </w:pPr>
            <w:r>
              <w:rPr>
                <w:rFonts w:ascii="Arial" w:cs="Arial" w:eastAsia="Arial" w:hAnsi="Arial"/>
                <w:sz w:val="17"/>
                <w:szCs w:val="17"/>
                <w:color w:val="auto"/>
              </w:rPr>
              <w:t>Weighted average common shares outstanding used in calculating net loss per</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760" w:type="dxa"/>
            <w:vAlign w:val="bottom"/>
          </w:tcPr>
          <w:p>
            <w:pPr>
              <w:ind w:left="480"/>
              <w:spacing w:after="0" w:line="194" w:lineRule="exact"/>
              <w:rPr>
                <w:sz w:val="20"/>
                <w:szCs w:val="20"/>
                <w:color w:val="auto"/>
              </w:rPr>
            </w:pPr>
            <w:r>
              <w:rPr>
                <w:rFonts w:ascii="Arial" w:cs="Arial" w:eastAsia="Arial" w:hAnsi="Arial"/>
                <w:sz w:val="17"/>
                <w:szCs w:val="17"/>
                <w:color w:val="auto"/>
              </w:rPr>
              <w:t>share attributable to common stockholders, basic and diluted</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3,730,654</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5,934,302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Net loss per share attributable to common stockholders, basic and diluted</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Company's potential dilutive securities, which include stock options, unvested restricted common stock and redeemable convertible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0"/>
        </w:trPr>
        <w:tc>
          <w:tcPr>
            <w:tcW w:w="68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r>
      <w:tr>
        <w:trPr>
          <w:trHeight w:val="190"/>
        </w:trPr>
        <w:tc>
          <w:tcPr>
            <w:tcW w:w="68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Stock options to purchase common stock</w:t>
            </w:r>
          </w:p>
        </w:tc>
        <w:tc>
          <w:tcPr>
            <w:tcW w:w="11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1,725,961</w:t>
            </w:r>
          </w:p>
        </w:tc>
      </w:tr>
      <w:tr>
        <w:trPr>
          <w:trHeight w:val="197"/>
        </w:trPr>
        <w:tc>
          <w:tcPr>
            <w:tcW w:w="6880" w:type="dxa"/>
            <w:vAlign w:val="bottom"/>
          </w:tcPr>
          <w:p>
            <w:pPr>
              <w:ind w:left="20"/>
              <w:spacing w:after="0"/>
              <w:rPr>
                <w:sz w:val="20"/>
                <w:szCs w:val="20"/>
                <w:color w:val="auto"/>
              </w:rPr>
            </w:pPr>
            <w:r>
              <w:rPr>
                <w:rFonts w:ascii="Arial" w:cs="Arial" w:eastAsia="Arial" w:hAnsi="Arial"/>
                <w:sz w:val="17"/>
                <w:szCs w:val="17"/>
                <w:color w:val="auto"/>
              </w:rPr>
              <w:t>Unvested restricted common stock</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4,275,417</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2,620,417</w:t>
            </w:r>
          </w:p>
        </w:tc>
      </w:tr>
      <w:tr>
        <w:trPr>
          <w:trHeight w:val="197"/>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Redeemable convertible preferred stock (as converted to common stock)</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20,890,000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27,341,057</w:t>
            </w:r>
          </w:p>
        </w:tc>
      </w:tr>
      <w:tr>
        <w:trPr>
          <w:trHeight w:val="20"/>
        </w:trPr>
        <w:tc>
          <w:tcPr>
            <w:tcW w:w="6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8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25,165,417</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31,687,435</w:t>
            </w:r>
          </w:p>
        </w:tc>
      </w:tr>
      <w:tr>
        <w:trPr>
          <w:trHeight w:val="20"/>
        </w:trPr>
        <w:tc>
          <w:tcPr>
            <w:tcW w:w="6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unaudited pro forma basic and diluted net loss per share attributable to common stockholders for the year ended December 31, 2014 gives effect to adjustments arising upon the closing of a qualified initial public offering. The unaudited pro forma net loss attributable to common stockholders used in the calculation of unaudited basic and diluted pro forma net loss per share attributable to common stockholders does not include the effects of the accretion of redeemable convertible preferred stock to redemption value because the calculation assumes that the conversion of redeemable convertible preferred stock into common stock had occurred on the later of January 1, 2014 or the issuance date of the redeemable convertible preferred stock.</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Net Loss per Share and Unaudited Pro Forma Net Loss per Share (Continued)</w:t>
      </w:r>
    </w:p>
    <w:p>
      <w:pPr>
        <w:spacing w:after="0" w:line="23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unaudited pro forma basic and diluted weighted average common shares outstanding used in the calculation of unaudited pro forma basic and diluted net loss per share attributable to common stockholders for the year ended December 31, 2014 give effect to the conversion upon a qualified initial public offering of all outstanding shares of Redeemable Preferred Stock as of December 31, 2014 into 27,341,057 shares of common stock as if the conversion had occurred on the later of January 1, 2014 or the issuance date of the Redeemable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Unaudited pro forma basic and diluted net loss per share attributable to common stockholders was calculated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r>
      <w:tr>
        <w:trPr>
          <w:trHeight w:val="169"/>
        </w:trPr>
        <w:tc>
          <w:tcPr>
            <w:tcW w:w="7600" w:type="dxa"/>
            <w:vAlign w:val="bottom"/>
          </w:tcPr>
          <w:p>
            <w:pPr>
              <w:spacing w:after="0"/>
              <w:rPr>
                <w:sz w:val="14"/>
                <w:szCs w:val="14"/>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 2014</w:t>
            </w:r>
          </w:p>
        </w:tc>
      </w:tr>
      <w:tr>
        <w:trPr>
          <w:trHeight w:val="150"/>
        </w:trPr>
        <w:tc>
          <w:tcPr>
            <w:tcW w:w="7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8"/>
              <w:spacing w:after="0" w:line="151"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7600" w:type="dxa"/>
            <w:vAlign w:val="bottom"/>
          </w:tcPr>
          <w:p>
            <w:pPr>
              <w:ind w:left="160"/>
              <w:spacing w:after="0"/>
              <w:rPr>
                <w:sz w:val="20"/>
                <w:szCs w:val="20"/>
                <w:color w:val="auto"/>
              </w:rPr>
            </w:pPr>
            <w:r>
              <w:rPr>
                <w:rFonts w:ascii="Arial" w:cs="Arial" w:eastAsia="Arial" w:hAnsi="Arial"/>
                <w:sz w:val="17"/>
                <w:szCs w:val="17"/>
                <w:color w:val="auto"/>
              </w:rPr>
              <w:t>Net loss attributable to common stockholders</w:t>
            </w:r>
          </w:p>
        </w:tc>
        <w:tc>
          <w:tcPr>
            <w:tcW w:w="2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(10,571)</w:t>
            </w:r>
          </w:p>
        </w:tc>
      </w:tr>
      <w:tr>
        <w:trPr>
          <w:trHeight w:val="197"/>
        </w:trPr>
        <w:tc>
          <w:tcPr>
            <w:tcW w:w="7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Accretion of redeemable convertible preferred stock to redemption value</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140" w:type="dxa"/>
            <w:vAlign w:val="bottom"/>
            <w:shd w:val="clear" w:color="auto" w:fill="CCEEFF"/>
          </w:tcPr>
          <w:p>
            <w:pPr>
              <w:spacing w:after="0"/>
              <w:rPr>
                <w:sz w:val="17"/>
                <w:szCs w:val="17"/>
                <w:color w:val="auto"/>
              </w:rPr>
            </w:pPr>
          </w:p>
        </w:tc>
      </w:tr>
      <w:tr>
        <w:trPr>
          <w:trHeight w:val="190"/>
        </w:trPr>
        <w:tc>
          <w:tcPr>
            <w:tcW w:w="7600" w:type="dxa"/>
            <w:vAlign w:val="bottom"/>
          </w:tcPr>
          <w:p>
            <w:pPr>
              <w:ind w:left="320"/>
              <w:spacing w:after="0" w:line="189" w:lineRule="exact"/>
              <w:rPr>
                <w:sz w:val="20"/>
                <w:szCs w:val="20"/>
                <w:color w:val="auto"/>
              </w:rPr>
            </w:pPr>
            <w:r>
              <w:rPr>
                <w:rFonts w:ascii="Arial" w:cs="Arial" w:eastAsia="Arial" w:hAnsi="Arial"/>
                <w:sz w:val="17"/>
                <w:szCs w:val="17"/>
                <w:color w:val="auto"/>
              </w:rPr>
              <w:t>Pro forma net loss attributable to common stockholders</w:t>
            </w:r>
          </w:p>
        </w:tc>
        <w:tc>
          <w:tcPr>
            <w:tcW w:w="220" w:type="dxa"/>
            <w:vAlign w:val="bottom"/>
          </w:tcPr>
          <w:p>
            <w:pPr>
              <w:jc w:val="right"/>
              <w:ind w:right="19"/>
              <w:spacing w:after="0" w:line="189"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(8,517)</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76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Denominator:</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7"/>
        </w:trPr>
        <w:tc>
          <w:tcPr>
            <w:tcW w:w="7600" w:type="dxa"/>
            <w:vAlign w:val="bottom"/>
          </w:tcPr>
          <w:p>
            <w:pPr>
              <w:ind w:left="160"/>
              <w:spacing w:after="0"/>
              <w:rPr>
                <w:sz w:val="20"/>
                <w:szCs w:val="20"/>
                <w:color w:val="auto"/>
              </w:rPr>
            </w:pPr>
            <w:r>
              <w:rPr>
                <w:rFonts w:ascii="Arial" w:cs="Arial" w:eastAsia="Arial" w:hAnsi="Arial"/>
                <w:sz w:val="17"/>
                <w:szCs w:val="17"/>
                <w:color w:val="auto"/>
              </w:rPr>
              <w:t>Weighted average common shares outstanding, basic and diluted</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5,934,302</w:t>
            </w:r>
          </w:p>
        </w:tc>
      </w:tr>
      <w:tr>
        <w:trPr>
          <w:trHeight w:val="200"/>
        </w:trPr>
        <w:tc>
          <w:tcPr>
            <w:tcW w:w="7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 forma adjustment for assumed conversion of all outstanding shares of redeemable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4"/>
        </w:trPr>
        <w:tc>
          <w:tcPr>
            <w:tcW w:w="76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convertible preferred stock upon the closing of the proposed initial public offering</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22,533,693</w:t>
            </w:r>
          </w:p>
        </w:tc>
        <w:tc>
          <w:tcPr>
            <w:tcW w:w="140" w:type="dxa"/>
            <w:vAlign w:val="bottom"/>
            <w:shd w:val="clear" w:color="auto" w:fill="CCEEFF"/>
          </w:tcPr>
          <w:p>
            <w:pPr>
              <w:spacing w:after="0"/>
              <w:rPr>
                <w:sz w:val="16"/>
                <w:szCs w:val="16"/>
                <w:color w:val="auto"/>
              </w:rPr>
            </w:pPr>
          </w:p>
        </w:tc>
      </w:tr>
      <w:tr>
        <w:trPr>
          <w:trHeight w:val="190"/>
        </w:trPr>
        <w:tc>
          <w:tcPr>
            <w:tcW w:w="7600" w:type="dxa"/>
            <w:vAlign w:val="bottom"/>
          </w:tcPr>
          <w:p>
            <w:pPr>
              <w:ind w:left="320"/>
              <w:spacing w:after="0" w:line="189" w:lineRule="exact"/>
              <w:rPr>
                <w:sz w:val="20"/>
                <w:szCs w:val="20"/>
                <w:color w:val="auto"/>
              </w:rPr>
            </w:pPr>
            <w:r>
              <w:rPr>
                <w:rFonts w:ascii="Arial" w:cs="Arial" w:eastAsia="Arial" w:hAnsi="Arial"/>
                <w:sz w:val="17"/>
                <w:szCs w:val="17"/>
                <w:color w:val="auto"/>
              </w:rPr>
              <w:t>Pro forma weighted average common shares outstanding, basic and diluted</w:t>
            </w:r>
          </w:p>
        </w:tc>
        <w:tc>
          <w:tcPr>
            <w:tcW w:w="220" w:type="dxa"/>
            <w:vAlign w:val="bottom"/>
          </w:tcPr>
          <w:p>
            <w:pPr>
              <w:spacing w:after="0"/>
              <w:rPr>
                <w:sz w:val="16"/>
                <w:szCs w:val="16"/>
                <w:color w:val="auto"/>
              </w:rPr>
            </w:pPr>
          </w:p>
        </w:tc>
        <w:tc>
          <w:tcPr>
            <w:tcW w:w="13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28,467,995</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76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Pro forma net loss per share attributable to common stockholders, basic and diluted</w:t>
            </w:r>
          </w:p>
        </w:tc>
        <w:tc>
          <w:tcPr>
            <w:tcW w:w="220" w:type="dxa"/>
            <w:vAlign w:val="bottom"/>
            <w:shd w:val="clear" w:color="auto" w:fill="CCEEFF"/>
          </w:tcPr>
          <w:p>
            <w:pPr>
              <w:jc w:val="right"/>
              <w:ind w:right="19"/>
              <w:spacing w:after="0" w:line="176"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7"/>
                <w:szCs w:val="17"/>
                <w:color w:val="auto"/>
              </w:rPr>
              <w:t>(0.30)</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Assignment Agreement and Finder's Services Agreement</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August 2012, the Company entered into an assignment agreement with the Miller Estate under which it acquired intellectual property. The initial consideration paid by the Company during the year ended December 31, 2012 was $405. In November 2013, upon the achievement of a clinical milestone, the Company made a milestone payment of $200. These two payments were recorded as research and development expense during the years ended December 31, 2012 and 2013, respectively. In addition, the Company is obligated to pay royalties on sales of A-101 or related products at rates ranging in low single-digit percentages of net sales, as defined in the agreement. No royalty payments were made during the years ended December 31, 2013 or 2014 pursuant to the agreement.</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August 2012, the Company entered into a finder's services agreement with KPT Consulting, LLC ("KPT") to provide certain business development consulting services to the Company in connection with the intellectual property acquired by the Company under the assignment agreement. The initial consideration paid by the Company during the year ended December 31, 2012 was $200. In November 2013, upon the achievement of a milestone specified in the agreement, the Company paid an additional $200. These two payments were recorded as general and administrative expense during the years ended December 31, 2012 and 2013, respectively.</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Under the finder's services agreement, the Company is obligated to make additional future milestone payments to KPT of up to $1,300 upon the achievement of specified pre-commercialization milestones, such as clinical trials and regulatory approvals, as well as milestone payments of up to $4,500 upon the achievement of specified commercial milestones. In addition, the Company is obligated to pay royalties on sales of A-101 or related products at a low single-digit percentage of net sales, as defined in the agreement. No royalty payments were made during the years ended December 31, 2013 or 2014 pursuant to the agreement.</w:t>
      </w:r>
    </w:p>
    <w:p>
      <w:pPr>
        <w:spacing w:after="0" w:line="199"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Both agreements will terminate upon the expiration of the last pending, viable patent claim of the patents acquired under the assignment agreement, but no sooner than 15 years from the effective date of the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w:t>
      </w:r>
    </w:p>
    <w:p>
      <w:pPr>
        <w:spacing w:after="0" w:line="23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September 2012, the Company entered into a sublease agreement for its office space with related parties (see Note 12), which, as amended, has a term ending on November 30, 2016. Rent expense under operating leases was $71 and $66 for the years ended December 31, 2013 and 2014, respectively. The Company recognizes rent expense on a straight-line basis over the lease period and has accrued for rent expense incurred but not yet paid. As part of the most recent amendment to the sublease agreement on December 2, 2014, the Company increased the amount of office space to be leased and, accordingly, agreed to new monthly lease terms commencing in January 2015.</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sublease are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0"/>
        </w:trPr>
        <w:tc>
          <w:tcPr>
            <w:tcW w:w="16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2015</w:t>
            </w:r>
          </w:p>
        </w:tc>
        <w:tc>
          <w:tcPr>
            <w:tcW w:w="63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104</w:t>
            </w:r>
          </w:p>
        </w:tc>
      </w:tr>
      <w:tr>
        <w:trPr>
          <w:trHeight w:val="197"/>
        </w:trPr>
        <w:tc>
          <w:tcPr>
            <w:tcW w:w="1680" w:type="dxa"/>
            <w:vAlign w:val="bottom"/>
          </w:tcPr>
          <w:p>
            <w:pPr>
              <w:ind w:left="20"/>
              <w:spacing w:after="0"/>
              <w:rPr>
                <w:sz w:val="20"/>
                <w:szCs w:val="20"/>
                <w:color w:val="auto"/>
              </w:rPr>
            </w:pPr>
            <w:r>
              <w:rPr>
                <w:rFonts w:ascii="Arial" w:cs="Arial" w:eastAsia="Arial" w:hAnsi="Arial"/>
                <w:sz w:val="17"/>
                <w:szCs w:val="17"/>
                <w:color w:val="auto"/>
              </w:rPr>
              <w:t>2016</w:t>
            </w:r>
          </w:p>
        </w:tc>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40" w:type="dxa"/>
            <w:vAlign w:val="bottom"/>
          </w:tcPr>
          <w:p>
            <w:pPr>
              <w:spacing w:after="0"/>
              <w:rPr>
                <w:sz w:val="17"/>
                <w:szCs w:val="17"/>
                <w:color w:val="auto"/>
              </w:rPr>
            </w:pPr>
          </w:p>
        </w:tc>
      </w:tr>
      <w:tr>
        <w:trPr>
          <w:trHeight w:val="190"/>
        </w:trPr>
        <w:tc>
          <w:tcPr>
            <w:tcW w:w="80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201</w:t>
            </w:r>
          </w:p>
        </w:tc>
      </w:tr>
      <w:tr>
        <w:trPr>
          <w:trHeight w:val="20"/>
        </w:trPr>
        <w:tc>
          <w:tcPr>
            <w:tcW w:w="16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2013 or 2014.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Agreement</w:t>
      </w:r>
    </w:p>
    <w:p>
      <w:pPr>
        <w:spacing w:after="0" w:line="23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In January 2015, the Company executed a clinical and commercial supply agreement with a third party for the manufacture and assembly of certain components for the product applicator that the Company intends to use to dispense A-101 in Phase 3 clinical trials and for the commercial drug product. The agreement has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 (Continued)</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 term of three years and automatically renews for consecutive one-year terms. If the agreement is terminated by the Company without cause or by the third party for cause prior to the FDA's approval of A-101, the Company will owe a termination fee equal to $375. If the agreement is terminated by the Company without cause or by the third party for cause after the FDA approval of A-101, the Company will owe a termination fee equal to $275. The Company's obligation to pay the termination fee expires after the third anniversary date of the FDA's approval of A-101.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During the years ended December 31, 2013 and 2014, the Company recorded no income tax benefits for the net operating losses incurred in each year, due to its uncertainty of realizing a benefit from those items.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U.S. federal statutory income tax rate to the Company's effective income tax rate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9"/>
              <w:spacing w:after="0" w:line="151"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7"/>
              <w:spacing w:after="0" w:line="151"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Federal statutory income tax rate</w:t>
            </w:r>
          </w:p>
        </w:tc>
        <w:tc>
          <w:tcPr>
            <w:tcW w:w="780" w:type="dxa"/>
            <w:vAlign w:val="bottom"/>
            <w:gridSpan w:val="3"/>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(34.0)%</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Research and development tax credits</w:t>
            </w:r>
          </w:p>
        </w:tc>
        <w:tc>
          <w:tcPr>
            <w:tcW w:w="120" w:type="dxa"/>
            <w:vAlign w:val="bottom"/>
          </w:tcPr>
          <w:p>
            <w:pPr>
              <w:spacing w:after="0"/>
              <w:rPr>
                <w:sz w:val="17"/>
                <w:szCs w:val="17"/>
                <w:color w:val="auto"/>
              </w:rPr>
            </w:pPr>
          </w:p>
        </w:tc>
        <w:tc>
          <w:tcPr>
            <w:tcW w:w="660" w:type="dxa"/>
            <w:vAlign w:val="bottom"/>
            <w:gridSpan w:val="2"/>
          </w:tcPr>
          <w:p>
            <w:pPr>
              <w:jc w:val="right"/>
              <w:ind w:right="155"/>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95"/>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State taxes, net of federal benefit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Change in deferred tax asset valuation allowance</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42.2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55"/>
              <w:spacing w:after="0"/>
              <w:rPr>
                <w:sz w:val="20"/>
                <w:szCs w:val="20"/>
                <w:color w:val="auto"/>
              </w:rPr>
            </w:pPr>
            <w:r>
              <w:rPr>
                <w:rFonts w:ascii="Arial" w:cs="Arial" w:eastAsia="Arial" w:hAnsi="Arial"/>
                <w:sz w:val="17"/>
                <w:szCs w:val="17"/>
                <w:color w:val="auto"/>
              </w:rPr>
              <w:t>41.6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Effective income tax rate</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7"/>
                <w:szCs w:val="17"/>
                <w:color w:val="auto"/>
              </w:rPr>
              <w:t>Net deferred tax assets as of December 31, 2013 and 2014 consisted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5"/>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55"/>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2,289</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5,606</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Research and development tax credit carryforwards</w:t>
            </w: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Capitalized research and development expenses</w:t>
            </w:r>
          </w:p>
        </w:tc>
        <w:tc>
          <w:tcPr>
            <w:tcW w:w="12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501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 expenses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Total deferred tax assets</w:t>
            </w: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2,903</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Pr>
          <w:p>
            <w:pPr>
              <w:ind w:left="20"/>
              <w:spacing w:after="0" w:line="189" w:lineRule="exact"/>
              <w:rPr>
                <w:sz w:val="20"/>
                <w:szCs w:val="20"/>
                <w:color w:val="auto"/>
              </w:rPr>
            </w:pPr>
            <w:r>
              <w:rPr>
                <w:rFonts w:ascii="Arial" w:cs="Arial" w:eastAsia="Arial" w:hAnsi="Arial"/>
                <w:sz w:val="17"/>
                <w:szCs w:val="17"/>
                <w:color w:val="auto"/>
              </w:rPr>
              <w:t>Deferred tax liabilities:</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7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Total deferred tax liabilities</w:t>
            </w: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w:t>
            </w:r>
          </w:p>
        </w:tc>
        <w:tc>
          <w:tcPr>
            <w:tcW w:w="1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(2,899)</w:t>
            </w: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vMerge w:val="restart"/>
          </w:tcPr>
          <w:p>
            <w:pPr>
              <w:ind w:left="320"/>
              <w:spacing w:after="0"/>
              <w:rPr>
                <w:sz w:val="20"/>
                <w:szCs w:val="20"/>
                <w:color w:val="auto"/>
              </w:rPr>
            </w:pPr>
            <w:r>
              <w:rPr>
                <w:rFonts w:ascii="Arial" w:cs="Arial" w:eastAsia="Arial" w:hAnsi="Arial"/>
                <w:sz w:val="17"/>
                <w:szCs w:val="17"/>
                <w:color w:val="auto"/>
              </w:rPr>
              <w:t>Net deferred tax assets</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724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tcPr>
          <w:p>
            <w:pPr>
              <w:spacing w:after="0"/>
              <w:rPr>
                <w:sz w:val="16"/>
                <w:szCs w:val="16"/>
                <w:color w:val="auto"/>
              </w:rPr>
            </w:pPr>
          </w:p>
        </w:tc>
        <w:tc>
          <w:tcPr>
            <w:tcW w:w="50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spacing w:after="0"/>
              <w:rPr>
                <w:sz w:val="16"/>
                <w:szCs w:val="16"/>
                <w:color w:val="auto"/>
              </w:rPr>
            </w:pPr>
          </w:p>
        </w:tc>
        <w:tc>
          <w:tcPr>
            <w:tcW w:w="3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As of December 31, 2014, the Company had federal and state net operating loss carryforwards of $13,810 and $13,810, respectively, both of which begin to expire in 2032. As of December 31, 2014, the Company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also had federal research and development tax credit carryforwards of $203, which begin to expire in 2032, and the Company had no state research and development tax credit carryforwards. Utilization of the net operating loss carryforwards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2013 and 2014. Management reevaluates the positive and negative evidence at each reporting period.</w:t>
      </w:r>
    </w:p>
    <w:p>
      <w:pPr>
        <w:spacing w:after="0" w:line="19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Changes in the valuation allowance for deferred tax assets during the years ended December 31, 2013 and 2014 related primarily to the increases in net operating loss carryforwards and research and development tax credit carryforwards and were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726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8"/>
              <w:spacing w:after="0" w:line="151"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Valuation allowance at beginning of year</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(690)</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0" w:type="dxa"/>
            <w:vAlign w:val="bottom"/>
          </w:tcPr>
          <w:p>
            <w:pPr>
              <w:spacing w:after="0"/>
              <w:rPr>
                <w:sz w:val="1"/>
                <w:szCs w:val="1"/>
                <w:color w:val="auto"/>
              </w:rPr>
            </w:pPr>
          </w:p>
        </w:tc>
      </w:tr>
      <w:tr>
        <w:trPr>
          <w:trHeight w:val="197"/>
        </w:trPr>
        <w:tc>
          <w:tcPr>
            <w:tcW w:w="7260" w:type="dxa"/>
            <w:vAlign w:val="bottom"/>
          </w:tcPr>
          <w:p>
            <w:pPr>
              <w:ind w:left="160"/>
              <w:spacing w:after="0"/>
              <w:rPr>
                <w:sz w:val="20"/>
                <w:szCs w:val="20"/>
                <w:color w:val="auto"/>
              </w:rPr>
            </w:pPr>
            <w:r>
              <w:rPr>
                <w:rFonts w:ascii="Arial" w:cs="Arial" w:eastAsia="Arial" w:hAnsi="Arial"/>
                <w:sz w:val="17"/>
                <w:szCs w:val="17"/>
                <w:color w:val="auto"/>
              </w:rPr>
              <w:t>Decreases recorded as benefit to income tax provision</w:t>
            </w:r>
          </w:p>
        </w:tc>
        <w:tc>
          <w:tcPr>
            <w:tcW w:w="16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Increases recorded to income tax provision</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(2,209)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Arial" w:cs="Arial" w:eastAsia="Arial" w:hAnsi="Arial"/>
                <w:sz w:val="17"/>
                <w:szCs w:val="17"/>
                <w:color w:val="auto"/>
              </w:rPr>
              <w:t>Valuation allowance as of end of year</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60" w:type="dxa"/>
            <w:vAlign w:val="bottom"/>
            <w:vMerge w:val="continue"/>
          </w:tcPr>
          <w:p>
            <w:pPr>
              <w:spacing w:after="0"/>
              <w:rPr>
                <w:sz w:val="16"/>
                <w:szCs w:val="16"/>
                <w:color w:val="auto"/>
              </w:rPr>
            </w:pPr>
          </w:p>
        </w:tc>
        <w:tc>
          <w:tcPr>
            <w:tcW w:w="1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(2,899)</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(6,444)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Company has not recorded any amounts for unrecognized tax benefits as of December 31, 2013 or 2014.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All open years may be examined to the extent that tax credit or net operating loss carryforwards are used in future periods. The Company's policy is to record interest and penalties related to income taxes as part of its income tax provision.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ACLARIS THERAPEUTICS, INC.</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231" w:lineRule="exact"/>
        <w:rPr>
          <w:sz w:val="20"/>
          <w:szCs w:val="20"/>
          <w:color w:val="auto"/>
        </w:rPr>
      </w:pPr>
    </w:p>
    <w:p>
      <w:pPr>
        <w:jc w:val="both"/>
        <w:ind w:right="100"/>
        <w:spacing w:after="0" w:line="244" w:lineRule="auto"/>
        <w:rPr>
          <w:sz w:val="20"/>
          <w:szCs w:val="20"/>
          <w:color w:val="auto"/>
        </w:rPr>
      </w:pPr>
      <w:r>
        <w:rPr>
          <w:rFonts w:ascii="Arial" w:cs="Arial" w:eastAsia="Arial" w:hAnsi="Arial"/>
          <w:sz w:val="17"/>
          <w:szCs w:val="17"/>
          <w:color w:val="auto"/>
        </w:rPr>
        <w:t>In September 2012, the Company entered into a sublease agreement for its leased office space in Malvern, Pennsylvania with Ceptaris Therapeutics ("Ceptaris"), a company that was acquired in September 2013. Upon the acquisition, the Company terminated the sublease agreement with Ceptaris and entered into a direct sublease agreement with NeXeption, Inc. ("NeXeption") for the leased space. A member of the Company's board of directors was an executive officer of Ceptaris and is a current executive officer of NeXeption. Total payments made during the years ended December 31, 2013 and 2014 under these sublease agreements were $68 and $66, respectively (see Note 10).</w:t>
      </w:r>
    </w:p>
    <w:p>
      <w:pPr>
        <w:spacing w:after="0" w:line="1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November 2012, the Company entered into a services agreement with Ceptaris, under which Ceptaris provided certain professional services, administrative support and office services to the Company. In September 2013, Ceptaris terminated the agreement in accordance with its terms. In September 2013, the Company entered into a second services agreement with Ceptaris, under which Ceptaris provided certain pharmaceutical development and management services to the Company. In December 2013, Ceptaris terminated the agreement in accordance with its terms, effective February 4, 2014. Total payments made to Ceptaris in connection with these agreements during the years ended December 31, 2013 and 2014 were $166 and $10, respectively. As of December 31, 2013, there was $8 included in accounts payable to Ceptaris.</w:t>
      </w: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February 2014, the Company entered into a services agreement with NST, LLC ("NST"), under which NST provides certain pharmaceutical development, management and other administrative services to the Company. Certain officers of the Company are also founding partners of NST. Under the same agreement, the Company also provides services to NST and is reimbursed for those services. The Company may offset any payments owed by the Company to NST against payments that are owed by NST to the Company for the provision of NST personnel, including consultants, to the Company. During the year ended December 31, 2014, gross expenses incurred by the Company under the services agreement totaled $467 and gross expenses charged to NST by the Company totaled $413. For the year ended December 31, 2014, the Company recorded $309 of general and administrative expenses and $255 as a reduction of research and development expenses related to these transactions. During the year ended December 31, 2014, payments made to NST by the Company totaled $131 and receipts received from NST by the Company totaled $77. No amounts were due to or due from NST at December 31, 2014 related to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Savings Plan</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has elected to match employee contributions to the 401(k) Plan of up to 100% of the employee's first 3% of earnings plus up to 50% of the next 2% of earnings, subject to certain limitations. Company contributions under the 401(k) Plan were $51 and $60 for the year ended December 31, 2013 and 2014,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3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For its financial statements as of December 31, 2014 and for the year then ended, the Company evaluated subsequent events through April 2, 2015, the date on which those financial statements were issued.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154305</wp:posOffset>
            </wp:positionV>
            <wp:extent cx="2280920" cy="923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8092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31"/>
          <w:szCs w:val="31"/>
          <w:b w:val="1"/>
          <w:bCs w:val="1"/>
          <w:color w:val="auto"/>
        </w:rPr>
        <w:t>Aclaris Therapeutics, Inc.</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154305</wp:posOffset>
            </wp:positionV>
            <wp:extent cx="20396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150495</wp:posOffset>
            </wp:positionV>
            <wp:extent cx="20396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396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24"/>
          <w:szCs w:val="24"/>
          <w:b w:val="1"/>
          <w:bCs w:val="1"/>
          <w:color w:val="auto"/>
        </w:rPr>
        <w:t>Jefferies</w:t>
      </w: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Citigroup</w:t>
      </w:r>
    </w:p>
    <w:p>
      <w:pPr>
        <w:spacing w:after="0" w:line="275" w:lineRule="exact"/>
        <w:rPr>
          <w:sz w:val="20"/>
          <w:szCs w:val="20"/>
          <w:color w:val="auto"/>
        </w:rPr>
      </w:pPr>
    </w:p>
    <w:p>
      <w:pPr>
        <w:ind w:left="5000"/>
        <w:spacing w:after="0"/>
        <w:rPr>
          <w:sz w:val="20"/>
          <w:szCs w:val="20"/>
          <w:color w:val="auto"/>
        </w:rPr>
      </w:pPr>
      <w:r>
        <w:rPr>
          <w:rFonts w:ascii="Arial" w:cs="Arial" w:eastAsia="Arial" w:hAnsi="Arial"/>
          <w:sz w:val="24"/>
          <w:szCs w:val="24"/>
          <w:b w:val="1"/>
          <w:bCs w:val="1"/>
          <w:color w:val="auto"/>
        </w:rPr>
        <w:t>William Blair</w:t>
      </w:r>
    </w:p>
    <w:p>
      <w:pPr>
        <w:spacing w:after="0" w:line="24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2504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7250430"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487680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PART II</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31"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or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69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6940" cy="8255"/>
                    </a:xfrm>
                    <a:prstGeom prst="rect">
                      <a:avLst/>
                    </a:prstGeom>
                    <a:noFill/>
                  </pic:spPr>
                </pic:pic>
              </a:graphicData>
            </a:graphic>
          </wp:anchor>
        </w:drawing>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to be</w:t>
            </w:r>
          </w:p>
        </w:tc>
        <w:tc>
          <w:tcPr>
            <w:tcW w:w="118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Paid</w:t>
            </w:r>
          </w:p>
        </w:tc>
        <w:tc>
          <w:tcPr>
            <w:tcW w:w="1180" w:type="dxa"/>
            <w:vAlign w:val="bottom"/>
          </w:tcPr>
          <w:p>
            <w:pPr>
              <w:spacing w:after="0"/>
              <w:rPr>
                <w:sz w:val="14"/>
                <w:szCs w:val="14"/>
                <w:color w:val="auto"/>
              </w:rPr>
            </w:pPr>
          </w:p>
        </w:tc>
      </w:tr>
      <w:tr>
        <w:trPr>
          <w:trHeight w:val="190"/>
        </w:trPr>
        <w:tc>
          <w:tcPr>
            <w:tcW w:w="7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SEC registration fee</w:t>
            </w: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418"/>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7"/>
                <w:szCs w:val="17"/>
                <w:color w:val="auto"/>
              </w:rPr>
              <w:t>FINRA filing fee</w:t>
            </w:r>
          </w:p>
        </w:tc>
        <w:tc>
          <w:tcPr>
            <w:tcW w:w="160" w:type="dxa"/>
            <w:vAlign w:val="bottom"/>
          </w:tcPr>
          <w:p>
            <w:pPr>
              <w:spacing w:after="0"/>
              <w:rPr>
                <w:sz w:val="17"/>
                <w:szCs w:val="17"/>
                <w:color w:val="auto"/>
              </w:rPr>
            </w:pPr>
          </w:p>
        </w:tc>
        <w:tc>
          <w:tcPr>
            <w:tcW w:w="114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 Global Market initial listing fee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7"/>
                <w:szCs w:val="17"/>
                <w:color w:val="auto"/>
              </w:rPr>
              <w:t>Printing and engraving expenses</w:t>
            </w:r>
          </w:p>
        </w:tc>
        <w:tc>
          <w:tcPr>
            <w:tcW w:w="160" w:type="dxa"/>
            <w:vAlign w:val="bottom"/>
          </w:tcPr>
          <w:p>
            <w:pPr>
              <w:spacing w:after="0"/>
              <w:rPr>
                <w:sz w:val="17"/>
                <w:szCs w:val="17"/>
                <w:color w:val="auto"/>
              </w:rPr>
            </w:pPr>
          </w:p>
        </w:tc>
        <w:tc>
          <w:tcPr>
            <w:tcW w:w="114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fees and expenses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7"/>
                <w:szCs w:val="17"/>
                <w:color w:val="auto"/>
              </w:rPr>
              <w:t>Accounting fees and expenses</w:t>
            </w:r>
          </w:p>
        </w:tc>
        <w:tc>
          <w:tcPr>
            <w:tcW w:w="160" w:type="dxa"/>
            <w:vAlign w:val="bottom"/>
          </w:tcPr>
          <w:p>
            <w:pPr>
              <w:spacing w:after="0"/>
              <w:rPr>
                <w:sz w:val="17"/>
                <w:szCs w:val="17"/>
                <w:color w:val="auto"/>
              </w:rPr>
            </w:pPr>
          </w:p>
        </w:tc>
        <w:tc>
          <w:tcPr>
            <w:tcW w:w="114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agent and registrar fees and expenses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7"/>
                <w:szCs w:val="17"/>
                <w:color w:val="auto"/>
              </w:rPr>
              <w:t>Miscellaneous fees and expenses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0"/>
        </w:trPr>
        <w:tc>
          <w:tcPr>
            <w:tcW w:w="7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418"/>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84"/>
        </w:trPr>
        <w:tc>
          <w:tcPr>
            <w:tcW w:w="76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bl>
    <w:p>
      <w:pPr>
        <w:spacing w:after="0" w:line="214" w:lineRule="exact"/>
        <w:rPr>
          <w:sz w:val="20"/>
          <w:szCs w:val="20"/>
          <w:color w:val="auto"/>
        </w:rPr>
      </w:pPr>
    </w:p>
    <w:p>
      <w:pPr>
        <w:ind w:left="1680" w:hanging="533"/>
        <w:spacing w:after="0"/>
        <w:tabs>
          <w:tab w:leader="none" w:pos="16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98"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will be made with respect to any claim, issue or matter as to which such person will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may deem proper.</w:t>
      </w:r>
    </w:p>
    <w:p>
      <w:pPr>
        <w:spacing w:after="0" w:line="206"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As permitted by the Delaware General Corporation Law, our amended and restated certificate of incorporation and bylaws to be in effect upon the closing of this offering will provide that: (i) we are</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entered into indemnification agreements with each of our directors, and we expect to enter into indemnification agreements with each of our executive officers. These indemnification agreements require us to indemnify the officer or director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We intend to enter into similar indemnification agreements with our executive officers in connection with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addition, the underwriting agreement filed as Exhibit 1.1 to this Registration Statement provides for indemnification by the underwriters of us and our officers and directors for certain liabilities arising under the Securities Act, or otherwise. Our investors' rights agreement with certain investors also provides for cross-indemnification in connection with the registration of our common stock on behalf of such investors.</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Capital Stock</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following list sets forth information regarding all unregistered securities sold by us since January 1, 2012 through the date of the prospectus that forms a part of this registration statement.</w:t>
      </w:r>
    </w:p>
    <w:p>
      <w:pPr>
        <w:spacing w:after="0" w:line="193" w:lineRule="exact"/>
        <w:rPr>
          <w:sz w:val="20"/>
          <w:szCs w:val="20"/>
          <w:color w:val="auto"/>
        </w:rPr>
      </w:pPr>
    </w:p>
    <w:p>
      <w:pPr>
        <w:ind w:left="1060" w:right="440" w:hanging="531"/>
        <w:spacing w:after="0" w:line="25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July 2012, we issued an aggregate of 9,420,000 shares of our common stock to 14 investors at a purchase price of $0.00001 per share, for aggregate consideration of $94.</w:t>
      </w:r>
    </w:p>
    <w:p>
      <w:pPr>
        <w:spacing w:after="0" w:line="192"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August 2012, we issued an aggregate of 20,890,000 shares of our Series A redeemable convertible preferred stock to 31 investors at a purchase price of $1.00 per share, for aggregate consideration of $20.9 million.</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September 2014, we issued an aggregate of 6,451,057 shares of our Series B redeemable convertible preferred stock to 25 investors at a purchase price of $1.65 per share, for aggregate consideration of $10.6 million.</w:t>
      </w:r>
    </w:p>
    <w:p>
      <w:pPr>
        <w:spacing w:after="0" w:line="19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offers, sales and issuances of the securities described in the paragraphs above were exempt from registration under Section 4(a)(2) of the Securities Act and Regulation D promulgated under the Securities Act. Each of the purchasers represented to us that they acquired the securities for investment only and not with a view to or for sale in connection with any distribution thereof and appropriate legends were affixed to the securities issued in these transactions. The purchasers also represented to us that they were accredited investors as defined in Rule 501 promulgated under the Securities Act.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Grants</w:t>
      </w: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From January 1, 2012 through the date of the prospectus that is a part of this registration statement, we have granted options under our 2012 equity compensation plan to purchase an aggregate of 1,725,961 shares of our common stock to employees, consultants and directors, having exercise prices ranging from $0.12 to $0.44 per share. We have not issued any shares of our common stock upon the exercise of stock options.</w:t>
      </w:r>
    </w:p>
    <w:p>
      <w:pPr>
        <w:spacing w:after="0" w:line="199"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The offers, sales and issuances of the securities described in the foregoing paragraph were exempt from registration under Rule 701 promulgated under the Securities Act in that the transactions were under compensatory benefit plans and contracts relating to compensation as provided under Rule 701. The recipients of such securities were our employees, directors or consultants and received the securities under our 2012 equity compensation plan. Appropriate legends were affixed to the securities issued in these transactions.</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exhibits to the registration statement are listed in the Exhibit Index attached hereto and are incorporated by reference herein.</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17.</w:t>
        <w:tab/>
        <w:t>Undertakings.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211" w:lineRule="exact"/>
        <w:rPr>
          <w:sz w:val="20"/>
          <w:szCs w:val="20"/>
          <w:color w:val="auto"/>
        </w:rPr>
      </w:pPr>
    </w:p>
    <w:p>
      <w:pPr>
        <w:jc w:val="both"/>
        <w:ind w:left="1060" w:right="80" w:hanging="531"/>
        <w:spacing w:after="0" w:line="241"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60" w:right="480"/>
        <w:spacing w:after="0" w:line="252" w:lineRule="auto"/>
        <w:rPr>
          <w:rFonts w:ascii="Arial" w:cs="Arial" w:eastAsia="Arial" w:hAnsi="Arial"/>
          <w:sz w:val="17"/>
          <w:szCs w:val="17"/>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92" w:lineRule="exact"/>
        <w:rPr>
          <w:rFonts w:ascii="Arial" w:cs="Arial" w:eastAsia="Arial" w:hAnsi="Arial"/>
          <w:sz w:val="17"/>
          <w:szCs w:val="17"/>
          <w:color w:val="auto"/>
        </w:rPr>
      </w:pPr>
    </w:p>
    <w:p>
      <w:pPr>
        <w:ind w:left="1060" w:right="200" w:hanging="531"/>
        <w:spacing w:after="0" w:line="246"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0" w:type="dxa"/>
            <w:vAlign w:val="bottom"/>
          </w:tcPr>
          <w:p>
            <w:pPr>
              <w:spacing w:after="0"/>
              <w:rPr>
                <w:sz w:val="20"/>
                <w:szCs w:val="20"/>
                <w:color w:val="auto"/>
              </w:rPr>
            </w:pPr>
            <w:r>
              <w:rPr>
                <w:rFonts w:ascii="Arial" w:cs="Arial" w:eastAsia="Arial" w:hAnsi="Arial"/>
                <w:sz w:val="17"/>
                <w:szCs w:val="17"/>
                <w:color w:val="auto"/>
              </w:rPr>
              <w:t>undersigned, thereunto duly authorized, in the City of Malvern, Commonwealth of Pennsylvania, on the   day of</w:t>
            </w:r>
          </w:p>
        </w:tc>
        <w:tc>
          <w:tcPr>
            <w:tcW w:w="880" w:type="dxa"/>
            <w:vAlign w:val="bottom"/>
          </w:tcPr>
          <w:p>
            <w:pPr>
              <w:jc w:val="right"/>
              <w:spacing w:after="0"/>
              <w:rPr>
                <w:sz w:val="20"/>
                <w:szCs w:val="20"/>
                <w:color w:val="auto"/>
              </w:rPr>
            </w:pPr>
            <w:r>
              <w:rPr>
                <w:rFonts w:ascii="Arial" w:cs="Arial" w:eastAsia="Arial" w:hAnsi="Arial"/>
                <w:sz w:val="17"/>
                <w:szCs w:val="17"/>
                <w:color w:val="auto"/>
              </w:rPr>
              <w:t>, 2015.</w:t>
            </w:r>
          </w:p>
        </w:tc>
      </w:tr>
    </w:tbl>
    <w:p>
      <w:pPr>
        <w:spacing w:after="0" w:line="182"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ACLARIS THERAPEUTICS, INC.</w:t>
      </w: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57150</wp:posOffset>
            </wp:positionV>
            <wp:extent cx="26803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65"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Neal Walker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Neal Walker, Kamil Ali-Jackson, Frank Ruffo and Brent B. Siler, and each of them,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205"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178" w:lineRule="exact"/>
        <w:rPr>
          <w:sz w:val="20"/>
          <w:szCs w:val="20"/>
          <w:color w:val="auto"/>
        </w:rPr>
      </w:pPr>
    </w:p>
    <w:p>
      <w:pPr>
        <w:ind w:left="2680"/>
        <w:spacing w:after="0"/>
        <w:tabs>
          <w:tab w:leader="none" w:pos="6620" w:val="left"/>
          <w:tab w:leader="none" w:pos="9340" w:val="left"/>
        </w:tabs>
        <w:rPr>
          <w:sz w:val="20"/>
          <w:szCs w:val="20"/>
          <w:color w:val="auto"/>
        </w:rPr>
      </w:pPr>
      <w:r>
        <w:rPr>
          <w:rFonts w:ascii="Arial" w:cs="Arial" w:eastAsia="Arial" w:hAnsi="Arial"/>
          <w:sz w:val="14"/>
          <w:szCs w:val="14"/>
          <w:b w:val="1"/>
          <w:bCs w:val="1"/>
          <w:u w:val="single" w:color="auto"/>
          <w:color w:val="auto"/>
        </w:rPr>
        <w:t>Signatur</w:t>
      </w:r>
      <w:r>
        <w:rPr>
          <w:rFonts w:ascii="Arial" w:cs="Arial" w:eastAsia="Arial" w:hAnsi="Arial"/>
          <w:sz w:val="14"/>
          <w:szCs w:val="14"/>
          <w:b w:val="1"/>
          <w:bCs w:val="1"/>
          <w:color w:val="auto"/>
        </w:rPr>
        <w:t>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Arial" w:cs="Arial" w:eastAsia="Arial" w:hAnsi="Arial"/>
                <w:sz w:val="17"/>
                <w:szCs w:val="17"/>
                <w:color w:val="auto"/>
              </w:rPr>
              <w:t>President, Chief Executive Officer and Director</w:t>
            </w:r>
          </w:p>
        </w:tc>
        <w:tc>
          <w:tcPr>
            <w:tcW w:w="104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07"/>
        </w:trPr>
        <w:tc>
          <w:tcPr>
            <w:tcW w:w="3680" w:type="dxa"/>
            <w:vAlign w:val="bottom"/>
            <w:tcBorders>
              <w:bottom w:val="single" w:sz="8" w:color="auto"/>
            </w:tcBorders>
          </w:tcPr>
          <w:p>
            <w:pPr>
              <w:spacing w:after="0"/>
              <w:rPr>
                <w:sz w:val="9"/>
                <w:szCs w:val="9"/>
                <w:color w:val="auto"/>
              </w:rPr>
            </w:pPr>
          </w:p>
        </w:tc>
        <w:tc>
          <w:tcPr>
            <w:tcW w:w="4240" w:type="dxa"/>
            <w:vAlign w:val="bottom"/>
            <w:vMerge w:val="restart"/>
          </w:tcPr>
          <w:p>
            <w:pPr>
              <w:ind w:left="140"/>
              <w:spacing w:after="0"/>
              <w:rPr>
                <w:sz w:val="20"/>
                <w:szCs w:val="20"/>
                <w:color w:val="auto"/>
              </w:rPr>
            </w:pPr>
            <w:r>
              <w:rPr>
                <w:rFonts w:ascii="Arial" w:cs="Arial" w:eastAsia="Arial" w:hAnsi="Arial"/>
                <w:sz w:val="17"/>
                <w:szCs w:val="17"/>
                <w:i w:val="1"/>
                <w:iCs w:val="1"/>
                <w:color w:val="auto"/>
              </w:rPr>
              <w:t>(Principal Executive Officer)</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680" w:type="dxa"/>
            <w:vAlign w:val="bottom"/>
            <w:vMerge w:val="restart"/>
          </w:tcPr>
          <w:p>
            <w:pPr>
              <w:jc w:val="center"/>
              <w:spacing w:after="0"/>
              <w:rPr>
                <w:sz w:val="20"/>
                <w:szCs w:val="20"/>
                <w:color w:val="auto"/>
              </w:rPr>
            </w:pPr>
            <w:r>
              <w:rPr>
                <w:rFonts w:ascii="Arial" w:cs="Arial" w:eastAsia="Arial" w:hAnsi="Arial"/>
                <w:sz w:val="17"/>
                <w:szCs w:val="17"/>
                <w:color w:val="auto"/>
                <w:w w:val="99"/>
              </w:rPr>
              <w:t>Neal Walker</w:t>
            </w:r>
          </w:p>
        </w:tc>
        <w:tc>
          <w:tcPr>
            <w:tcW w:w="4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68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3680" w:type="dxa"/>
            <w:vAlign w:val="bottom"/>
          </w:tcPr>
          <w:p>
            <w:pPr>
              <w:spacing w:after="0"/>
              <w:rPr>
                <w:sz w:val="24"/>
                <w:szCs w:val="24"/>
                <w:color w:val="auto"/>
              </w:rPr>
            </w:pPr>
          </w:p>
        </w:tc>
        <w:tc>
          <w:tcPr>
            <w:tcW w:w="4240" w:type="dxa"/>
            <w:vAlign w:val="bottom"/>
          </w:tcPr>
          <w:p>
            <w:pPr>
              <w:ind w:left="140"/>
              <w:spacing w:after="0"/>
              <w:rPr>
                <w:sz w:val="20"/>
                <w:szCs w:val="20"/>
                <w:color w:val="auto"/>
              </w:rPr>
            </w:pPr>
            <w:r>
              <w:rPr>
                <w:rFonts w:ascii="Arial" w:cs="Arial" w:eastAsia="Arial" w:hAnsi="Arial"/>
                <w:sz w:val="17"/>
                <w:szCs w:val="17"/>
                <w:color w:val="auto"/>
              </w:rPr>
              <w:t>Chief Financial Officer</w:t>
            </w:r>
          </w:p>
        </w:tc>
        <w:tc>
          <w:tcPr>
            <w:tcW w:w="104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107"/>
        </w:trPr>
        <w:tc>
          <w:tcPr>
            <w:tcW w:w="3680" w:type="dxa"/>
            <w:vAlign w:val="bottom"/>
            <w:tcBorders>
              <w:bottom w:val="single" w:sz="8" w:color="auto"/>
            </w:tcBorders>
          </w:tcPr>
          <w:p>
            <w:pPr>
              <w:spacing w:after="0"/>
              <w:rPr>
                <w:sz w:val="9"/>
                <w:szCs w:val="9"/>
                <w:color w:val="auto"/>
              </w:rPr>
            </w:pPr>
          </w:p>
        </w:tc>
        <w:tc>
          <w:tcPr>
            <w:tcW w:w="4240" w:type="dxa"/>
            <w:vAlign w:val="bottom"/>
            <w:vMerge w:val="restart"/>
          </w:tcPr>
          <w:p>
            <w:pPr>
              <w:ind w:left="140"/>
              <w:spacing w:after="0"/>
              <w:rPr>
                <w:sz w:val="20"/>
                <w:szCs w:val="20"/>
                <w:color w:val="auto"/>
              </w:rPr>
            </w:pPr>
            <w:r>
              <w:rPr>
                <w:rFonts w:ascii="Arial" w:cs="Arial" w:eastAsia="Arial" w:hAnsi="Arial"/>
                <w:sz w:val="17"/>
                <w:szCs w:val="17"/>
                <w:i w:val="1"/>
                <w:iCs w:val="1"/>
                <w:color w:val="auto"/>
              </w:rPr>
              <w:t>(Principal Financial Officer and Principal</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368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680" w:type="dxa"/>
            <w:vAlign w:val="bottom"/>
          </w:tcPr>
          <w:p>
            <w:pPr>
              <w:jc w:val="center"/>
              <w:spacing w:after="0"/>
              <w:rPr>
                <w:sz w:val="20"/>
                <w:szCs w:val="20"/>
                <w:color w:val="auto"/>
              </w:rPr>
            </w:pPr>
            <w:r>
              <w:rPr>
                <w:rFonts w:ascii="Arial" w:cs="Arial" w:eastAsia="Arial" w:hAnsi="Arial"/>
                <w:sz w:val="17"/>
                <w:szCs w:val="17"/>
                <w:color w:val="auto"/>
                <w:w w:val="99"/>
              </w:rPr>
              <w:t>Frank Ruffo</w:t>
            </w:r>
          </w:p>
        </w:tc>
        <w:tc>
          <w:tcPr>
            <w:tcW w:w="4240" w:type="dxa"/>
            <w:vAlign w:val="bottom"/>
          </w:tcPr>
          <w:p>
            <w:pPr>
              <w:ind w:left="140"/>
              <w:spacing w:after="0"/>
              <w:rPr>
                <w:sz w:val="20"/>
                <w:szCs w:val="20"/>
                <w:color w:val="auto"/>
              </w:rPr>
            </w:pPr>
            <w:r>
              <w:rPr>
                <w:rFonts w:ascii="Arial" w:cs="Arial" w:eastAsia="Arial" w:hAnsi="Arial"/>
                <w:sz w:val="17"/>
                <w:szCs w:val="17"/>
                <w:i w:val="1"/>
                <w:iCs w:val="1"/>
                <w:color w:val="auto"/>
              </w:rPr>
              <w:t>Accounting Officer)</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680" w:type="dxa"/>
            <w:vAlign w:val="bottom"/>
          </w:tcPr>
          <w:p>
            <w:pPr>
              <w:spacing w:after="0"/>
              <w:rPr>
                <w:sz w:val="24"/>
                <w:szCs w:val="24"/>
                <w:color w:val="auto"/>
              </w:rPr>
            </w:pPr>
          </w:p>
        </w:tc>
        <w:tc>
          <w:tcPr>
            <w:tcW w:w="4240" w:type="dxa"/>
            <w:vAlign w:val="bottom"/>
          </w:tcPr>
          <w:p>
            <w:pPr>
              <w:ind w:left="140"/>
              <w:spacing w:after="0"/>
              <w:rPr>
                <w:sz w:val="20"/>
                <w:szCs w:val="20"/>
                <w:color w:val="auto"/>
              </w:rPr>
            </w:pPr>
            <w:r>
              <w:rPr>
                <w:rFonts w:ascii="Arial" w:cs="Arial" w:eastAsia="Arial" w:hAnsi="Arial"/>
                <w:sz w:val="17"/>
                <w:szCs w:val="17"/>
                <w:color w:val="auto"/>
              </w:rPr>
              <w:t>Chairman of the Board of Directors</w:t>
            </w:r>
          </w:p>
        </w:tc>
        <w:tc>
          <w:tcPr>
            <w:tcW w:w="104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r>
        <w:trPr>
          <w:trHeight w:val="81"/>
        </w:trPr>
        <w:tc>
          <w:tcPr>
            <w:tcW w:w="368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3680" w:type="dxa"/>
            <w:vAlign w:val="bottom"/>
          </w:tcPr>
          <w:p>
            <w:pPr>
              <w:jc w:val="center"/>
              <w:spacing w:after="0"/>
              <w:rPr>
                <w:sz w:val="20"/>
                <w:szCs w:val="20"/>
                <w:color w:val="auto"/>
              </w:rPr>
            </w:pPr>
            <w:r>
              <w:rPr>
                <w:rFonts w:ascii="Arial" w:cs="Arial" w:eastAsia="Arial" w:hAnsi="Arial"/>
                <w:sz w:val="17"/>
                <w:szCs w:val="17"/>
                <w:color w:val="auto"/>
              </w:rPr>
              <w:t>Stephen A. Tullman</w:t>
            </w:r>
          </w:p>
        </w:tc>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680" w:type="dxa"/>
            <w:vAlign w:val="bottom"/>
          </w:tcPr>
          <w:p>
            <w:pPr>
              <w:spacing w:after="0"/>
              <w:rPr>
                <w:sz w:val="24"/>
                <w:szCs w:val="24"/>
                <w:color w:val="auto"/>
              </w:rPr>
            </w:pPr>
          </w:p>
        </w:tc>
        <w:tc>
          <w:tcPr>
            <w:tcW w:w="4240" w:type="dxa"/>
            <w:vAlign w:val="bottom"/>
          </w:tcPr>
          <w:p>
            <w:pPr>
              <w:ind w:left="140"/>
              <w:spacing w:after="0"/>
              <w:rPr>
                <w:sz w:val="20"/>
                <w:szCs w:val="20"/>
                <w:color w:val="auto"/>
              </w:rPr>
            </w:pPr>
            <w:r>
              <w:rPr>
                <w:rFonts w:ascii="Arial" w:cs="Arial" w:eastAsia="Arial" w:hAnsi="Arial"/>
                <w:sz w:val="17"/>
                <w:szCs w:val="17"/>
                <w:color w:val="auto"/>
              </w:rPr>
              <w:t>Director</w:t>
            </w:r>
          </w:p>
        </w:tc>
        <w:tc>
          <w:tcPr>
            <w:tcW w:w="1040" w:type="dxa"/>
            <w:vAlign w:val="bottom"/>
          </w:tcPr>
          <w:p>
            <w:pPr>
              <w:jc w:val="right"/>
              <w:spacing w:after="0"/>
              <w:rPr>
                <w:sz w:val="20"/>
                <w:szCs w:val="20"/>
                <w:color w:val="auto"/>
              </w:rPr>
            </w:pPr>
            <w:r>
              <w:rPr>
                <w:rFonts w:ascii="Arial" w:cs="Arial" w:eastAsia="Arial" w:hAnsi="Arial"/>
                <w:sz w:val="17"/>
                <w:szCs w:val="17"/>
                <w:color w:val="auto"/>
              </w:rPr>
              <w:t>,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51435</wp:posOffset>
            </wp:positionV>
            <wp:extent cx="23310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156"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Albert Cha, M.D., Ph.D.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6" w:lineRule="exact"/>
        <w:rPr>
          <w:sz w:val="20"/>
          <w:szCs w:val="20"/>
          <w:color w:val="auto"/>
        </w:rPr>
      </w:pPr>
    </w:p>
    <w:p>
      <w:pPr>
        <w:ind w:left="2680"/>
        <w:spacing w:after="0"/>
        <w:tabs>
          <w:tab w:leader="none" w:pos="6620" w:val="left"/>
          <w:tab w:leader="none" w:pos="9340" w:val="left"/>
        </w:tabs>
        <w:rPr>
          <w:sz w:val="20"/>
          <w:szCs w:val="20"/>
          <w:color w:val="auto"/>
        </w:rPr>
      </w:pPr>
      <w:r>
        <w:rPr>
          <w:rFonts w:ascii="Arial" w:cs="Arial" w:eastAsia="Arial" w:hAnsi="Arial"/>
          <w:sz w:val="14"/>
          <w:szCs w:val="14"/>
          <w:b w:val="1"/>
          <w:bCs w:val="1"/>
          <w:u w:val="single" w:color="auto"/>
          <w:color w:val="auto"/>
        </w:rPr>
        <w:t>Signatur</w:t>
      </w:r>
      <w:r>
        <w:rPr>
          <w:rFonts w:ascii="Arial" w:cs="Arial" w:eastAsia="Arial" w:hAnsi="Arial"/>
          <w:sz w:val="14"/>
          <w:szCs w:val="14"/>
          <w:b w:val="1"/>
          <w:bCs w:val="1"/>
          <w:color w:val="auto"/>
        </w:rPr>
        <w:t>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760" w:type="dxa"/>
            <w:vAlign w:val="bottom"/>
          </w:tcPr>
          <w:p>
            <w:pPr>
              <w:ind w:left="140"/>
              <w:spacing w:after="0"/>
              <w:rPr>
                <w:sz w:val="20"/>
                <w:szCs w:val="20"/>
                <w:color w:val="auto"/>
              </w:rPr>
            </w:pPr>
            <w:r>
              <w:rPr>
                <w:rFonts w:ascii="Arial" w:cs="Arial" w:eastAsia="Arial" w:hAnsi="Arial"/>
                <w:sz w:val="17"/>
                <w:szCs w:val="17"/>
                <w:color w:val="auto"/>
              </w:rPr>
              <w:t>Director</w:t>
            </w:r>
          </w:p>
        </w:tc>
        <w:tc>
          <w:tcPr>
            <w:tcW w:w="5840" w:type="dxa"/>
            <w:vAlign w:val="bottom"/>
          </w:tcPr>
          <w:p>
            <w:pPr>
              <w:jc w:val="right"/>
              <w:ind w:right="123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584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440" w:type="dxa"/>
            <w:vAlign w:val="bottom"/>
            <w:gridSpan w:val="2"/>
          </w:tcPr>
          <w:p>
            <w:pPr>
              <w:jc w:val="center"/>
              <w:ind w:right="695"/>
              <w:spacing w:after="0"/>
              <w:rPr>
                <w:sz w:val="20"/>
                <w:szCs w:val="20"/>
                <w:color w:val="auto"/>
              </w:rPr>
            </w:pPr>
            <w:r>
              <w:rPr>
                <w:rFonts w:ascii="Arial" w:cs="Arial" w:eastAsia="Arial" w:hAnsi="Arial"/>
                <w:sz w:val="17"/>
                <w:szCs w:val="17"/>
                <w:color w:val="auto"/>
              </w:rPr>
              <w:t>Ketan Patel, M.D.</w:t>
            </w:r>
          </w:p>
        </w:tc>
        <w:tc>
          <w:tcPr>
            <w:tcW w:w="5840" w:type="dxa"/>
            <w:vAlign w:val="bottom"/>
          </w:tcPr>
          <w:p>
            <w:pPr>
              <w:spacing w:after="0"/>
              <w:rPr>
                <w:sz w:val="24"/>
                <w:szCs w:val="24"/>
                <w:color w:val="auto"/>
              </w:rPr>
            </w:pPr>
          </w:p>
        </w:tc>
      </w:tr>
      <w:tr>
        <w:trPr>
          <w:trHeight w:val="43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17"/>
                <w:szCs w:val="17"/>
                <w:color w:val="auto"/>
              </w:rPr>
              <w:t>Director</w:t>
            </w:r>
          </w:p>
        </w:tc>
        <w:tc>
          <w:tcPr>
            <w:tcW w:w="5840" w:type="dxa"/>
            <w:vAlign w:val="bottom"/>
          </w:tcPr>
          <w:p>
            <w:pPr>
              <w:jc w:val="right"/>
              <w:ind w:right="123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584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440" w:type="dxa"/>
            <w:vAlign w:val="bottom"/>
            <w:gridSpan w:val="2"/>
          </w:tcPr>
          <w:p>
            <w:pPr>
              <w:jc w:val="center"/>
              <w:ind w:right="695"/>
              <w:spacing w:after="0"/>
              <w:rPr>
                <w:sz w:val="20"/>
                <w:szCs w:val="20"/>
                <w:color w:val="auto"/>
              </w:rPr>
            </w:pPr>
            <w:r>
              <w:rPr>
                <w:rFonts w:ascii="Arial" w:cs="Arial" w:eastAsia="Arial" w:hAnsi="Arial"/>
                <w:sz w:val="17"/>
                <w:szCs w:val="17"/>
                <w:color w:val="auto"/>
                <w:w w:val="99"/>
              </w:rPr>
              <w:t>Christopher Molineaux</w:t>
            </w:r>
          </w:p>
        </w:tc>
        <w:tc>
          <w:tcPr>
            <w:tcW w:w="5840" w:type="dxa"/>
            <w:vAlign w:val="bottom"/>
          </w:tcPr>
          <w:p>
            <w:pPr>
              <w:spacing w:after="0"/>
              <w:rPr>
                <w:sz w:val="24"/>
                <w:szCs w:val="24"/>
                <w:color w:val="auto"/>
              </w:rPr>
            </w:pPr>
          </w:p>
        </w:tc>
      </w:tr>
      <w:tr>
        <w:trPr>
          <w:trHeight w:val="43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17"/>
                <w:szCs w:val="17"/>
                <w:color w:val="auto"/>
              </w:rPr>
              <w:t>Director</w:t>
            </w:r>
          </w:p>
        </w:tc>
        <w:tc>
          <w:tcPr>
            <w:tcW w:w="5840" w:type="dxa"/>
            <w:vAlign w:val="bottom"/>
          </w:tcPr>
          <w:p>
            <w:pPr>
              <w:jc w:val="right"/>
              <w:ind w:right="1235"/>
              <w:spacing w:after="0"/>
              <w:rPr>
                <w:sz w:val="20"/>
                <w:szCs w:val="20"/>
                <w:color w:val="auto"/>
              </w:rPr>
            </w:pPr>
            <w:r>
              <w:rPr>
                <w:rFonts w:ascii="Arial" w:cs="Arial" w:eastAsia="Arial" w:hAnsi="Arial"/>
                <w:sz w:val="17"/>
                <w:szCs w:val="17"/>
                <w:color w:val="auto"/>
              </w:rPr>
              <w:t>, 2015</w:t>
            </w: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5840" w:type="dxa"/>
            <w:vAlign w:val="bottom"/>
          </w:tcPr>
          <w:p>
            <w:pPr>
              <w:spacing w:after="0"/>
              <w:rPr>
                <w:sz w:val="7"/>
                <w:szCs w:val="7"/>
                <w:color w:val="auto"/>
              </w:rPr>
            </w:pPr>
          </w:p>
        </w:tc>
      </w:tr>
      <w:tr>
        <w:trPr>
          <w:trHeight w:val="279"/>
        </w:trPr>
        <w:tc>
          <w:tcPr>
            <w:tcW w:w="1140" w:type="dxa"/>
            <w:vAlign w:val="bottom"/>
          </w:tcPr>
          <w:p>
            <w:pPr>
              <w:spacing w:after="0"/>
              <w:rPr>
                <w:sz w:val="24"/>
                <w:szCs w:val="24"/>
                <w:color w:val="auto"/>
              </w:rPr>
            </w:pPr>
          </w:p>
        </w:tc>
        <w:tc>
          <w:tcPr>
            <w:tcW w:w="4440" w:type="dxa"/>
            <w:vAlign w:val="bottom"/>
            <w:gridSpan w:val="2"/>
          </w:tcPr>
          <w:p>
            <w:pPr>
              <w:jc w:val="center"/>
              <w:ind w:right="675"/>
              <w:spacing w:after="0"/>
              <w:rPr>
                <w:sz w:val="20"/>
                <w:szCs w:val="20"/>
                <w:color w:val="auto"/>
              </w:rPr>
            </w:pPr>
            <w:r>
              <w:rPr>
                <w:rFonts w:ascii="Arial" w:cs="Arial" w:eastAsia="Arial" w:hAnsi="Arial"/>
                <w:sz w:val="17"/>
                <w:szCs w:val="17"/>
                <w:color w:val="auto"/>
              </w:rPr>
              <w:t>Anand Mehra, M.D.</w:t>
            </w:r>
          </w:p>
        </w:tc>
        <w:tc>
          <w:tcPr>
            <w:tcW w:w="5840" w:type="dxa"/>
            <w:vAlign w:val="bottom"/>
          </w:tcPr>
          <w:p>
            <w:pPr>
              <w:spacing w:after="0"/>
              <w:rPr>
                <w:sz w:val="24"/>
                <w:szCs w:val="24"/>
                <w:color w:val="auto"/>
              </w:rPr>
            </w:pPr>
          </w:p>
        </w:tc>
      </w:tr>
      <w:tr>
        <w:trPr>
          <w:trHeight w:val="406"/>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40" w:type="dxa"/>
            <w:vAlign w:val="bottom"/>
          </w:tcPr>
          <w:p>
            <w:pPr>
              <w:jc w:val="right"/>
              <w:ind w:right="5495"/>
              <w:spacing w:after="0"/>
              <w:rPr>
                <w:sz w:val="20"/>
                <w:szCs w:val="20"/>
                <w:color w:val="auto"/>
              </w:rPr>
            </w:pPr>
            <w:r>
              <w:rPr>
                <w:rFonts w:ascii="Arial" w:cs="Arial" w:eastAsia="Arial" w:hAnsi="Arial"/>
                <w:sz w:val="17"/>
                <w:szCs w:val="17"/>
                <w:color w:val="auto"/>
                <w:w w:val="97"/>
              </w:rPr>
              <w:t>II-5</w:t>
            </w:r>
          </w:p>
        </w:tc>
      </w:tr>
      <w:tr>
        <w:trPr>
          <w:trHeight w:val="209"/>
        </w:trPr>
        <w:tc>
          <w:tcPr>
            <w:tcW w:w="114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58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00" w:type="dxa"/>
            <w:vAlign w:val="bottom"/>
          </w:tcPr>
          <w:p>
            <w:pPr>
              <w:ind w:left="3120"/>
              <w:spacing w:after="0"/>
              <w:rPr>
                <w:sz w:val="20"/>
                <w:szCs w:val="20"/>
                <w:color w:val="auto"/>
              </w:rPr>
            </w:pPr>
            <w:r>
              <w:rPr>
                <w:rFonts w:ascii="Arial" w:cs="Arial" w:eastAsia="Arial" w:hAnsi="Arial"/>
                <w:sz w:val="17"/>
                <w:szCs w:val="17"/>
                <w:b w:val="1"/>
                <w:bCs w:val="1"/>
                <w:color w:val="auto"/>
              </w:rPr>
              <w:t>EXHIBIT INDEX</w:t>
            </w:r>
          </w:p>
        </w:tc>
      </w:tr>
      <w:tr>
        <w:trPr>
          <w:trHeight w:val="345"/>
        </w:trPr>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300" w:type="dxa"/>
            <w:vAlign w:val="bottom"/>
          </w:tcPr>
          <w:p>
            <w:pPr>
              <w:spacing w:after="0"/>
              <w:rPr>
                <w:sz w:val="24"/>
                <w:szCs w:val="24"/>
                <w:color w:val="auto"/>
              </w:rPr>
            </w:pPr>
          </w:p>
        </w:tc>
      </w:tr>
      <w:tr>
        <w:trPr>
          <w:trHeight w:val="169"/>
        </w:trPr>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830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Description of Document</w:t>
            </w:r>
          </w:p>
        </w:tc>
      </w:tr>
      <w:tr>
        <w:trPr>
          <w:trHeight w:val="200"/>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1.1†</w:t>
            </w:r>
          </w:p>
        </w:tc>
        <w:tc>
          <w:tcPr>
            <w:tcW w:w="8300" w:type="dxa"/>
            <w:vAlign w:val="bottom"/>
          </w:tcPr>
          <w:p>
            <w:pPr>
              <w:spacing w:after="0"/>
              <w:rPr>
                <w:sz w:val="20"/>
                <w:szCs w:val="20"/>
                <w:color w:val="auto"/>
              </w:rPr>
            </w:pPr>
            <w:r>
              <w:rPr>
                <w:rFonts w:ascii="Arial" w:cs="Arial" w:eastAsia="Arial" w:hAnsi="Arial"/>
                <w:sz w:val="17"/>
                <w:szCs w:val="17"/>
                <w:color w:val="auto"/>
              </w:rPr>
              <w:t>Form of Underwriting Agreement.</w:t>
            </w:r>
          </w:p>
        </w:tc>
      </w:tr>
      <w:tr>
        <w:trPr>
          <w:trHeight w:val="622"/>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3.1</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Second Amended and Restated Certificate of Incorporation, as currently in effect.</w:t>
            </w:r>
          </w:p>
        </w:tc>
      </w:tr>
      <w:tr>
        <w:trPr>
          <w:trHeight w:val="433"/>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Form of Certificate of Amendment of Certificate of Incorporation to be filed prior to the closing of this offering.</w:t>
            </w:r>
          </w:p>
        </w:tc>
      </w:tr>
      <w:tr>
        <w:trPr>
          <w:trHeight w:val="433"/>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3.3</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Form of Amended and Restated Certificate of Incorporation to be effective upon the closing of this offering.</w:t>
            </w:r>
          </w:p>
        </w:tc>
      </w:tr>
      <w:tr>
        <w:trPr>
          <w:trHeight w:val="433"/>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3.4</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Bylaws, as currently in effect.</w:t>
            </w:r>
          </w:p>
        </w:tc>
      </w:tr>
      <w:tr>
        <w:trPr>
          <w:trHeight w:val="433"/>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3.5</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Form of Amended and Restated Bylaws to be effective upon closing of this offering.</w:t>
            </w:r>
          </w:p>
        </w:tc>
      </w:tr>
      <w:tr>
        <w:trPr>
          <w:trHeight w:val="433"/>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Specimen stock certificate evidencing shares of Common Stock.</w:t>
            </w:r>
          </w:p>
        </w:tc>
      </w:tr>
      <w:tr>
        <w:trPr>
          <w:trHeight w:val="433"/>
        </w:trPr>
        <w:tc>
          <w:tcPr>
            <w:tcW w:w="820" w:type="dxa"/>
            <w:vAlign w:val="bottom"/>
            <w:gridSpan w:val="2"/>
          </w:tcPr>
          <w:p>
            <w:pPr>
              <w:ind w:left="40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p>
        </w:tc>
        <w:tc>
          <w:tcPr>
            <w:tcW w:w="8300" w:type="dxa"/>
            <w:vAlign w:val="bottom"/>
          </w:tcPr>
          <w:p>
            <w:pPr>
              <w:spacing w:after="0"/>
              <w:rPr>
                <w:sz w:val="20"/>
                <w:szCs w:val="20"/>
                <w:color w:val="auto"/>
              </w:rPr>
            </w:pPr>
            <w:r>
              <w:rPr>
                <w:rFonts w:ascii="Arial" w:cs="Arial" w:eastAsia="Arial" w:hAnsi="Arial"/>
                <w:sz w:val="17"/>
                <w:szCs w:val="17"/>
                <w:color w:val="auto"/>
              </w:rPr>
              <w:t>Opinion of Cooley LLP as to legality.</w:t>
            </w:r>
          </w:p>
        </w:tc>
      </w:tr>
    </w:tbl>
    <w:p>
      <w:pPr>
        <w:ind w:left="1960" w:right="140" w:hanging="527"/>
        <w:spacing w:after="0" w:line="180" w:lineRule="auto"/>
        <w:rPr>
          <w:sz w:val="20"/>
          <w:szCs w:val="20"/>
          <w:color w:val="auto"/>
        </w:rPr>
      </w:pPr>
      <w:r>
        <w:rPr>
          <w:rFonts w:ascii="Arial" w:cs="Arial" w:eastAsia="Arial" w:hAnsi="Arial"/>
          <w:sz w:val="17"/>
          <w:szCs w:val="17"/>
          <w:color w:val="auto"/>
        </w:rPr>
        <w:t>10.1</w:t>
      </w:r>
      <w:r>
        <w:rPr>
          <w:rFonts w:ascii="Arial" w:cs="Arial" w:eastAsia="Arial" w:hAnsi="Arial"/>
          <w:sz w:val="34"/>
          <w:szCs w:val="34"/>
          <w:color w:val="auto"/>
          <w:vertAlign w:val="superscript"/>
        </w:rPr>
        <w:t>†#</w:t>
      </w:r>
      <w:r>
        <w:rPr>
          <w:rFonts w:ascii="Arial" w:cs="Arial" w:eastAsia="Arial" w:hAnsi="Arial"/>
          <w:sz w:val="17"/>
          <w:szCs w:val="17"/>
          <w:color w:val="auto"/>
        </w:rPr>
        <w:t>Clinical and Commercial Supply Agreement, by and between the Registrant and PeroxyChem LLC, dated as of August 6, 2014.</w:t>
      </w:r>
    </w:p>
    <w:p>
      <w:pPr>
        <w:spacing w:after="0" w:line="189" w:lineRule="exact"/>
        <w:rPr>
          <w:sz w:val="20"/>
          <w:szCs w:val="20"/>
          <w:color w:val="auto"/>
        </w:rPr>
      </w:pPr>
    </w:p>
    <w:p>
      <w:pPr>
        <w:ind w:left="1960" w:right="680" w:hanging="527"/>
        <w:spacing w:after="0" w:line="180" w:lineRule="auto"/>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r>
        <w:rPr>
          <w:rFonts w:ascii="Arial" w:cs="Arial" w:eastAsia="Arial" w:hAnsi="Arial"/>
          <w:sz w:val="17"/>
          <w:szCs w:val="17"/>
          <w:color w:val="auto"/>
        </w:rPr>
        <w:t>Services Agreement, by and between the Registrant and NST, LLC, dated as of February 5, 2014, as amended on December 19, 2014.</w:t>
      </w:r>
    </w:p>
    <w:p>
      <w:pPr>
        <w:spacing w:after="0" w:line="189" w:lineRule="exact"/>
        <w:rPr>
          <w:sz w:val="20"/>
          <w:szCs w:val="20"/>
          <w:color w:val="auto"/>
        </w:rPr>
      </w:pPr>
    </w:p>
    <w:p>
      <w:pPr>
        <w:ind w:left="1960" w:right="100" w:hanging="527"/>
        <w:spacing w:after="0" w:line="180" w:lineRule="auto"/>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r>
        <w:rPr>
          <w:rFonts w:ascii="Arial" w:cs="Arial" w:eastAsia="Arial" w:hAnsi="Arial"/>
          <w:sz w:val="17"/>
          <w:szCs w:val="17"/>
          <w:color w:val="auto"/>
        </w:rPr>
        <w:t>Assignment Agreement, by and between the Registrant and Mickey J. Miller, II, as personal representative of the estate of Mickey J. Miller, dated as of August 20, 2012.</w:t>
      </w:r>
    </w:p>
    <w:p>
      <w:pPr>
        <w:spacing w:after="0" w:line="189" w:lineRule="exact"/>
        <w:rPr>
          <w:sz w:val="20"/>
          <w:szCs w:val="20"/>
          <w:color w:val="auto"/>
        </w:rPr>
      </w:pPr>
    </w:p>
    <w:p>
      <w:pPr>
        <w:ind w:left="1960" w:right="800" w:hanging="527"/>
        <w:spacing w:after="0" w:line="180" w:lineRule="auto"/>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r>
        <w:rPr>
          <w:rFonts w:ascii="Arial" w:cs="Arial" w:eastAsia="Arial" w:hAnsi="Arial"/>
          <w:sz w:val="17"/>
          <w:szCs w:val="17"/>
          <w:color w:val="auto"/>
        </w:rPr>
        <w:t>Finder's Services Agreement, by and between the Registrant and KPT Consulting, LLC, dated as of August 25, 2012.</w:t>
      </w:r>
    </w:p>
    <w:p>
      <w:pPr>
        <w:spacing w:after="0" w:line="189" w:lineRule="exact"/>
        <w:rPr>
          <w:sz w:val="20"/>
          <w:szCs w:val="20"/>
          <w:color w:val="auto"/>
        </w:rPr>
      </w:pPr>
    </w:p>
    <w:p>
      <w:pPr>
        <w:ind w:left="1960" w:right="340" w:hanging="527"/>
        <w:spacing w:after="0" w:line="180" w:lineRule="auto"/>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Amended and Restated Investors' Rights Agreement, dated as of September 30, 2014, by and among the Registrant and certain of its stockholders.</w:t>
      </w:r>
    </w:p>
    <w:p>
      <w:pPr>
        <w:spacing w:after="0" w:line="3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10.6</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Amended and Restated Sublease, by and between the Registrant and NeXeption, Inc., dated as of March 3,</w:t>
      </w:r>
    </w:p>
    <w:p>
      <w:pPr>
        <w:ind w:left="1960"/>
        <w:spacing w:after="0"/>
        <w:rPr>
          <w:sz w:val="20"/>
          <w:szCs w:val="20"/>
          <w:color w:val="auto"/>
        </w:rPr>
      </w:pPr>
      <w:r>
        <w:rPr>
          <w:rFonts w:ascii="Arial" w:cs="Arial" w:eastAsia="Arial" w:hAnsi="Arial"/>
          <w:sz w:val="17"/>
          <w:szCs w:val="17"/>
          <w:color w:val="auto"/>
        </w:rPr>
        <w:t>2014, as amended on December 2, 2014.</w:t>
      </w:r>
    </w:p>
    <w:p>
      <w:pPr>
        <w:spacing w:after="0" w:line="1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Amended and Restated 2012 Equity Compensation Plan, as currently in effect.</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Stock Option Grant under Amended and Restated 2012 Equity Compensation Plan.</w:t>
      </w:r>
    </w:p>
    <w:p>
      <w:pPr>
        <w:spacing w:after="0" w:line="4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r>
        <w:rPr>
          <w:rFonts w:ascii="Arial" w:cs="Arial" w:eastAsia="Arial" w:hAnsi="Arial"/>
          <w:sz w:val="17"/>
          <w:szCs w:val="17"/>
          <w:color w:val="auto"/>
        </w:rPr>
        <w:t>Form of 2015 Equity Incentive Plan.</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r>
        <w:rPr>
          <w:rFonts w:ascii="Arial" w:cs="Arial" w:eastAsia="Arial" w:hAnsi="Arial"/>
          <w:sz w:val="17"/>
          <w:szCs w:val="17"/>
          <w:color w:val="auto"/>
        </w:rPr>
        <w:t>Form of Stock Option Grant Notice and Stock Option Agreement under 2015 Equity Incentive Plan.</w:t>
      </w:r>
    </w:p>
    <w:p>
      <w:pPr>
        <w:spacing w:after="0" w:line="42" w:lineRule="exact"/>
        <w:rPr>
          <w:sz w:val="20"/>
          <w:szCs w:val="20"/>
          <w:color w:val="auto"/>
        </w:rPr>
      </w:pPr>
    </w:p>
    <w:p>
      <w:pPr>
        <w:ind w:left="1960" w:right="260" w:hanging="622"/>
        <w:spacing w:after="0" w:line="180" w:lineRule="auto"/>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r>
        <w:rPr>
          <w:rFonts w:ascii="Arial" w:cs="Arial" w:eastAsia="Arial" w:hAnsi="Arial"/>
          <w:sz w:val="17"/>
          <w:szCs w:val="17"/>
          <w:color w:val="auto"/>
        </w:rPr>
        <w:t>Form of Restricted Stock Unit Grant Notice and Restricted Stock Unit Award Agreement under 2015 Equity Incentive Plan.</w:t>
      </w:r>
    </w:p>
    <w:p>
      <w:pPr>
        <w:spacing w:after="0" w:line="18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10.12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Indemnification Agreement.</w:t>
      </w:r>
    </w:p>
    <w:p>
      <w:pPr>
        <w:spacing w:after="0" w:line="42" w:lineRule="exact"/>
        <w:rPr>
          <w:sz w:val="20"/>
          <w:szCs w:val="20"/>
          <w:color w:val="auto"/>
        </w:rPr>
      </w:pPr>
    </w:p>
    <w:p>
      <w:pPr>
        <w:ind w:left="1960" w:right="580" w:hanging="622"/>
        <w:spacing w:after="0" w:line="180" w:lineRule="auto"/>
        <w:rPr>
          <w:sz w:val="20"/>
          <w:szCs w:val="20"/>
          <w:color w:val="auto"/>
        </w:rPr>
      </w:pPr>
      <w:r>
        <w:rPr>
          <w:rFonts w:ascii="Arial" w:cs="Arial" w:eastAsia="Arial" w:hAnsi="Arial"/>
          <w:sz w:val="17"/>
          <w:szCs w:val="17"/>
          <w:color w:val="auto"/>
        </w:rPr>
        <w:t>10.13</w:t>
      </w:r>
      <w:r>
        <w:rPr>
          <w:rFonts w:ascii="Arial" w:cs="Arial" w:eastAsia="Arial" w:hAnsi="Arial"/>
          <w:sz w:val="34"/>
          <w:szCs w:val="34"/>
          <w:color w:val="auto"/>
          <w:vertAlign w:val="superscript"/>
        </w:rPr>
        <w:t>+†</w:t>
      </w:r>
      <w:r>
        <w:rPr>
          <w:rFonts w:ascii="Arial" w:cs="Arial" w:eastAsia="Arial" w:hAnsi="Arial"/>
          <w:sz w:val="17"/>
          <w:szCs w:val="17"/>
          <w:color w:val="auto"/>
        </w:rPr>
        <w:t>Form of Employment Agreement with Named Executive Officers to be effective upon the closing of this offering.</w:t>
      </w: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PricewaterhouseCoopers LLP, independent registered public accounting firm.</w:t>
      </w:r>
    </w:p>
    <w:p>
      <w:pPr>
        <w:spacing w:after="0" w:line="200" w:lineRule="exact"/>
        <w:rPr>
          <w:sz w:val="20"/>
          <w:szCs w:val="20"/>
          <w:color w:val="auto"/>
        </w:rPr>
      </w:pPr>
    </w:p>
    <w:p>
      <w:pPr>
        <w:spacing w:after="0" w:line="28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79" w:name="page180"/>
    <w:bookmarkEnd w:id="1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100"/>
          </w:cols>
          <w:pgMar w:left="240" w:top="143" w:right="559" w:bottom="1440" w:gutter="0" w:footer="0" w:header="0"/>
        </w:sectPr>
      </w:pP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1200"/>
        <w:spacing w:after="0"/>
        <w:rPr>
          <w:sz w:val="20"/>
          <w:szCs w:val="20"/>
          <w:color w:val="auto"/>
        </w:rPr>
      </w:pPr>
      <w:r>
        <w:rPr>
          <w:rFonts w:ascii="Arial" w:cs="Arial" w:eastAsia="Arial" w:hAnsi="Arial"/>
          <w:sz w:val="13"/>
          <w:szCs w:val="13"/>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12065</wp:posOffset>
            </wp:positionV>
            <wp:extent cx="53028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02885" cy="825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4560" w:space="720"/>
            <w:col w:w="5820"/>
          </w:cols>
          <w:pgMar w:left="240" w:top="143" w:right="559" w:bottom="1440" w:gutter="0" w:footer="0" w:header="0"/>
          <w:type w:val="continuous"/>
        </w:sectPr>
      </w:pPr>
    </w:p>
    <w:p>
      <w:pPr>
        <w:ind w:left="1440"/>
        <w:spacing w:after="0"/>
        <w:rPr>
          <w:sz w:val="20"/>
          <w:szCs w:val="20"/>
          <w:color w:val="auto"/>
        </w:rPr>
      </w:pPr>
      <w:r>
        <w:rPr>
          <w:rFonts w:ascii="Arial" w:cs="Arial" w:eastAsia="Arial" w:hAnsi="Arial"/>
          <w:sz w:val="17"/>
          <w:szCs w:val="17"/>
          <w:color w:val="auto"/>
        </w:rPr>
        <w:t>23.2† Consent of Cooley LLP (included in Exhibit 5.1).</w:t>
      </w:r>
    </w:p>
    <w:p>
      <w:pPr>
        <w:spacing w:after="0" w:line="237"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7"/>
          <w:szCs w:val="17"/>
          <w:color w:val="auto"/>
        </w:rPr>
        <w:t>24.1</w:t>
        <w:tab/>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65405</wp:posOffset>
            </wp:positionV>
            <wp:extent cx="1523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10" w:lineRule="exact"/>
        <w:rPr>
          <w:sz w:val="20"/>
          <w:szCs w:val="20"/>
          <w:color w:val="auto"/>
        </w:rPr>
      </w:pPr>
    </w:p>
    <w:p>
      <w:pPr>
        <w:ind w:left="1680" w:hanging="533"/>
        <w:spacing w:after="0"/>
        <w:tabs>
          <w:tab w:leader="none" w:pos="16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5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Previously submitted.</w:t>
      </w:r>
    </w:p>
    <w:p>
      <w:pPr>
        <w:spacing w:after="0" w:line="153"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Indicates management contract or compensatory plan.</w:t>
      </w:r>
    </w:p>
    <w:p>
      <w:pPr>
        <w:spacing w:after="0" w:line="154" w:lineRule="exact"/>
        <w:rPr>
          <w:sz w:val="20"/>
          <w:szCs w:val="20"/>
          <w:color w:val="auto"/>
        </w:rPr>
      </w:pPr>
    </w:p>
    <w:p>
      <w:pPr>
        <w:ind w:left="1680" w:hanging="533"/>
        <w:spacing w:after="0" w:line="245" w:lineRule="auto"/>
        <w:tabs>
          <w:tab w:leader="none" w:pos="16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have been separately filed with the Securities and Exchange Commission.</w:t>
      </w:r>
    </w:p>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1)"/>
      <w:numFmt w:val="decimal"/>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1."/>
      <w:numFmt w:val="decimal"/>
      <w:start w:val="102"/>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lvl w:ilvl="1">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1)"/>
      <w:numFmt w:val="decimal"/>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1)"/>
      <w:numFmt w:val="lowerRoman"/>
      <w:start w:val="2"/>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1)"/>
      <w:numFmt w:val="decimal"/>
      <w:start w:val="1"/>
    </w:lvl>
    <w:lvl w:ilvl="1">
      <w:lvlJc w:val="left"/>
      <w:lvlText w:val="(%2)"/>
      <w:numFmt w:val="lowerLetter"/>
      <w:start w:val="3"/>
    </w:lvl>
  </w:abstractNum>
  <w:abstractNum w:abstractNumId="82">
    <w:nsid w:val="26F324BA"/>
    <w:multiLevelType w:val="hybridMultilevel"/>
    <w:lvl w:ilvl="0">
      <w:lvlJc w:val="left"/>
      <w:lvlText w:val="%1"/>
      <w:numFmt w:val="decimal"/>
      <w:start w:val="1"/>
    </w:lvl>
    <w:lvl w:ilvl="1">
      <w:lvlJc w:val="left"/>
      <w:lvlText w:val="(%2)"/>
      <w:numFmt w:val="lowerLetter"/>
      <w:start w:val="4"/>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1)"/>
      <w:numFmt w:val="lowerRoman"/>
      <w:start w:val="2"/>
    </w:lvl>
  </w:abstractNum>
  <w:abstractNum w:abstractNumId="99">
    <w:nsid w:val="3FA62ACA"/>
    <w:multiLevelType w:val="hybridMultilevel"/>
    <w:lvl w:ilvl="0">
      <w:lvlJc w:val="left"/>
      <w:lvlText w:val="(%1)"/>
      <w:numFmt w:val="lowerRoman"/>
      <w:start w:val="2"/>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1)"/>
      <w:numFmt w:val="decimal"/>
      <w:start w:val="1"/>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2019-12-09T01:57:02Z</dcterms:created>
  <dcterms:modified xsi:type="dcterms:W3CDTF">2019-12-09T01:57:02Z</dcterms:modified>
</cp:coreProperties>
</file>