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13,950,000.00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ownership is based on 139,663,680 shares outstanding as disclosed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on form DEF 14A filed on 4/23/26.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Aclaris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701 Lee Road, Suite 103, Wayne, Pennsylvania, 19087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65 E Cedar - Suite 2 Zionsville, IN 46077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$0.00001 par value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ectPr>
          <w:pgSz w:w="11900" w:h="16844"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44"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13950000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13950000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4"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ectPr>
          <w:pgSz w:w="11900" w:h="16844" w:orient="portrait"/>
          <w:cols w:equalWidth="0" w:num="1">
            <w:col w:w="11140"/>
          </w:cols>
          <w:pgMar w:left="360" w:top="111" w:right="399" w:bottom="0" w:gutter="0" w:footer="0" w:header="0"/>
          <w:type w:val="continuous"/>
        </w:sectPr>
      </w:pPr>
    </w:p>
    <w:bookmarkStart w:id="3" w:name="page4"/>
    <w:bookmarkEnd w:id="3"/>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3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060"/>
      </w:cols>
      <w:pgMar w:left="320" w:top="11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2026-04-27T18:27:29Z</dcterms:created>
  <dcterms:modified xsi:type="dcterms:W3CDTF">2026-04-27T18:27:29Z</dcterms:modified>
</cp:coreProperties>
</file>