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82026_040601.xml.htm"/>
      <w:bookmarkStart w:id="1" w:name="ksform40608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GOWEN MAXINE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ACLARIS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LEE ROAD, SUITE 103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Aclaris Therapeutics, Inc.</w:t>
              </w:r>
            </w:hyperlink>
            <w:r>
              <w:rPr/>
              <w:t xml:space="preserve"> [ </w:t>
            </w:r>
            <w:r>
              <w:rPr>
                <w:rFonts w:ascii="Times;serif" w:hAnsi="Times;serif"/>
                <w:color w:val="0000FF"/>
                <w:sz w:val="24"/>
                <w:shd w:fill="FFFFFF" w:val="clear"/>
              </w:rPr>
              <w:t>ACRS</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33,334</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42,350</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10,987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10,987</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stock option will vest in twelve equal monthly installments commencing on July 4, 2026, subject to the Reporting Person's Continuous Service (as defined in the Issuer's 2025 Equity Incentive Plan, or the Plan)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was made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these restricted stock units will vest in one installment on June 4, 2027, subject to the Reporting Person's Continuous Service (as defined in the Plan)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these restricted stock units vested on June 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Rothman,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0044" TargetMode="External"/><Relationship Id="rId5" Type="http://schemas.openxmlformats.org/officeDocument/2006/relationships/hyperlink" Target="http://www.sec.gov/cgi-bin/browse-edgar?action=getcompany&amp;CIK=00015577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3935</Characters>
  <CharactersWithSpaces>4579</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