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Aclaris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8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90"/>
              </w:rPr>
              <w:t>001-37581</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46-0571712</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32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9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(Commission File Number)</w:t>
            </w:r>
          </w:p>
        </w:tc>
        <w:tc>
          <w:tcPr>
            <w:tcW w:w="190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(IRS Employer</w:t>
            </w:r>
          </w:p>
        </w:tc>
      </w:tr>
      <w:tr>
        <w:trPr>
          <w:trHeight w:val="230"/>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00" w:type="dxa"/>
            <w:vAlign w:val="bottom"/>
            <w:gridSpan w:val="3"/>
          </w:tcPr>
          <w:p>
            <w:pPr>
              <w:jc w:val="center"/>
              <w:ind w:left="47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640 Lee Road, Suite 200</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0"/>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9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Wayne, PA 19087</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4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9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(484) 324-7933</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94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(Registrant’s telephone number, including area code)</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Title of Each Class:</w:t>
            </w:r>
          </w:p>
        </w:tc>
        <w:tc>
          <w:tcPr>
            <w:tcW w:w="3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$0.00001 par value</w:t>
            </w:r>
          </w:p>
        </w:tc>
        <w:tc>
          <w:tcPr>
            <w:tcW w:w="3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ACRS</w:t>
            </w:r>
          </w:p>
        </w:tc>
        <w:tc>
          <w:tcPr>
            <w:tcW w:w="34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13, 2020, Aclaris Therapeutics, Inc., a Delaware corporation referred to herein as we, us, our or the Company, entered into a purchase agreement, or the Purchase Agreement, with Lincoln Park Capital Fund, LLC, or Lincoln Park, which provides that, upon the terms and subject to the conditions and limitations set forth therein, we may sell to Lincoln Park up to $15,000,000 of shares of our common stock, or the Purchase Shares, from time to time over the 36-month term of the Purchase Agreement. Concurrently with entering into the Purchase Agreement, we also entered into a registration rights agreement with Lincoln Park, or the Registration Rights Agreement, pursuant to which we agreed to register the sale of the shares of our common stock that may be issued to Lincoln Park under the Purchase Agreement pursuant to our existing shelf registration statement on Form S-3 or a new registration statement.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After the Commencement Date (as defined below), on any business day selected by us, if the closing sale price of our common stock on the Nasdaq Global Select Market, or Nasdaq, is not below $0.25, we may direct Lincoln Park to purchase up to 100,000 shares of our common stock on such business day (or the purchase date), which we refer to as a Regular Purchase, provided, however, that (i) a Regular Purchase may be increased to up to 125,000 shares if the closing sale price of our common stock on Nasdaq is not below $1.50 on the applicable purchase date, (ii) a Regular Purchase may be increased to up to 200,000 shares if the closing sale price of our common stock on Nasdaq is not below $2.50 on the applicable purchase date and (iii) a Regular Purchase may be increased to up to 250,000 shares, if the closing sale price of our common stock on Nasdaq is not below $3.00 on the applicable purchase date. In each case, upon the parties’ mutual agreement, the maximum amount of any single Regular Purchase may be increased up to $2,000,000 of shares. We may direct Lincoln Park to purchase shares in Regular Purchases as often as every business day. The foregoing share amounts and per share prices will be adjusted for any reorganization, recapitalization, non-cash dividend, stock split, reverse stock split or other similar transaction occurring after the date of the Purchase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Regular Purchase will be equal to the lesser of:</w:t>
      </w:r>
    </w:p>
    <w:p>
      <w:pPr>
        <w:spacing w:after="0" w:line="225" w:lineRule="exact"/>
        <w:rPr>
          <w:sz w:val="20"/>
          <w:szCs w:val="20"/>
          <w:color w:val="auto"/>
        </w:rPr>
      </w:pPr>
    </w:p>
    <w:p>
      <w:pPr>
        <w:ind w:left="680" w:hanging="33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lowest sale price for our common stock on Nasdaq on the purchase date of such shares; and</w:t>
      </w:r>
    </w:p>
    <w:p>
      <w:pPr>
        <w:spacing w:after="0" w:line="225" w:lineRule="exact"/>
        <w:rPr>
          <w:rFonts w:ascii="Arial" w:cs="Arial" w:eastAsia="Arial" w:hAnsi="Arial"/>
          <w:sz w:val="18"/>
          <w:szCs w:val="18"/>
          <w:color w:val="auto"/>
        </w:rPr>
      </w:pPr>
    </w:p>
    <w:p>
      <w:pPr>
        <w:ind w:left="68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our common stock on Nasdaq during the 10 consecutive business days prior to the purchase date of such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also direct Lincoln Park, on any business day on which we have submitted a Regular Purchase notice for the maximum amount allowed for such Regular Purchase and the closing sale price of our common stock on Nasdaq is not below $0.50, to purchase an additional amount of our common stock, which we refer to as an Accelerated Purchase, of up to the lesser of:</w:t>
      </w:r>
    </w:p>
    <w:p>
      <w:pPr>
        <w:spacing w:after="0" w:line="184" w:lineRule="exact"/>
        <w:rPr>
          <w:sz w:val="20"/>
          <w:szCs w:val="20"/>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times the number of shares purchased pursuant to such Regular Purchase; and</w:t>
      </w:r>
    </w:p>
    <w:p>
      <w:pPr>
        <w:spacing w:after="0" w:line="225" w:lineRule="exact"/>
        <w:rPr>
          <w:rFonts w:ascii="Arial" w:cs="Arial" w:eastAsia="Arial" w:hAnsi="Arial"/>
          <w:sz w:val="18"/>
          <w:szCs w:val="18"/>
          <w:color w:val="auto"/>
        </w:rPr>
      </w:pPr>
    </w:p>
    <w:p>
      <w:pPr>
        <w:jc w:val="both"/>
        <w:ind w:left="680" w:hanging="335"/>
        <w:spacing w:after="0" w:line="259"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of the aggregate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Accelerated Purchase will be equal to 97% of the lower of:</w:t>
      </w:r>
    </w:p>
    <w:p>
      <w:pPr>
        <w:spacing w:after="0" w:line="225" w:lineRule="exact"/>
        <w:rPr>
          <w:sz w:val="20"/>
          <w:szCs w:val="20"/>
          <w:color w:val="auto"/>
        </w:rPr>
      </w:pPr>
    </w:p>
    <w:p>
      <w:pPr>
        <w:ind w:left="680" w:right="20" w:hanging="335"/>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Nasdaq during the applicable Accelerated Purchase Measurement Period on the applicable Accelerated Purchase date; and</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closing sale price of our common stock on Nasdaq on the applicable Accelerated Purchase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We may also direct Lincoln Park on any business day on which an Accelerated Purchase has been completed and all of the shares to be purchased thereunder have been delivered to Lincoln Park in accordance with the Purchase Agreement, provided that the closing price of our common stock on the business day immediately preceding such business day is not below $0.50, to purchase an additional amount of our common stock, which we refer to as an Additional Accelerated Purchase, of up to the lesser of:</w:t>
      </w:r>
    </w:p>
    <w:p>
      <w:pPr>
        <w:spacing w:after="0" w:line="187"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times the number of shares purchased pursuant to the applicable corresponding Regular Purchase; and</w:t>
      </w:r>
    </w:p>
    <w:p>
      <w:pPr>
        <w:spacing w:after="0" w:line="225"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 of the aggregate shares of our common stock traded on Nasdaq during a certain portion of the normal trading hours on the applicable Additional Accelerated Purchase date as determined in accordance with the Purchase Agreement, which period of time on the applicable Additional Accelerated Purchase date we refer to as the Additional Accelerated Purchase Measurement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in our sole discretion, submit multiple Additional Accelerated Purchase notices to Lincoln Park on a single Accelerated Purchase date, provided that all prior Accelerated Purchases and Additional Accelerated Purchases (including those that have occurred earlier on the same day) have been completed and all of the shares to be purchased thereunder have been properly delivered to Lincoln Park in accordance with the Purchase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per share for each such Additional Accelerated Purchase will be equal to 97% of the lower of:</w:t>
      </w:r>
    </w:p>
    <w:p>
      <w:pPr>
        <w:spacing w:after="0" w:line="225" w:lineRule="exact"/>
        <w:rPr>
          <w:sz w:val="20"/>
          <w:szCs w:val="20"/>
          <w:color w:val="auto"/>
        </w:rPr>
      </w:pPr>
    </w:p>
    <w:p>
      <w:pPr>
        <w:ind w:left="680" w:right="20" w:hanging="335"/>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volume-weighted average price of our common stock on Nasdaq during the applicable Additional Accelerated Purchase Measurement Period on the applicable Additional Accelerated Purchase date; and</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closing sale price of our common stock on Nasdaq on the applicable Additional Accelerated Purchase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applicable rules of Nasdaq, in no event may we issue or sell to Lincoln Park under the Purchase Agreement shares of our common stock, including the Commitment Shares described below, in excess of 8,544,555 shares, which is equal to 19.99% of the shares of our common stock outstanding immediately prior to the execution of the Purchase Agreement, or the Exchange Cap, unless (i) we obtain stockholder approval to issue shares of our common stock in excess of the Exchange Cap or (ii) the average price of all applicable sales of our common stock to Lincoln Park under the Purchase Agreement equals or exceeds $2.1912 per share (which represents the average of the official closing prices of our common stock on Nasdaq for the five trading days immediately preceding the signing of the Purchase Agreement), such that the transactions contemplated by the Purchase Agreement are exempt from the Exchange Cap limitation under applicable Nasdaq rules. In any event, the Purchase Agreement specifically provides that we may not issue or sell any shares of our common stock under the Purchase Agreement if such issuance or sale would breach any applicable rules or regulations of Nasdaq.</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Purchase Agreement contains customary representations, warranties, covenants, closing conditions and indemnification and termination provisions. Sales under the Purchase Agreement may commence only after certain conditions have been satisfied, the date on which all requisite conditions have been satisfied is referred to herein as the Commencement Date, which conditions include the delivery to Lincoln Park of a prospectus supplement covering the shares of our common stock issued or sold by us to Lincoln Park under the Purchase Agreement, approval for listing on Nasdaq Global Select Market of the shares of our common stock issued or sold by us to Lincoln Park under the Purchase Agreement, the issuance of 121,584 shares of our common stock to Lincoln Park as Commitment Shares under the Purchase Agreement, and the receipt by Lincoln Park of a customary opinion of counsel and other certificates and closing documents. The Purchase Agreement may be terminated by us at any time, at our sole discretion, without any cost or penalty. Lincoln Park has covenanted not to cause or engage in any manner whatsoever, any direct or indirect short selling or hedging of our common stock. There are no limitations on use of proceeds, financial or business covenants, restrictions on future financings (other than restrictions on our ability to enter into additional “equity line” or similar transactions whereby an investor is irrevocably bound to purchase securities over a period of time from us at a price based on the market price of our common stock at the time of such purchase), rights of first refusal, participation rights, penalties or liquidated damages in the Purchase Agreement. We may deliver Purchase Notices under the Purchase Agreement, subject to market conditions, and in light of our capital needs from time to time and under the limitations contained in the Purchase Agreement. Any proceeds that we receive under the Purchase Agreement are expected to be used for working capital and general corporate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The issuance of the Purchase Shares and Commitment Shares have been registered pursuant to our effective shelf registration statement on Form S-3 (File No. 333-237163), or the Registration Statement, and the related base prospectus included in the Registration Statement, as supplemented by a prospectus supplement filed on August 13, 2020, or the Prospectus Supplement. A copy of the legal opinion as to the legality of the shares of our common stock subject to the Purchase Agreement is filed as Exhibit 5.1 attached hereto.</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is a summary description of certain terms of the Purchase Agreement and the Registration Rights Agreement and, by its nature, is incomplete. Copies of the Purchase Agreement and the Registration Rights Agreement are filed as Exhibits 10.1 and 10.2 attached hereto. The foregoing descriptions of the Purchase Agreement and the Registration Rights Agreement are qualified in their entirety by reference to such exhibits.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Purchase Agreement and Registration Rights Agreement contain customary representations and warranties, covenants and indemnification provisions that the parties made to, and solely for the benefit of, each other in the context of all of the terms and conditions of such agreements and in the context of the specific relationship between the parties thereto. The provisions of the Purchase Agreement and Registration Rights Agreement, including any representations and warranties contained therein, are not for the benefit of any party other than the parties thereto and are not intended as documents for investors and the public to obtain factual information about the current state of affairs of the parties thereto. Rather, investors and the public should look to other disclosures contained in our annual, quarterly and current reports we may file with the Securities and Exchange Commission, or SEC.</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contained in this Current Report on Form 8-K shall not constitute an offer to sell or the solicitation of an offer to buy the shares of our common stock discussed herein, nor shall there be any offer, solicitation or sale of the shares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Section 27A of the Securities Act of 1933, as amended, and Section 21E of the Securities Exchange Act of 1934, as amended, including, without limitation, statements about the potential offering of securities under the Purchase Agreement, and other statements containing the words “expect,” “intend,” “may,” “will,”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the uncertainties related to market conditions, uncertainties inherent in the conduct of ongoing and planned future clinical trials, and such other factors as are set forth in the risk factors detailed in our Annual Report on Form 10-K for the year ended December 31, 2019, filed with the SEC on February 25, 2020, and our Quarterly Report on Form 10-Q for the quarter ended June 30, 2020, filed with the Securities and Exchange Commission on August 7, 2020, in each case under the heading “Risk Factors.” In addition, the forward-looking statements included in this Current Report on Form 8-K represent our views as of the date hereof. We anticipate that subsequent events and developments will cause our views to change. However, while we may elect to update these forward-looking statements at some point in the future, we specifically disclaim any obligation to do so except as required by law. These forward-looking statements should not be relied upon as representing our views as of any date subsequent to the date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140"/>
        <w:spacing w:after="0"/>
        <w:tabs>
          <w:tab w:leader="none" w:pos="5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0"/>
          <w:szCs w:val="20"/>
          <w:color w:val="auto"/>
        </w:rPr>
      </w:pPr>
    </w:p>
    <w:p>
      <w:pPr>
        <w:ind w:left="1480"/>
        <w:spacing w:after="0"/>
        <w:tabs>
          <w:tab w:leader="none" w:pos="2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5.1</w:t>
        </w:r>
      </w:hyperlink>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Opinion of Cooley LLP</w:t>
        </w:r>
        <w:r>
          <w:rPr>
            <w:rFonts w:ascii="Arial" w:cs="Arial" w:eastAsia="Arial" w:hAnsi="Arial"/>
            <w:sz w:val="16"/>
            <w:szCs w:val="16"/>
            <w:color w:val="0000EE"/>
          </w:rPr>
          <w:t>.</w:t>
        </w:r>
      </w:hyperlink>
    </w:p>
    <w:p>
      <w:pPr>
        <w:spacing w:after="0" w:line="23" w:lineRule="exact"/>
        <w:rPr>
          <w:sz w:val="20"/>
          <w:szCs w:val="20"/>
          <w:color w:val="auto"/>
        </w:rPr>
      </w:pPr>
    </w:p>
    <w:p>
      <w:pPr>
        <w:ind w:left="1440"/>
        <w:spacing w:after="0"/>
        <w:tabs>
          <w:tab w:leader="none" w:pos="212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Purchase Agreement, dated as of August 13, 2020, by and between the Company and Lincoln Park.</w:t>
        </w:r>
      </w:hyperlink>
    </w:p>
    <w:p>
      <w:pPr>
        <w:spacing w:after="0" w:line="23" w:lineRule="exact"/>
        <w:rPr>
          <w:sz w:val="20"/>
          <w:szCs w:val="20"/>
          <w:color w:val="auto"/>
        </w:rPr>
      </w:pPr>
    </w:p>
    <w:p>
      <w:pPr>
        <w:jc w:val="right"/>
        <w:ind w:right="99"/>
        <w:spacing w:after="0"/>
        <w:tabs>
          <w:tab w:leader="none" w:pos="7880" w:val="left"/>
        </w:tabs>
        <w:rPr>
          <w:rFonts w:ascii="Arial" w:cs="Arial" w:eastAsia="Arial" w:hAnsi="Arial"/>
          <w:sz w:val="16"/>
          <w:szCs w:val="16"/>
          <w:u w:val="single" w:color="auto"/>
          <w:color w:val="0000EE"/>
        </w:rPr>
      </w:pPr>
      <w:hyperlink w:anchor="page42">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42">
        <w:r>
          <w:rPr>
            <w:rFonts w:ascii="Arial" w:cs="Arial" w:eastAsia="Arial" w:hAnsi="Arial"/>
            <w:sz w:val="16"/>
            <w:szCs w:val="16"/>
            <w:u w:val="single" w:color="auto"/>
            <w:color w:val="0000EE"/>
          </w:rPr>
          <w:t>Registration Rights Agreement, dated as of August 13, 2020, by and between the Company and Lincoln Park.</w:t>
        </w:r>
      </w:hyperlink>
    </w:p>
    <w:p>
      <w:pPr>
        <w:spacing w:after="0" w:line="23" w:lineRule="exact"/>
        <w:rPr>
          <w:sz w:val="20"/>
          <w:szCs w:val="20"/>
          <w:color w:val="auto"/>
        </w:rPr>
      </w:pPr>
    </w:p>
    <w:p>
      <w:pPr>
        <w:ind w:left="1440"/>
        <w:spacing w:after="0"/>
        <w:tabs>
          <w:tab w:leader="none" w:pos="21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Consent of Cooley LLP (contained in Exhibit 5.1).</w:t>
        </w:r>
      </w:hyperlink>
    </w:p>
    <w:p>
      <w:pPr>
        <w:spacing w:after="0" w:line="9" w:lineRule="exact"/>
        <w:rPr>
          <w:sz w:val="20"/>
          <w:szCs w:val="20"/>
          <w:color w:val="auto"/>
        </w:rPr>
      </w:pPr>
    </w:p>
    <w:p>
      <w:pPr>
        <w:ind w:left="2140" w:right="479" w:hanging="688"/>
        <w:spacing w:after="0" w:line="276" w:lineRule="auto"/>
        <w:tabs>
          <w:tab w:leader="none" w:pos="2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 page from Aclaris Therapeutics Inc.’s Form 8-K filed on August 13, 2020, formatted in Inline XBRL.</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ACLARIS THERAPEUTICS,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6"/>
          <w:szCs w:val="16"/>
          <w:color w:val="auto"/>
        </w:rPr>
        <w:t>Frank Ruffo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44018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Brian F. Leaf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+1 703 456 8053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bleaf@cooley.com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 Lee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PA 19087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 have requested our opinion, as counsel to Aclaris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respect to certain matters in connection with the issuance and sale by the Company of 121,584 shares (the “</w:t>
      </w:r>
      <w:r>
        <w:rPr>
          <w:rFonts w:ascii="Arial" w:cs="Arial" w:eastAsia="Arial" w:hAnsi="Arial"/>
          <w:sz w:val="17"/>
          <w:szCs w:val="17"/>
          <w:b w:val="1"/>
          <w:bCs w:val="1"/>
          <w:i w:val="1"/>
          <w:iCs w:val="1"/>
          <w:color w:val="auto"/>
        </w:rPr>
        <w:t>Commitment Shares</w:t>
      </w:r>
      <w:r>
        <w:rPr>
          <w:rFonts w:ascii="Arial" w:cs="Arial" w:eastAsia="Arial" w:hAnsi="Arial"/>
          <w:sz w:val="17"/>
          <w:szCs w:val="17"/>
          <w:color w:val="auto"/>
        </w:rPr>
        <w:t>”) of the Company’s common stock, par value $0.00001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additional shares of Common Stock having aggregate sales proceeds of up to $15,000,000 (the “</w:t>
      </w:r>
      <w:r>
        <w:rPr>
          <w:rFonts w:ascii="Arial" w:cs="Arial" w:eastAsia="Arial" w:hAnsi="Arial"/>
          <w:sz w:val="17"/>
          <w:szCs w:val="17"/>
          <w:b w:val="1"/>
          <w:bCs w:val="1"/>
          <w:i w:val="1"/>
          <w:i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and, together with the Commitment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pursuant to a Registration Statement on Form S-3 (No. 333-237163)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i w:val="1"/>
          <w:iCs w:val="1"/>
          <w:color w:val="auto"/>
        </w:rPr>
        <w:t>”</w:t>
      </w:r>
      <w:r>
        <w:rPr>
          <w:rFonts w:ascii="Arial" w:cs="Arial" w:eastAsia="Arial" w:hAnsi="Arial"/>
          <w:sz w:val="17"/>
          <w:szCs w:val="17"/>
          <w:color w:val="auto"/>
        </w:rPr>
        <w:t>), filed with the Securities and Exchange Commission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i w:val="1"/>
          <w:iCs w:val="1"/>
          <w:color w:val="auto"/>
        </w:rPr>
        <w: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i w:val="1"/>
          <w:iCs w:val="1"/>
          <w:color w:val="auto"/>
        </w:rPr>
        <w:t>”</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included within the Registration Statement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and the prospectus supplement dated August 13, 2020, filed with the Commission pursuant to Rule 424(b) of the Rules and Regulations of the Act (together with the Base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The Shares are to be sold by the Company in accordance with a Purchase Agreement, dated August 13, 2020, between the Company and Lincoln Park Capital Fund, LLC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as described in the Prospectus.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this opinion, we have examined and relied upon the Registration Statement and the Prospectus, the Agreement, the Company’s Amended and Restated Certificate of Incorporation, its Amended and Restated Bylaws, and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by all persons other than the Company of all documents where authorization, execution and delivery are prerequisites to the effectiveness thereof. As to certain factual matters, we have relied upon a certificate of an officer of the Company and have not sought independently to verify such matters.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assumed (i) that each sale of Purchase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 that no more than 25,000,000 Purchase Shares will be sold under the Agreement and (iii) that the price at which the Purchase Shares are sold will equal or exceed the par value of the Common Stock. We express no opinion to the extent that future issuances of securities of the Company and/or anti-dilution adjustments to outstanding securities of the Company cause the number of shares of Common Stock outstanding or issuable upon conversion or exercise of outstanding securities of the Company to exceed the number of Purchase Shares then issuable under the Agreement.</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One Freedom Square Reston Town Center 11951 Freedom Drive Reston, VA 20190-5640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(703) 456-8000 f: (703) 456-8100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4018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575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the Company’s Current Report on Form 8-K to be filed with the Commission for incorporation by reference into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F. 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Brian F. Leaf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Cooley LLP One Freedom Square Reston Town Center 11951 Freedom Drive Reston, VA 20190-5640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(703) 456-8000 f: (703) 456-8100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PURCHASE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13, 2020, by and between</w:t>
      </w:r>
      <w:r>
        <w:rPr>
          <w:rFonts w:ascii="Arial" w:cs="Arial" w:eastAsia="Arial" w:hAnsi="Arial"/>
          <w:sz w:val="18"/>
          <w:szCs w:val="18"/>
          <w:b w:val="1"/>
          <w:bCs w:val="1"/>
          <w:color w:val="auto"/>
        </w:rPr>
        <w:t xml:space="preserve"> ACLARIS THERAPEUTICS,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LINCOLN PARK CAPITAL FUND</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an Illinois limited liability company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Capitalized terms used herein and not otherwise defined herein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terms and conditions set forth in this Agreement, the Company wishes to sell to the Investor, and the Investor wishes to buy from the Company, up to Fifteen Million Dollars ($15,000,000) of the Company’s common stock, $0.00001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shares of Common Stock to be purchased hereunder are referred to herein as the “</w:t>
      </w:r>
      <w:r>
        <w:rPr>
          <w:rFonts w:ascii="Arial" w:cs="Arial" w:eastAsia="Arial" w:hAnsi="Arial"/>
          <w:sz w:val="18"/>
          <w:szCs w:val="18"/>
          <w:u w:val="single" w:color="auto"/>
          <w:color w:val="auto"/>
        </w:rPr>
        <w:t>Purchase Shares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010000"/>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For purposes of this Agreement, the following terms shall have the following meanings:</w:t>
      </w:r>
    </w:p>
    <w:p>
      <w:pPr>
        <w:spacing w:after="0" w:line="225" w:lineRule="exact"/>
        <w:rPr>
          <w:rFonts w:ascii="Arial" w:cs="Arial" w:eastAsia="Arial" w:hAnsi="Arial"/>
          <w:sz w:val="18"/>
          <w:szCs w:val="18"/>
          <w:b w:val="1"/>
          <w:bCs w:val="1"/>
          <w:color w:val="010000"/>
        </w:rPr>
      </w:pPr>
    </w:p>
    <w:p>
      <w:pPr>
        <w:jc w:val="both"/>
        <w:ind w:firstLine="656"/>
        <w:spacing w:after="0" w:line="263" w:lineRule="auto"/>
        <w:tabs>
          <w:tab w:leader="none" w:pos="1945" w:val="left"/>
        </w:tabs>
        <w:numPr>
          <w:ilvl w:val="1"/>
          <w:numId w:val="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Accelerated Purchase Date</w:t>
      </w:r>
      <w:r>
        <w:rPr>
          <w:rFonts w:ascii="Arial" w:cs="Arial" w:eastAsia="Arial" w:hAnsi="Arial"/>
          <w:sz w:val="18"/>
          <w:szCs w:val="18"/>
          <w:color w:val="auto"/>
        </w:rPr>
        <w:t xml:space="preserve">” means, with respect to any Accelerated Purchase made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or any Additional Accelerated Purchase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Business Day immediately following the applicable Purchase Date with respect to the corresponding Regular Purchase made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604" w:val="left"/>
        </w:tabs>
        <w:numPr>
          <w:ilvl w:val="1"/>
          <w:numId w:val="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Accelerated Purchase Floor Price</w:t>
      </w:r>
      <w:r>
        <w:rPr>
          <w:rFonts w:ascii="Arial" w:cs="Arial" w:eastAsia="Arial" w:hAnsi="Arial"/>
          <w:sz w:val="18"/>
          <w:szCs w:val="18"/>
          <w:color w:val="auto"/>
        </w:rPr>
        <w:t xml:space="preserve">” means $0.50, which shall be adjusted for any reorganization, recapitalization, non-cash dividend, stock split, reverse stock split or other similar transaction and, effective upon the consummation of any of the foregoing, the Accelerated Purchase Floor Price shall mean the </w:t>
      </w:r>
      <w:r>
        <w:rPr>
          <w:rFonts w:ascii="Arial" w:cs="Arial" w:eastAsia="Arial" w:hAnsi="Arial"/>
          <w:sz w:val="18"/>
          <w:szCs w:val="18"/>
          <w:u w:val="single" w:color="auto"/>
          <w:color w:val="auto"/>
        </w:rPr>
        <w:t>lower</w:t>
      </w:r>
      <w:r>
        <w:rPr>
          <w:rFonts w:ascii="Arial" w:cs="Arial" w:eastAsia="Arial" w:hAnsi="Arial"/>
          <w:sz w:val="18"/>
          <w:szCs w:val="18"/>
          <w:color w:val="auto"/>
        </w:rPr>
        <w:t xml:space="preserve"> of (i) the adjusted price and (ii) $0.50.</w:t>
      </w:r>
    </w:p>
    <w:p>
      <w:pPr>
        <w:spacing w:after="0" w:line="183" w:lineRule="exact"/>
        <w:rPr>
          <w:rFonts w:ascii="Arial" w:cs="Arial" w:eastAsia="Arial" w:hAnsi="Arial"/>
          <w:sz w:val="18"/>
          <w:szCs w:val="18"/>
          <w:color w:val="010000"/>
        </w:rPr>
      </w:pPr>
    </w:p>
    <w:p>
      <w:pPr>
        <w:jc w:val="both"/>
        <w:ind w:firstLine="656"/>
        <w:spacing w:after="0" w:line="296" w:lineRule="auto"/>
        <w:tabs>
          <w:tab w:leader="none" w:pos="1621" w:val="left"/>
        </w:tabs>
        <w:numPr>
          <w:ilvl w:val="1"/>
          <w:numId w:val="8"/>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Accelerated Purchase Period</w:t>
      </w:r>
      <w:r>
        <w:rPr>
          <w:rFonts w:ascii="Arial" w:cs="Arial" w:eastAsia="Arial" w:hAnsi="Arial"/>
          <w:sz w:val="16"/>
          <w:szCs w:val="16"/>
          <w:color w:val="auto"/>
        </w:rPr>
        <w:t xml:space="preserve">” means, with respect to an Accelerated Purchase made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such period of time on the Accelerated Purchase Date beginning at the official open of trading on the Principal Market, and ending at the earliest of (i) the official close of trading on the Principal Market on such Accelerated Purchase Date, (ii) such time that the total number (or volume) of shares of Common Stock traded on the Principal Market has exceeded the quotient of (A) the Accelerated Purchase Share Amount, divided by (B) 0.3, and (iii) such time on the Accelerated Purchase Date that the Sale Price has fallen below any minimum price threshold set forth in the applicable Purchase Notice by the Company.</w:t>
      </w:r>
    </w:p>
    <w:p>
      <w:pPr>
        <w:spacing w:after="0" w:line="161" w:lineRule="exact"/>
        <w:rPr>
          <w:rFonts w:ascii="Arial" w:cs="Arial" w:eastAsia="Arial" w:hAnsi="Arial"/>
          <w:sz w:val="16"/>
          <w:szCs w:val="16"/>
          <w:color w:val="010000"/>
        </w:rPr>
      </w:pPr>
    </w:p>
    <w:p>
      <w:pPr>
        <w:jc w:val="both"/>
        <w:ind w:firstLine="656"/>
        <w:spacing w:after="0" w:line="273" w:lineRule="auto"/>
        <w:tabs>
          <w:tab w:leader="none" w:pos="1685" w:val="left"/>
        </w:tabs>
        <w:numPr>
          <w:ilvl w:val="1"/>
          <w:numId w:val="8"/>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Accelerated Purchase Share Amount</w:t>
      </w:r>
      <w:r>
        <w:rPr>
          <w:rFonts w:ascii="Arial" w:cs="Arial" w:eastAsia="Arial" w:hAnsi="Arial"/>
          <w:sz w:val="17"/>
          <w:szCs w:val="17"/>
          <w:color w:val="auto"/>
        </w:rPr>
        <w:t xml:space="preserve">” means, with respect to an Accelerated Purchase made pursuant to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or an Additional Accelerated Purchase made pursuant to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hereof, the number of Purchase Shares directed by the Company to be purchased by the Investor in an Purchase Notice, which number of Purchase Shares shall not exceed the lesser of (i) 300% of the applicable Regular Purchase Share Limit for the corresponding Regular Purchase and (ii) 30% of the total volume of shares of Common Stock traded on the Principal Market during the Accelerated Purchase Period or the Additional Accelerated Purchase Period,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parties may mutually agree to increase the Accelerated Purchase Share Amount for any Accelerated Purchase or Additional Accelerated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ind w:firstLine="656"/>
        <w:spacing w:after="0" w:line="289" w:lineRule="auto"/>
        <w:tabs>
          <w:tab w:leader="none" w:pos="1567" w:val="left"/>
        </w:tabs>
        <w:numPr>
          <w:ilvl w:val="1"/>
          <w:numId w:val="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Additional Accelerated Purchase Period</w:t>
      </w:r>
      <w:r>
        <w:rPr>
          <w:rFonts w:ascii="Arial" w:cs="Arial" w:eastAsia="Arial" w:hAnsi="Arial"/>
          <w:sz w:val="16"/>
          <w:szCs w:val="16"/>
          <w:color w:val="auto"/>
        </w:rPr>
        <w:t xml:space="preserve">” means, with respect to an Additional Accelerated Purchase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such period of time on the Accelerated Purchase Date beginning at the latest of (i) the end of the Accelerated Purchase Period for the corresponding Accelerated Purchase made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on such Accelerated Purchase Date, (ii) the end of the Additional Accelerated Purchase Period for the most recently completed prior Additional Accelerated Purchase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on such Accelerated Purchase Date, as applicable, and (iii) the time at which all Purchase Shares for all prior Purchases, including, those effected on the applicable Accelerated Purchase Date have theretofore been received by the Investor as DWAC Shares in accordance with this Agreement, and ending at the earliest of (i) the official close of trading on the Principal Market on the Accelerated Purchase Date, (ii) such time that the total number (or volume) of shares of Common Stock traded on the Principal Market has exceeded the quotient of (A) the Accelerated Purchase Share Amount, and (B) 0.3, and (iii) such time that the Sale Price has fallen below any minimum price threshold set forth in the applicable Purchase Notice by the Company.</w:t>
      </w:r>
    </w:p>
    <w:p>
      <w:pPr>
        <w:spacing w:after="0" w:line="166" w:lineRule="exact"/>
        <w:rPr>
          <w:rFonts w:ascii="Arial" w:cs="Arial" w:eastAsia="Arial" w:hAnsi="Arial"/>
          <w:sz w:val="16"/>
          <w:szCs w:val="16"/>
          <w:color w:val="010000"/>
        </w:rPr>
      </w:pPr>
    </w:p>
    <w:p>
      <w:pPr>
        <w:ind w:firstLine="656"/>
        <w:spacing w:after="0" w:line="277" w:lineRule="auto"/>
        <w:tabs>
          <w:tab w:leader="none" w:pos="1673" w:val="left"/>
        </w:tabs>
        <w:numPr>
          <w:ilvl w:val="1"/>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xml:space="preserve">” means, initially, Fifteen Million Dollars ($15,000,000) in the aggregate, which amount shall be reduced by the Purchase Amount each time the Investor purchases shares of Common Stock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010000"/>
        </w:rPr>
      </w:pPr>
    </w:p>
    <w:p>
      <w:pPr>
        <w:ind w:left="1580" w:hanging="924"/>
        <w:spacing w:after="0"/>
        <w:tabs>
          <w:tab w:leader="none" w:pos="1580" w:val="left"/>
        </w:tabs>
        <w:numPr>
          <w:ilvl w:val="1"/>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rFonts w:ascii="Arial" w:cs="Arial" w:eastAsia="Arial" w:hAnsi="Arial"/>
          <w:sz w:val="18"/>
          <w:szCs w:val="18"/>
          <w:color w:val="010000"/>
        </w:rPr>
      </w:pPr>
    </w:p>
    <w:p>
      <w:pPr>
        <w:ind w:right="20" w:firstLine="656"/>
        <w:spacing w:after="0" w:line="277" w:lineRule="auto"/>
        <w:tabs>
          <w:tab w:leader="none" w:pos="1631" w:val="left"/>
        </w:tabs>
        <w:numPr>
          <w:ilvl w:val="1"/>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Base Prospectus</w:t>
      </w:r>
      <w:r>
        <w:rPr>
          <w:rFonts w:ascii="Arial" w:cs="Arial" w:eastAsia="Arial" w:hAnsi="Arial"/>
          <w:sz w:val="18"/>
          <w:szCs w:val="18"/>
          <w:color w:val="auto"/>
        </w:rPr>
        <w:t>” means the Company’s final base prospectus, dated April 29, 2020, a preliminary form of which is included in the Shelf Registration Statement, including the documents incorporated by reference therein.</w:t>
      </w:r>
    </w:p>
    <w:p>
      <w:pPr>
        <w:spacing w:after="0" w:line="170" w:lineRule="exact"/>
        <w:rPr>
          <w:rFonts w:ascii="Arial" w:cs="Arial" w:eastAsia="Arial" w:hAnsi="Arial"/>
          <w:sz w:val="18"/>
          <w:szCs w:val="18"/>
          <w:color w:val="010000"/>
        </w:rPr>
      </w:pPr>
    </w:p>
    <w:p>
      <w:pPr>
        <w:ind w:right="20" w:firstLine="656"/>
        <w:spacing w:after="0" w:line="277" w:lineRule="auto"/>
        <w:tabs>
          <w:tab w:leader="none" w:pos="1582" w:val="left"/>
        </w:tabs>
        <w:numPr>
          <w:ilvl w:val="1"/>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Principal Market is open for trading, including any day on which the Principal Market is open for trading for a period of time less than the customary time.</w:t>
      </w:r>
    </w:p>
    <w:p>
      <w:pPr>
        <w:spacing w:after="0" w:line="170" w:lineRule="exact"/>
        <w:rPr>
          <w:rFonts w:ascii="Arial" w:cs="Arial" w:eastAsia="Arial" w:hAnsi="Arial"/>
          <w:sz w:val="18"/>
          <w:szCs w:val="18"/>
          <w:color w:val="010000"/>
        </w:rPr>
      </w:pPr>
    </w:p>
    <w:p>
      <w:pPr>
        <w:ind w:firstLine="656"/>
        <w:spacing w:after="0" w:line="277" w:lineRule="auto"/>
        <w:tabs>
          <w:tab w:leader="none" w:pos="1704" w:val="left"/>
        </w:tabs>
        <w:numPr>
          <w:ilvl w:val="1"/>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Closing Sale Price</w:t>
      </w:r>
      <w:r>
        <w:rPr>
          <w:rFonts w:ascii="Arial" w:cs="Arial" w:eastAsia="Arial" w:hAnsi="Arial"/>
          <w:sz w:val="18"/>
          <w:szCs w:val="18"/>
          <w:color w:val="auto"/>
        </w:rPr>
        <w:t>” means, for any security as of any date, the last closing sale price for such security on the Principal Market as reported by the Principal Market.</w:t>
      </w:r>
    </w:p>
    <w:p>
      <w:pPr>
        <w:spacing w:after="0" w:line="170" w:lineRule="exact"/>
        <w:rPr>
          <w:rFonts w:ascii="Arial" w:cs="Arial" w:eastAsia="Arial" w:hAnsi="Arial"/>
          <w:sz w:val="18"/>
          <w:szCs w:val="18"/>
          <w:color w:val="010000"/>
        </w:rPr>
      </w:pPr>
    </w:p>
    <w:p>
      <w:pPr>
        <w:jc w:val="both"/>
        <w:ind w:firstLine="656"/>
        <w:spacing w:after="0" w:line="285" w:lineRule="auto"/>
        <w:tabs>
          <w:tab w:leader="none" w:pos="1604" w:val="left"/>
        </w:tabs>
        <w:numPr>
          <w:ilvl w:val="1"/>
          <w:numId w:val="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w:t>
      </w:r>
    </w:p>
    <w:p>
      <w:pPr>
        <w:spacing w:after="0" w:line="1" w:lineRule="exact"/>
        <w:rPr>
          <w:rFonts w:ascii="Arial" w:cs="Arial" w:eastAsia="Arial" w:hAnsi="Arial"/>
          <w:sz w:val="16"/>
          <w:szCs w:val="16"/>
          <w:color w:val="010000"/>
        </w:rPr>
      </w:pPr>
    </w:p>
    <w:p>
      <w:pPr>
        <w:jc w:val="both"/>
        <w:ind w:firstLine="8"/>
        <w:spacing w:after="0" w:line="270" w:lineRule="auto"/>
        <w:tabs>
          <w:tab w:leader="none" w:pos="2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or (v) is independently developed by the receiving party without use of or reference to the disclosing party’s Confidential Information, as shown by documents and other competent evidence in the receiving party’s possession.</w:t>
      </w:r>
    </w:p>
    <w:p>
      <w:pPr>
        <w:spacing w:after="0" w:line="178" w:lineRule="exact"/>
        <w:rPr>
          <w:rFonts w:ascii="Arial" w:cs="Arial" w:eastAsia="Arial" w:hAnsi="Arial"/>
          <w:sz w:val="17"/>
          <w:szCs w:val="17"/>
          <w:color w:val="auto"/>
        </w:rPr>
      </w:pPr>
    </w:p>
    <w:p>
      <w:pPr>
        <w:ind w:left="1600" w:hanging="944"/>
        <w:spacing w:after="0"/>
        <w:tabs>
          <w:tab w:leader="none" w:pos="1600" w:val="left"/>
        </w:tabs>
        <w:numPr>
          <w:ilvl w:val="1"/>
          <w:numId w:val="1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DTC</w:t>
      </w:r>
      <w:r>
        <w:rPr>
          <w:rFonts w:ascii="Arial" w:cs="Arial" w:eastAsia="Arial" w:hAnsi="Arial"/>
          <w:sz w:val="17"/>
          <w:szCs w:val="17"/>
          <w:color w:val="auto"/>
        </w:rPr>
        <w:t>” means The Depository Trust Company, or any successor performing substantially the same function for the Company.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56"/>
        <w:spacing w:after="0" w:line="259" w:lineRule="auto"/>
        <w:tabs>
          <w:tab w:leader="none" w:pos="178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DWAC Shares</w:t>
      </w:r>
      <w:r>
        <w:rPr>
          <w:rFonts w:ascii="Arial" w:cs="Arial" w:eastAsia="Arial" w:hAnsi="Arial"/>
          <w:sz w:val="18"/>
          <w:szCs w:val="18"/>
          <w:color w:val="auto"/>
        </w:rPr>
        <w:t>” means shares of Common Stock that are (i) issued in electronic form, (ii) freely tradable and transferable and without restriction on resale and (iii) timely credited by the Company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186" w:lineRule="exact"/>
        <w:rPr>
          <w:rFonts w:ascii="Arial" w:cs="Arial" w:eastAsia="Arial" w:hAnsi="Arial"/>
          <w:sz w:val="18"/>
          <w:szCs w:val="18"/>
          <w:color w:val="010000"/>
        </w:rPr>
      </w:pPr>
    </w:p>
    <w:p>
      <w:pPr>
        <w:ind w:left="1580" w:hanging="924"/>
        <w:spacing w:after="0"/>
        <w:tabs>
          <w:tab w:leader="none" w:pos="1580"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rFonts w:ascii="Arial" w:cs="Arial" w:eastAsia="Arial" w:hAnsi="Arial"/>
          <w:sz w:val="16"/>
          <w:szCs w:val="16"/>
          <w:color w:val="010000"/>
        </w:rPr>
      </w:pPr>
    </w:p>
    <w:p>
      <w:pPr>
        <w:jc w:val="both"/>
        <w:ind w:firstLine="656"/>
        <w:spacing w:after="0" w:line="263" w:lineRule="auto"/>
        <w:tabs>
          <w:tab w:leader="none" w:pos="1699"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Floor Price</w:t>
      </w:r>
      <w:r>
        <w:rPr>
          <w:rFonts w:ascii="Arial" w:cs="Arial" w:eastAsia="Arial" w:hAnsi="Arial"/>
          <w:sz w:val="18"/>
          <w:szCs w:val="18"/>
          <w:color w:val="auto"/>
        </w:rPr>
        <w:t xml:space="preserve">” means $0.25, which shall be adjusted for any reorganization, recapitalization, non-cash dividend, share split or other similar transaction and, effective upon the consummation of any of the foregoing, the Floor Price shall mean the </w:t>
      </w:r>
      <w:r>
        <w:rPr>
          <w:rFonts w:ascii="Arial" w:cs="Arial" w:eastAsia="Arial" w:hAnsi="Arial"/>
          <w:sz w:val="18"/>
          <w:szCs w:val="18"/>
          <w:u w:val="single" w:color="auto"/>
          <w:color w:val="auto"/>
        </w:rPr>
        <w:t>lower</w:t>
      </w:r>
      <w:r>
        <w:rPr>
          <w:rFonts w:ascii="Arial" w:cs="Arial" w:eastAsia="Arial" w:hAnsi="Arial"/>
          <w:sz w:val="18"/>
          <w:szCs w:val="18"/>
          <w:color w:val="auto"/>
        </w:rPr>
        <w:t xml:space="preserve"> of (i) the adjusted price and (ii) $0.25.</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2009"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Initial Prospectus Supplement</w:t>
      </w:r>
      <w:r>
        <w:rPr>
          <w:rFonts w:ascii="Arial" w:cs="Arial" w:eastAsia="Arial" w:hAnsi="Arial"/>
          <w:sz w:val="18"/>
          <w:szCs w:val="18"/>
          <w:color w:val="auto"/>
        </w:rPr>
        <w:t xml:space="preserve">” means the prospectus supplement of the Company relating to the Securities, including the accompanying Base Prospectus, to be prepared and filed by the Company with the SEC pursuant to Rule 424(b)(5) under the Securities Act and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together with all documents and information incorporated therein by reference.</w:t>
      </w:r>
    </w:p>
    <w:p>
      <w:pPr>
        <w:spacing w:after="0" w:line="183" w:lineRule="exact"/>
        <w:rPr>
          <w:rFonts w:ascii="Arial" w:cs="Arial" w:eastAsia="Arial" w:hAnsi="Arial"/>
          <w:sz w:val="18"/>
          <w:szCs w:val="18"/>
          <w:color w:val="010000"/>
        </w:rPr>
      </w:pPr>
    </w:p>
    <w:p>
      <w:pPr>
        <w:jc w:val="both"/>
        <w:ind w:firstLine="656"/>
        <w:spacing w:after="0" w:line="287" w:lineRule="auto"/>
        <w:tabs>
          <w:tab w:leader="none" w:pos="1591"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exclusively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or their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 or (iii) the Company’s ability to perform in any material respect on a timely basis its obligations under any Transaction Document to be performed as of the date of determination.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660"/>
              <w:spacing w:after="0"/>
              <w:rPr>
                <w:sz w:val="20"/>
                <w:szCs w:val="20"/>
                <w:color w:val="auto"/>
              </w:rPr>
            </w:pPr>
            <w:r>
              <w:rPr>
                <w:rFonts w:ascii="Arial" w:cs="Arial" w:eastAsia="Arial" w:hAnsi="Arial"/>
                <w:sz w:val="18"/>
                <w:szCs w:val="18"/>
                <w:color w:val="010000"/>
              </w:rPr>
              <w:t>(r)</w:t>
            </w:r>
          </w:p>
        </w:tc>
        <w:tc>
          <w:tcPr>
            <w:tcW w:w="9340" w:type="dxa"/>
            <w:vAlign w:val="bottom"/>
            <w:gridSpan w:val="3"/>
          </w:tcPr>
          <w:p>
            <w:pPr>
              <w:ind w:left="260"/>
              <w:spacing w:after="0"/>
              <w:rPr>
                <w:sz w:val="20"/>
                <w:szCs w:val="20"/>
                <w:color w:val="auto"/>
              </w:rPr>
            </w:pPr>
            <w:r>
              <w:rPr>
                <w:rFonts w:ascii="Arial" w:cs="Arial" w:eastAsia="Arial" w:hAnsi="Arial"/>
                <w:sz w:val="18"/>
                <w:szCs w:val="18"/>
                <w:color w:val="auto"/>
                <w:w w:val="99"/>
              </w:rPr>
              <w:t>“Maturity Date” means the first day of the month immediately following the Thirty-Six (36) month anniversary of the</w:t>
            </w: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Commencement Date.</w:t>
            </w:r>
          </w:p>
        </w:tc>
        <w:tc>
          <w:tcPr>
            <w:tcW w:w="3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960" w:type="dxa"/>
            <w:vAlign w:val="bottom"/>
          </w:tcPr>
          <w:p>
            <w:pPr>
              <w:spacing w:after="0"/>
              <w:rPr>
                <w:sz w:val="20"/>
                <w:szCs w:val="20"/>
                <w:color w:val="auto"/>
              </w:rPr>
            </w:pPr>
          </w:p>
        </w:tc>
      </w:tr>
    </w:tbl>
    <w:p>
      <w:pPr>
        <w:spacing w:after="0" w:line="202" w:lineRule="exact"/>
        <w:rPr>
          <w:sz w:val="20"/>
          <w:szCs w:val="20"/>
          <w:color w:val="auto"/>
        </w:rPr>
      </w:pPr>
    </w:p>
    <w:p>
      <w:pPr>
        <w:ind w:firstLine="656"/>
        <w:spacing w:after="0" w:line="277" w:lineRule="auto"/>
        <w:tabs>
          <w:tab w:leader="none" w:pos="175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170" w:lineRule="exact"/>
        <w:rPr>
          <w:rFonts w:ascii="Arial" w:cs="Arial" w:eastAsia="Arial" w:hAnsi="Arial"/>
          <w:sz w:val="18"/>
          <w:szCs w:val="18"/>
          <w:color w:val="010000"/>
        </w:rPr>
      </w:pPr>
    </w:p>
    <w:p>
      <w:pPr>
        <w:jc w:val="both"/>
        <w:ind w:firstLine="656"/>
        <w:spacing w:after="0" w:line="301" w:lineRule="auto"/>
        <w:tabs>
          <w:tab w:leader="none" w:pos="1636"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Principal Market</w:t>
      </w:r>
      <w:r>
        <w:rPr>
          <w:rFonts w:ascii="Arial" w:cs="Arial" w:eastAsia="Arial" w:hAnsi="Arial"/>
          <w:sz w:val="16"/>
          <w:szCs w:val="16"/>
          <w:color w:val="auto"/>
        </w:rPr>
        <w:t>” means The Nasdaq Global Select Market; provided, however, that in the event the Company’s Common Stock is ever listed or traded on The Nasdaq Global Market, The Nasdaq Capital Market, the New York Stock Exchange, NYSE American, the NYSE Arca, the OTC Bulletin Board, or the OTCQB or the OTCQX operated by the OTC Markets Group, Inc. (or any nationally recognized successor to any of the foregoing), then the “Principal Market” shall mean such other market or exchange on which the Company’s Common Stock is then listed or traded.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right="20" w:firstLine="656"/>
        <w:spacing w:after="0" w:line="277" w:lineRule="auto"/>
        <w:tabs>
          <w:tab w:leader="none" w:pos="2009"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Base Prospectus, as supplemented by any Prospectus Supplement (including the Initial Prospectus Supplement), including the documents and information incorporated by reference therein.</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753"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any prospectus supplement to the Base Prospectus (including the Initial Prospectus Supplement) filed with the SEC pursuant to Rule 424(b) under the Securities Act in connection with the transactions contemplated by this Agreement, including the documents and information incorporated by reference therein.</w:t>
      </w:r>
    </w:p>
    <w:p>
      <w:pPr>
        <w:spacing w:after="0" w:line="183" w:lineRule="exact"/>
        <w:rPr>
          <w:rFonts w:ascii="Arial" w:cs="Arial" w:eastAsia="Arial" w:hAnsi="Arial"/>
          <w:sz w:val="18"/>
          <w:szCs w:val="18"/>
          <w:color w:val="010000"/>
        </w:rPr>
      </w:pPr>
    </w:p>
    <w:p>
      <w:pPr>
        <w:ind w:left="1540" w:hanging="884"/>
        <w:spacing w:after="0"/>
        <w:tabs>
          <w:tab w:leader="none" w:pos="154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Purchase</w:t>
      </w:r>
      <w:r>
        <w:rPr>
          <w:rFonts w:ascii="Arial" w:cs="Arial" w:eastAsia="Arial" w:hAnsi="Arial"/>
          <w:sz w:val="18"/>
          <w:szCs w:val="18"/>
          <w:color w:val="auto"/>
        </w:rPr>
        <w:t>” means any Regular Purchase, Accelerated Purchase or Additional Accelerated Purchase, as applicable.</w:t>
      </w:r>
    </w:p>
    <w:p>
      <w:pPr>
        <w:spacing w:after="0" w:line="225" w:lineRule="exact"/>
        <w:rPr>
          <w:rFonts w:ascii="Arial" w:cs="Arial" w:eastAsia="Arial" w:hAnsi="Arial"/>
          <w:sz w:val="18"/>
          <w:szCs w:val="18"/>
          <w:color w:val="010000"/>
        </w:rPr>
      </w:pPr>
    </w:p>
    <w:p>
      <w:pPr>
        <w:ind w:right="20" w:firstLine="656"/>
        <w:spacing w:after="0" w:line="308" w:lineRule="auto"/>
        <w:tabs>
          <w:tab w:leader="none" w:pos="1618"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Purchase Amount</w:t>
      </w:r>
      <w:r>
        <w:rPr>
          <w:rFonts w:ascii="Arial" w:cs="Arial" w:eastAsia="Arial" w:hAnsi="Arial"/>
          <w:sz w:val="17"/>
          <w:szCs w:val="17"/>
          <w:color w:val="auto"/>
        </w:rPr>
        <w:t xml:space="preserve">” means, with respect to any Regular Purchase, any Accelerated Purchase or any Additional Accelerated Purchase made hereunder, as applicable, the portion of the Available Amount to be purchased by the Investor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46" w:lineRule="exact"/>
        <w:rPr>
          <w:rFonts w:ascii="Arial" w:cs="Arial" w:eastAsia="Arial" w:hAnsi="Arial"/>
          <w:sz w:val="17"/>
          <w:szCs w:val="17"/>
          <w:color w:val="010000"/>
        </w:rPr>
      </w:pPr>
    </w:p>
    <w:p>
      <w:pPr>
        <w:jc w:val="both"/>
        <w:ind w:firstLine="656"/>
        <w:spacing w:after="0" w:line="275" w:lineRule="auto"/>
        <w:tabs>
          <w:tab w:leader="none" w:pos="1726"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Purchase Date</w:t>
      </w:r>
      <w:r>
        <w:rPr>
          <w:rFonts w:ascii="Arial" w:cs="Arial" w:eastAsia="Arial" w:hAnsi="Arial"/>
          <w:sz w:val="17"/>
          <w:szCs w:val="17"/>
          <w:color w:val="auto"/>
        </w:rPr>
        <w:t xml:space="preserve">” means, with respect to a Regular Purchase made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 the Business Day on which the Investor receives, after 4:00 p.m. Eastern time on such Business Day, a Purchase Notice for such Regular Purchase in accordance with this Agreement; provided that any Business Day that is twenty (20) days or less before the filing of any post-effective amendment to the Registration Statement or New Registration Statement (as such term is defined in the Registration Rights Agreement), and until the effective date of any such post-effective amendment to the Registration Statement or New Registration Statement, shall not be a Purchase Date.</w:t>
      </w:r>
    </w:p>
    <w:p>
      <w:pPr>
        <w:spacing w:after="0" w:line="176" w:lineRule="exact"/>
        <w:rPr>
          <w:rFonts w:ascii="Arial" w:cs="Arial" w:eastAsia="Arial" w:hAnsi="Arial"/>
          <w:sz w:val="17"/>
          <w:szCs w:val="17"/>
          <w:color w:val="010000"/>
        </w:rPr>
      </w:pPr>
    </w:p>
    <w:p>
      <w:pPr>
        <w:ind w:firstLine="656"/>
        <w:spacing w:after="0" w:line="277" w:lineRule="auto"/>
        <w:tabs>
          <w:tab w:leader="none" w:pos="1648"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Purchase Notice</w:t>
      </w:r>
      <w:r>
        <w:rPr>
          <w:rFonts w:ascii="Arial" w:cs="Arial" w:eastAsia="Arial" w:hAnsi="Arial"/>
          <w:sz w:val="18"/>
          <w:szCs w:val="18"/>
          <w:color w:val="auto"/>
        </w:rPr>
        <w:t xml:space="preserve">” means a notice delivered to the Investor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any Regular Purchase, Accelerated Purchase or Additional Accelerated Purchase, respectively.</w:t>
      </w:r>
    </w:p>
    <w:p>
      <w:pPr>
        <w:spacing w:after="0" w:line="170" w:lineRule="exact"/>
        <w:rPr>
          <w:sz w:val="20"/>
          <w:szCs w:val="20"/>
          <w:color w:val="auto"/>
        </w:rPr>
      </w:pPr>
    </w:p>
    <w:p>
      <w:pPr>
        <w:ind w:left="1540" w:hanging="884"/>
        <w:spacing w:after="0"/>
        <w:tabs>
          <w:tab w:leader="none" w:pos="1540" w:val="left"/>
        </w:tabs>
        <w:numPr>
          <w:ilvl w:val="0"/>
          <w:numId w:val="1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that certain Registration Rights Agreement, of even date herewith between the Company and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the Investor.</w:t>
      </w:r>
    </w:p>
    <w:p>
      <w:pPr>
        <w:spacing w:after="0" w:line="210" w:lineRule="exact"/>
        <w:rPr>
          <w:rFonts w:ascii="Arial" w:cs="Arial" w:eastAsia="Arial" w:hAnsi="Arial"/>
          <w:sz w:val="16"/>
          <w:szCs w:val="16"/>
          <w:color w:val="010000"/>
        </w:rPr>
      </w:pPr>
    </w:p>
    <w:p>
      <w:pPr>
        <w:ind w:left="1500" w:hanging="844"/>
        <w:spacing w:after="0"/>
        <w:tabs>
          <w:tab w:leader="none" w:pos="1500"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has the meaning set forth in the Registration Rights Agreement.</w:t>
      </w:r>
    </w:p>
    <w:p>
      <w:pPr>
        <w:spacing w:after="0" w:line="225" w:lineRule="exact"/>
        <w:rPr>
          <w:rFonts w:ascii="Arial" w:cs="Arial" w:eastAsia="Arial" w:hAnsi="Arial"/>
          <w:sz w:val="18"/>
          <w:szCs w:val="18"/>
          <w:color w:val="010000"/>
        </w:rPr>
      </w:pPr>
    </w:p>
    <w:p>
      <w:pPr>
        <w:jc w:val="both"/>
        <w:ind w:firstLine="656"/>
        <w:spacing w:after="0" w:line="268" w:lineRule="auto"/>
        <w:tabs>
          <w:tab w:leader="none" w:pos="1553" w:val="left"/>
        </w:tabs>
        <w:numPr>
          <w:ilvl w:val="0"/>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Regular Purchase Share Limit</w:t>
      </w:r>
      <w:r>
        <w:rPr>
          <w:rFonts w:ascii="Arial" w:cs="Arial" w:eastAsia="Arial" w:hAnsi="Arial"/>
          <w:sz w:val="17"/>
          <w:szCs w:val="17"/>
          <w:color w:val="auto"/>
        </w:rPr>
        <w:t xml:space="preserve">” means One Hundred Thousand (100,000) Purchase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if the Closing Sale Price of the Common Stock is not below $1.50 on the Purchase Date, the Regular Purchase Share Limit may be increased to up to One Hundred Twenty-Five Thousand (125,000) Purchase Shares, (ii) if the Closing Sale Price of the Common Stock is not below $2.50 on the Purchase Date, the Regular Purchase Share Limit may be increased to up to Two Hundred Thousand (200,000) Purchase Shares and (iii) if the Closing Sale Price of the Common Stock is not below $3.00 on the Purchase Date, the Regular Purchase Share Limit may be increased to up to Two Hundred Fifty Thousand (250,000) Purchase Shares, in each case to be adjusted following any reorganization, recapitalization, non-cash dividend, stock split, reverse stock, split or other similar transaction effected with respect to the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following such an adjustment the Regular Purchase Share Limit as adjusted would preclude the Company from delivering to the Investor a Purchase Notice hereunder for a Purchase Amount equal to or greater than One Hundred Fifty Thousand Dollars ($150,000), the Regular Purchase Share Limit shall equal the maximum number of Purchase Shares which would enable the Company to deliver to the Investor a Purchase Notice for a Purchase Amount equal to, or as closely approximating without exceeding, One Hundred Fifty Thousand Dollars ($150,000);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parties may mutually agree to increase the Regular Purchase Share Limit for any Regular Purchase;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Investor’s committed obligation under any single Regular Purchase shall not exceed Two Million Dollars ($2,000,000).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500" w:hanging="844"/>
        <w:spacing w:after="0"/>
        <w:tabs>
          <w:tab w:leader="none" w:pos="1500" w:val="left"/>
        </w:tabs>
        <w:numPr>
          <w:ilvl w:val="1"/>
          <w:numId w:val="1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Sale Price</w:t>
      </w:r>
      <w:r>
        <w:rPr>
          <w:rFonts w:ascii="Arial" w:cs="Arial" w:eastAsia="Arial" w:hAnsi="Arial"/>
          <w:sz w:val="17"/>
          <w:szCs w:val="17"/>
          <w:color w:val="auto"/>
        </w:rPr>
        <w:t>” means any trade price for the shares of Common Stock on the Principal Market as reported by the Principal Market.</w:t>
      </w:r>
    </w:p>
    <w:p>
      <w:pPr>
        <w:spacing w:after="0" w:line="236" w:lineRule="exact"/>
        <w:rPr>
          <w:rFonts w:ascii="Arial" w:cs="Arial" w:eastAsia="Arial" w:hAnsi="Arial"/>
          <w:sz w:val="17"/>
          <w:szCs w:val="17"/>
          <w:color w:val="010000"/>
        </w:rPr>
      </w:pPr>
    </w:p>
    <w:p>
      <w:pPr>
        <w:ind w:left="1520" w:hanging="864"/>
        <w:spacing w:after="0"/>
        <w:tabs>
          <w:tab w:leader="none" w:pos="1520"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010000"/>
        </w:rPr>
      </w:pPr>
    </w:p>
    <w:p>
      <w:pPr>
        <w:ind w:left="1560" w:hanging="904"/>
        <w:spacing w:after="0"/>
        <w:tabs>
          <w:tab w:leader="none" w:pos="1560"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collectively, the Purchase Shares and the Commitment Shares.</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set forth in the Registration Rights Agreement.</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785"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the Company wholly 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907"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and the schedules and exhibits hereto, the Registration Rights Agreement and the schedules and exhibits thereto, and each of the other agreements, documents, certificates and instruments entered into or furnished by the parties hereto in connection with the transactions contemplated hereby and thereby.</w:t>
      </w:r>
    </w:p>
    <w:p>
      <w:pPr>
        <w:spacing w:after="0" w:line="183" w:lineRule="exact"/>
        <w:rPr>
          <w:rFonts w:ascii="Arial" w:cs="Arial" w:eastAsia="Arial" w:hAnsi="Arial"/>
          <w:sz w:val="18"/>
          <w:szCs w:val="18"/>
          <w:color w:val="010000"/>
        </w:rPr>
      </w:pPr>
    </w:p>
    <w:p>
      <w:pPr>
        <w:ind w:firstLine="656"/>
        <w:spacing w:after="0" w:line="277" w:lineRule="auto"/>
        <w:tabs>
          <w:tab w:leader="none" w:pos="1596"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 or such other Person who is then serving as the transfer agent for the Company in respect of the Common Stock.</w:t>
      </w:r>
    </w:p>
    <w:p>
      <w:pPr>
        <w:spacing w:after="0" w:line="170" w:lineRule="exact"/>
        <w:rPr>
          <w:rFonts w:ascii="Arial" w:cs="Arial" w:eastAsia="Arial" w:hAnsi="Arial"/>
          <w:sz w:val="18"/>
          <w:szCs w:val="18"/>
          <w:color w:val="010000"/>
        </w:rPr>
      </w:pPr>
    </w:p>
    <w:p>
      <w:pPr>
        <w:ind w:firstLine="656"/>
        <w:spacing w:after="0" w:line="277" w:lineRule="auto"/>
        <w:tabs>
          <w:tab w:leader="none" w:pos="1596"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in respect of an applicable Accelerated Purchase Date, the volume weighted average price of the Common Stock on the Principal Market, as reported on the Principal Market or by another reputable source such as Bloomberg, L.P.</w:t>
      </w:r>
    </w:p>
    <w:p>
      <w:pPr>
        <w:spacing w:after="0" w:line="166" w:lineRule="exact"/>
        <w:rPr>
          <w:rFonts w:ascii="Arial" w:cs="Arial" w:eastAsia="Arial" w:hAnsi="Arial"/>
          <w:sz w:val="18"/>
          <w:szCs w:val="18"/>
          <w:color w:val="010000"/>
        </w:rPr>
      </w:pPr>
    </w:p>
    <w:p>
      <w:pPr>
        <w:ind w:left="660" w:hanging="652"/>
        <w:spacing w:after="0"/>
        <w:tabs>
          <w:tab w:leader="none" w:pos="660" w:val="left"/>
        </w:tabs>
        <w:numPr>
          <w:ilvl w:val="0"/>
          <w:numId w:val="16"/>
        </w:numPr>
        <w:rPr>
          <w:rFonts w:ascii="Arial" w:cs="Arial" w:eastAsia="Arial" w:hAnsi="Arial"/>
          <w:sz w:val="18"/>
          <w:szCs w:val="18"/>
          <w:b w:val="1"/>
          <w:bCs w:val="1"/>
          <w:color w:val="010000"/>
        </w:rPr>
      </w:pPr>
      <w:r>
        <w:rPr>
          <w:rFonts w:ascii="Arial" w:cs="Arial" w:eastAsia="Arial" w:hAnsi="Arial"/>
          <w:sz w:val="18"/>
          <w:szCs w:val="18"/>
          <w:b w:val="1"/>
          <w:bCs w:val="1"/>
          <w:color w:val="auto"/>
        </w:rPr>
        <w:t>PURCHASE OF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terms and conditions set forth in this Agreement, the Company has the right, but not the obligation, to sell to the Investor,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sole and absolute discretion, and the Investor has the obligation to purchase from the Company, Purchase Shares as follows:</w:t>
      </w:r>
    </w:p>
    <w:p>
      <w:pPr>
        <w:spacing w:after="0" w:line="211" w:lineRule="exact"/>
        <w:rPr>
          <w:sz w:val="20"/>
          <w:szCs w:val="20"/>
          <w:color w:val="auto"/>
        </w:rPr>
      </w:pPr>
    </w:p>
    <w:p>
      <w:pPr>
        <w:jc w:val="both"/>
        <w:ind w:firstLine="656"/>
        <w:spacing w:after="0" w:line="271" w:lineRule="auto"/>
        <w:tabs>
          <w:tab w:leader="none" w:pos="1608" w:val="left"/>
        </w:tabs>
        <w:numPr>
          <w:ilvl w:val="0"/>
          <w:numId w:val="17"/>
        </w:numPr>
        <w:rPr>
          <w:rFonts w:ascii="Arial" w:cs="Arial" w:eastAsia="Arial" w:hAnsi="Arial"/>
          <w:sz w:val="17"/>
          <w:szCs w:val="17"/>
          <w:color w:val="010000"/>
        </w:rPr>
      </w:pPr>
      <w:r>
        <w:rPr>
          <w:rFonts w:ascii="Arial" w:cs="Arial" w:eastAsia="Arial" w:hAnsi="Arial"/>
          <w:sz w:val="17"/>
          <w:szCs w:val="17"/>
          <w:u w:val="single" w:color="auto"/>
          <w:color w:val="auto"/>
        </w:rPr>
        <w:t>Commencement of Regular Purchases of Common Stock</w:t>
      </w:r>
      <w:r>
        <w:rPr>
          <w:rFonts w:ascii="Arial" w:cs="Arial" w:eastAsia="Arial" w:hAnsi="Arial"/>
          <w:sz w:val="17"/>
          <w:szCs w:val="17"/>
          <w:color w:val="auto"/>
        </w:rPr>
        <w:t xml:space="preserve">. Upon the satisfaction of the conditions set forth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Commencement</w:t>
      </w:r>
      <w:r>
        <w:rPr>
          <w:rFonts w:ascii="Arial" w:cs="Arial" w:eastAsia="Arial" w:hAnsi="Arial"/>
          <w:sz w:val="17"/>
          <w:szCs w:val="17"/>
          <w:color w:val="auto"/>
        </w:rPr>
        <w:t>” and the date of satisfaction of such conditions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thereafter, the Company shall have the right, but not the obligation, to direct the Investor, by its delivery to the Investor of a Purchase Notice from time to time on any Purchase Date on which the Closing Sale Price is not below the Floor Price, to purchase up to the Regular Purchase Share Limit (each such purchase, a “</w:t>
      </w:r>
      <w:r>
        <w:rPr>
          <w:rFonts w:ascii="Arial" w:cs="Arial" w:eastAsia="Arial" w:hAnsi="Arial"/>
          <w:sz w:val="17"/>
          <w:szCs w:val="17"/>
          <w:u w:val="single" w:color="auto"/>
          <w:color w:val="auto"/>
        </w:rPr>
        <w:t>Regular Purchase</w:t>
      </w:r>
      <w:r>
        <w:rPr>
          <w:rFonts w:ascii="Arial" w:cs="Arial" w:eastAsia="Arial" w:hAnsi="Arial"/>
          <w:sz w:val="17"/>
          <w:szCs w:val="17"/>
          <w:color w:val="auto"/>
        </w:rPr>
        <w:t>”) at the lower of: (i) the lowest Sale Price of the Common Stock on the applicable Purchase Date and (ii) the arithmetic average of the three (3) lowest Closing Sale Prices for the Common Stock during the ten (10) consecutive Business Days ending on the Business Day immediately preceding such Purchase Date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on each Purchase Date (each such purchase, a “</w:t>
      </w:r>
      <w:r>
        <w:rPr>
          <w:rFonts w:ascii="Arial" w:cs="Arial" w:eastAsia="Arial" w:hAnsi="Arial"/>
          <w:sz w:val="17"/>
          <w:szCs w:val="17"/>
          <w:u w:val="single" w:color="auto"/>
          <w:color w:val="auto"/>
        </w:rPr>
        <w:t>Regular Purchase</w:t>
      </w:r>
      <w:r>
        <w:rPr>
          <w:rFonts w:ascii="Arial" w:cs="Arial" w:eastAsia="Arial" w:hAnsi="Arial"/>
          <w:sz w:val="17"/>
          <w:szCs w:val="17"/>
          <w:color w:val="auto"/>
        </w:rPr>
        <w:t xml:space="preserve">”). The Company may deliver multiple Purchase Notices to the Investor for multiple Regular Purchases on a Purchase Date subject to the second sentence of </w:t>
      </w:r>
      <w:r>
        <w:rPr>
          <w:rFonts w:ascii="Arial" w:cs="Arial" w:eastAsia="Arial" w:hAnsi="Arial"/>
          <w:sz w:val="17"/>
          <w:szCs w:val="17"/>
          <w:u w:val="single" w:color="auto"/>
          <w:color w:val="auto"/>
        </w:rPr>
        <w:t>Section 2(g)</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56"/>
        <w:spacing w:after="0" w:line="270" w:lineRule="auto"/>
        <w:tabs>
          <w:tab w:leader="none" w:pos="1618" w:val="left"/>
        </w:tabs>
        <w:numPr>
          <w:ilvl w:val="0"/>
          <w:numId w:val="18"/>
        </w:numPr>
        <w:rPr>
          <w:rFonts w:ascii="Arial" w:cs="Arial" w:eastAsia="Arial" w:hAnsi="Arial"/>
          <w:sz w:val="17"/>
          <w:szCs w:val="17"/>
          <w:color w:val="010000"/>
        </w:rPr>
      </w:pPr>
      <w:r>
        <w:rPr>
          <w:rFonts w:ascii="Arial" w:cs="Arial" w:eastAsia="Arial" w:hAnsi="Arial"/>
          <w:sz w:val="17"/>
          <w:szCs w:val="17"/>
          <w:u w:val="single" w:color="auto"/>
          <w:color w:val="auto"/>
        </w:rPr>
        <w:t>Accelerated Purchases</w:t>
      </w:r>
      <w:r>
        <w:rPr>
          <w:rFonts w:ascii="Arial" w:cs="Arial" w:eastAsia="Arial" w:hAnsi="Arial"/>
          <w:sz w:val="17"/>
          <w:szCs w:val="17"/>
          <w:color w:val="auto"/>
        </w:rPr>
        <w:t>. On any Purchase Date, provided that the Company submitted a Purchase Notice for a Regular Purchase for a number of Purchase Shares not less than the Regular Purchase Share Limit then in effect on such Purchase Date, the Closing Sale Price is not below the Accelerated Purchase Floor Price and otherwise subject to the terms and conditions of this Agreement, the Company shall also have the right, but not the obligation, to direct the Investor, by its delivery to the Investor of a Purchase Notice from time to time in accordance with this Agreement, to purchase the applicable Accelerated Purchase Share Amount (each such purchase, an “</w:t>
      </w:r>
      <w:r>
        <w:rPr>
          <w:rFonts w:ascii="Arial" w:cs="Arial" w:eastAsia="Arial" w:hAnsi="Arial"/>
          <w:sz w:val="17"/>
          <w:szCs w:val="17"/>
          <w:u w:val="single" w:color="auto"/>
          <w:color w:val="auto"/>
        </w:rPr>
        <w:t>Accelerated Purchase</w:t>
      </w:r>
      <w:r>
        <w:rPr>
          <w:rFonts w:ascii="Arial" w:cs="Arial" w:eastAsia="Arial" w:hAnsi="Arial"/>
          <w:sz w:val="17"/>
          <w:szCs w:val="17"/>
          <w:color w:val="auto"/>
        </w:rPr>
        <w:t>”) at ninety-seven percent (97%) of the lower of (i) the Closing Sale Price of the Common Stock on such applicable Accelerated Purchase Date and (ii) of the VWAP for the Accelerated Purchase Period (the “</w:t>
      </w:r>
      <w:r>
        <w:rPr>
          <w:rFonts w:ascii="Arial" w:cs="Arial" w:eastAsia="Arial" w:hAnsi="Arial"/>
          <w:sz w:val="17"/>
          <w:szCs w:val="17"/>
          <w:u w:val="single" w:color="auto"/>
          <w:color w:val="auto"/>
        </w:rPr>
        <w:t>Accelerated Purchase Price</w:t>
      </w:r>
      <w:r>
        <w:rPr>
          <w:rFonts w:ascii="Arial" w:cs="Arial" w:eastAsia="Arial" w:hAnsi="Arial"/>
          <w:sz w:val="17"/>
          <w:szCs w:val="17"/>
          <w:color w:val="auto"/>
        </w:rPr>
        <w:t>”). Within one (1)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w:t>
      </w:r>
    </w:p>
    <w:p>
      <w:pPr>
        <w:spacing w:after="0" w:line="180" w:lineRule="exact"/>
        <w:rPr>
          <w:rFonts w:ascii="Arial" w:cs="Arial" w:eastAsia="Arial" w:hAnsi="Arial"/>
          <w:sz w:val="17"/>
          <w:szCs w:val="17"/>
          <w:color w:val="010000"/>
        </w:rPr>
      </w:pPr>
    </w:p>
    <w:p>
      <w:pPr>
        <w:jc w:val="both"/>
        <w:ind w:firstLine="656"/>
        <w:spacing w:after="0" w:line="255" w:lineRule="auto"/>
        <w:tabs>
          <w:tab w:leader="none" w:pos="1648" w:val="left"/>
        </w:tabs>
        <w:numPr>
          <w:ilvl w:val="0"/>
          <w:numId w:val="18"/>
        </w:numPr>
        <w:rPr>
          <w:rFonts w:ascii="Arial" w:cs="Arial" w:eastAsia="Arial" w:hAnsi="Arial"/>
          <w:sz w:val="18"/>
          <w:szCs w:val="18"/>
          <w:color w:val="010000"/>
        </w:rPr>
      </w:pPr>
      <w:r>
        <w:rPr>
          <w:rFonts w:ascii="Arial" w:cs="Arial" w:eastAsia="Arial" w:hAnsi="Arial"/>
          <w:sz w:val="18"/>
          <w:szCs w:val="18"/>
          <w:u w:val="single" w:color="auto"/>
          <w:color w:val="auto"/>
        </w:rPr>
        <w:t>Additional Accelerated Purchases</w:t>
      </w:r>
      <w:r>
        <w:rPr>
          <w:rFonts w:ascii="Arial" w:cs="Arial" w:eastAsia="Arial" w:hAnsi="Arial"/>
          <w:sz w:val="18"/>
          <w:szCs w:val="18"/>
          <w:color w:val="auto"/>
        </w:rPr>
        <w:t>. On any Accelerated Purchase Date, provided that the Company submitted a Purchase Notice for an Accelerated Purchase and subject to the terms and conditions of this Agreement, the Company shall also have the right, but not the obligation, to direct the Investor, by its delivery to the Investor of a Purchase Notice from time to time in accordance with this Agreement, to purchase the applicable Accelerated Purchase Share Amount (each such purchase, an “</w:t>
      </w:r>
      <w:r>
        <w:rPr>
          <w:rFonts w:ascii="Arial" w:cs="Arial" w:eastAsia="Arial" w:hAnsi="Arial"/>
          <w:sz w:val="18"/>
          <w:szCs w:val="18"/>
          <w:u w:val="single" w:color="auto"/>
          <w:color w:val="auto"/>
        </w:rPr>
        <w:t>Additional Accelerated Purchase</w:t>
      </w:r>
      <w:r>
        <w:rPr>
          <w:rFonts w:ascii="Arial" w:cs="Arial" w:eastAsia="Arial" w:hAnsi="Arial"/>
          <w:sz w:val="18"/>
          <w:szCs w:val="18"/>
          <w:color w:val="auto"/>
        </w:rPr>
        <w:t xml:space="preserve">”) at the Accelerated Purchase Price. The Company may deliver Purchase Notices to the Investor for multiple Additional Accelerated Purchases on an Accelerated Purchase Date subject to the second sentence of </w:t>
      </w:r>
      <w:r>
        <w:rPr>
          <w:rFonts w:ascii="Arial" w:cs="Arial" w:eastAsia="Arial" w:hAnsi="Arial"/>
          <w:sz w:val="18"/>
          <w:szCs w:val="18"/>
          <w:u w:val="single" w:color="auto"/>
          <w:color w:val="auto"/>
        </w:rPr>
        <w:t>Section 2(g)</w:t>
      </w:r>
      <w:r>
        <w:rPr>
          <w:rFonts w:ascii="Arial" w:cs="Arial" w:eastAsia="Arial" w:hAnsi="Arial"/>
          <w:sz w:val="18"/>
          <w:szCs w:val="18"/>
          <w:color w:val="auto"/>
        </w:rPr>
        <w:t>.</w:t>
      </w:r>
    </w:p>
    <w:p>
      <w:pPr>
        <w:spacing w:after="0" w:line="192" w:lineRule="exact"/>
        <w:rPr>
          <w:rFonts w:ascii="Arial" w:cs="Arial" w:eastAsia="Arial" w:hAnsi="Arial"/>
          <w:sz w:val="18"/>
          <w:szCs w:val="18"/>
          <w:color w:val="010000"/>
        </w:rPr>
      </w:pPr>
    </w:p>
    <w:p>
      <w:pPr>
        <w:jc w:val="both"/>
        <w:ind w:firstLine="656"/>
        <w:spacing w:after="0" w:line="284" w:lineRule="auto"/>
        <w:tabs>
          <w:tab w:leader="none" w:pos="1645" w:val="left"/>
        </w:tabs>
        <w:numPr>
          <w:ilvl w:val="0"/>
          <w:numId w:val="18"/>
        </w:numPr>
        <w:rPr>
          <w:rFonts w:ascii="Arial" w:cs="Arial" w:eastAsia="Arial" w:hAnsi="Arial"/>
          <w:sz w:val="16"/>
          <w:szCs w:val="16"/>
          <w:color w:val="010000"/>
        </w:rPr>
      </w:pPr>
      <w:r>
        <w:rPr>
          <w:rFonts w:ascii="Arial" w:cs="Arial" w:eastAsia="Arial" w:hAnsi="Arial"/>
          <w:sz w:val="16"/>
          <w:szCs w:val="16"/>
          <w:u w:val="single" w:color="auto"/>
          <w:color w:val="auto"/>
        </w:rPr>
        <w:t>Payment for Purchase Shares.</w:t>
      </w:r>
      <w:r>
        <w:rPr>
          <w:rFonts w:ascii="Arial" w:cs="Arial" w:eastAsia="Arial" w:hAnsi="Arial"/>
          <w:sz w:val="16"/>
          <w:szCs w:val="16"/>
          <w:color w:val="auto"/>
        </w:rPr>
        <w:t xml:space="preserve"> For each Regular Purchase, the Investor shall pay to the Company an amount equal to the Purchase Amount with respect to such Regular Purchase as full payment for such Purchase Shares via wire transfer of immediately available funds on the same Business Day that the Investor receives such Purchase Shares, if such Purchase Shares are received by the Investor before 1:00 p.m., Eastern time, or, if such Purchase Shares are received by the Investor after 1:00 p.m., Eastern time, the next Business Day. Within one (1) Business Day after completion of each Accelerated Purchase Date for an Accelerated Purchase or Additional Accelerated Purchase, respectively, the Investor will provide to the Company a written confirmation of such Accelerated Purchase setting forth the applicable Accelerated Purchase Share Amount and Accelerated Purchase Price for such Purchase. For each Accelerated Purchase and each Additional Accelerated Purchase, the Investor shall pay to the Company an amount equal to the Purchase Amount with respect to such Purchase as full payment for such Purchase Shares via wire transfer of immediately available funds on the second Business Day following the date that the Investor receives the Purchase Shares for such Purchase. If the Company or the Transfer Agent shall fail for any reason or for no reason to electronically transfer any Purchase Shares as DWAC Shares with respect to any Purchase within two (2) Business Days following the receipt by the Company of the Purchase Price or Accelerated Purchase Price, as applicable, for any Purchase therefor in compliance with this </w:t>
      </w:r>
      <w:r>
        <w:rPr>
          <w:rFonts w:ascii="Arial" w:cs="Arial" w:eastAsia="Arial" w:hAnsi="Arial"/>
          <w:sz w:val="16"/>
          <w:szCs w:val="16"/>
          <w:u w:val="single" w:color="auto"/>
          <w:color w:val="auto"/>
        </w:rPr>
        <w:t>Section 2(d)</w:t>
      </w:r>
      <w:r>
        <w:rPr>
          <w:rFonts w:ascii="Arial" w:cs="Arial" w:eastAsia="Arial" w:hAnsi="Arial"/>
          <w:sz w:val="16"/>
          <w:szCs w:val="16"/>
          <w:color w:val="auto"/>
        </w:rPr>
        <w:t>, or if the Company or the Transfer Agent shall fail for any reason or for no reason to electronically transfer the Commitment Shares as DWAC Shares with respect within two (2) Business Days following the filing of the Initial Prospectus Supplement, and in either case, if after such second Business Day the Investor purchases (in an open market transaction or otherwise) shares of Common Stock to deliver in satisfaction of a sale by the Investor of Purchase Shares or Commitment Shares in anticipation of receiving such Purchase Shares or Commitment Shares from the Company, then the Company shall, within two (2) Business Days after the Investor’s request, either (i) pay cash to the Investor in an amount equal to the Investor’s total purchase price (including brokerage commissions, if any) for the shares of Common Stock so purchased (the “</w:t>
      </w:r>
      <w:r>
        <w:rPr>
          <w:rFonts w:ascii="Arial" w:cs="Arial" w:eastAsia="Arial" w:hAnsi="Arial"/>
          <w:sz w:val="16"/>
          <w:szCs w:val="16"/>
          <w:u w:val="single" w:color="auto"/>
          <w:color w:val="auto"/>
        </w:rPr>
        <w:t>Cover Price</w:t>
      </w:r>
      <w:r>
        <w:rPr>
          <w:rFonts w:ascii="Arial" w:cs="Arial" w:eastAsia="Arial" w:hAnsi="Arial"/>
          <w:sz w:val="16"/>
          <w:szCs w:val="16"/>
          <w:color w:val="auto"/>
        </w:rPr>
        <w:t>”),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purchases.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56"/>
        <w:spacing w:after="0" w:line="268" w:lineRule="auto"/>
        <w:tabs>
          <w:tab w:leader="none" w:pos="1675" w:val="left"/>
        </w:tabs>
        <w:numPr>
          <w:ilvl w:val="0"/>
          <w:numId w:val="19"/>
        </w:numPr>
        <w:rPr>
          <w:rFonts w:ascii="Arial" w:cs="Arial" w:eastAsia="Arial" w:hAnsi="Arial"/>
          <w:sz w:val="17"/>
          <w:szCs w:val="17"/>
          <w:color w:val="010000"/>
        </w:rPr>
      </w:pPr>
      <w:r>
        <w:rPr>
          <w:rFonts w:ascii="Arial" w:cs="Arial" w:eastAsia="Arial" w:hAnsi="Arial"/>
          <w:sz w:val="17"/>
          <w:szCs w:val="17"/>
          <w:u w:val="single" w:color="auto"/>
          <w:color w:val="auto"/>
        </w:rPr>
        <w:t>Compliance with Rules of the Principal Market.</w:t>
      </w:r>
      <w:r>
        <w:rPr>
          <w:rFonts w:ascii="Arial" w:cs="Arial" w:eastAsia="Arial" w:hAnsi="Arial"/>
          <w:sz w:val="17"/>
          <w:szCs w:val="17"/>
          <w:color w:val="auto"/>
        </w:rPr>
        <w:t xml:space="preserve"> Notwithstanding anything in this Agreement to the contrary, and in addition to the limitations set forth in </w:t>
      </w:r>
      <w:r>
        <w:rPr>
          <w:rFonts w:ascii="Arial" w:cs="Arial" w:eastAsia="Arial" w:hAnsi="Arial"/>
          <w:sz w:val="17"/>
          <w:szCs w:val="17"/>
          <w:u w:val="single" w:color="auto"/>
          <w:color w:val="auto"/>
        </w:rPr>
        <w:t>Section 2(f)</w:t>
      </w:r>
      <w:r>
        <w:rPr>
          <w:rFonts w:ascii="Arial" w:cs="Arial" w:eastAsia="Arial" w:hAnsi="Arial"/>
          <w:sz w:val="17"/>
          <w:szCs w:val="17"/>
          <w:color w:val="auto"/>
        </w:rPr>
        <w:t>, the Company shall not issue more than 8,544,555 shares (including the Commitment Shares) of Common Stock (the “</w:t>
      </w:r>
      <w:r>
        <w:rPr>
          <w:rFonts w:ascii="Arial" w:cs="Arial" w:eastAsia="Arial" w:hAnsi="Arial"/>
          <w:sz w:val="17"/>
          <w:szCs w:val="17"/>
          <w:u w:val="single" w:color="auto"/>
          <w:color w:val="auto"/>
        </w:rPr>
        <w:t>Exchange Cap</w:t>
      </w:r>
      <w:r>
        <w:rPr>
          <w:rFonts w:ascii="Arial" w:cs="Arial" w:eastAsia="Arial" w:hAnsi="Arial"/>
          <w:sz w:val="17"/>
          <w:szCs w:val="17"/>
          <w:color w:val="auto"/>
        </w:rPr>
        <w:t>”) under this Agreement, which equals 19.99% of the Company’s outstanding shares of Common Stock as of the date hereof, unless stockholder approval is obtained to issue in excess of the Exchange Cap; provided, however, that the foregoing limitation shall not apply if at any time the Exchange Cap is reached and at all times thereafter the average price paid for all shares of Common Stock issued under this Agreement is equal to or greater than $2.1912 (the “</w:t>
      </w:r>
      <w:r>
        <w:rPr>
          <w:rFonts w:ascii="Arial" w:cs="Arial" w:eastAsia="Arial" w:hAnsi="Arial"/>
          <w:sz w:val="17"/>
          <w:szCs w:val="17"/>
          <w:u w:val="single" w:color="auto"/>
          <w:color w:val="auto"/>
        </w:rPr>
        <w:t>Minimum Price</w:t>
      </w:r>
      <w:r>
        <w:rPr>
          <w:rFonts w:ascii="Arial" w:cs="Arial" w:eastAsia="Arial" w:hAnsi="Arial"/>
          <w:sz w:val="17"/>
          <w:szCs w:val="17"/>
          <w:color w:val="auto"/>
        </w:rPr>
        <w:t>”), which is the lower of (i) the Nasdaq Official Closing Price immediately preceding the execution of this Agreement and (ii) the arithmetic average of the Nasdaq Official Closing Prices for the Common Stock for the five (5) Business Days immediately preceding the execution of this Agreement, as adjusted in accordance with the rules of the Principal Market (in such circumstance, for purposes of the Principal Market, the transaction contemplated hereby would not be “below market” and the Exchange Cap would not apply). Notwithstanding the foregoing, the Company shall not be required or permitted to issue, and the Investor shall not be required to purchase, any shares of Common Stock under this Agreement if such issuance would violate the rules or regulations of the Principal Market. The Company may, in its sole discretion, determine whether to obtain stockholder approval to issue more than 19.99% of its outstanding shares of Common Stock hereunder if such issuance would require stockholder approval under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p>
    <w:p>
      <w:pPr>
        <w:spacing w:after="0" w:line="181" w:lineRule="exact"/>
        <w:rPr>
          <w:rFonts w:ascii="Arial" w:cs="Arial" w:eastAsia="Arial" w:hAnsi="Arial"/>
          <w:sz w:val="17"/>
          <w:szCs w:val="17"/>
          <w:color w:val="010000"/>
        </w:rPr>
      </w:pPr>
    </w:p>
    <w:p>
      <w:pPr>
        <w:jc w:val="both"/>
        <w:ind w:firstLine="656"/>
        <w:spacing w:after="0" w:line="269" w:lineRule="auto"/>
        <w:tabs>
          <w:tab w:leader="none" w:pos="1592" w:val="left"/>
        </w:tabs>
        <w:numPr>
          <w:ilvl w:val="0"/>
          <w:numId w:val="19"/>
        </w:numPr>
        <w:rPr>
          <w:rFonts w:ascii="Arial" w:cs="Arial" w:eastAsia="Arial" w:hAnsi="Arial"/>
          <w:sz w:val="17"/>
          <w:szCs w:val="17"/>
          <w:color w:val="010000"/>
        </w:rPr>
      </w:pP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xml:space="preserve">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of more than 9.99% of the then issued and outstanding shares of Common Stock (the “</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Upon the written or oral request of the Investor, the Company shall promptly (but not later than one (1) Business Day) confirm orally or in writing to the Investor the amount of Common Stock then outstanding. The Investor and the Company shall each cooperate in good faith in the determinations required hereby and the application hereof. Upon the oral or written request of the Company, the Investor shall promptly (but not later than one (1) Business Day) confirm orally or in writing to the Company whether the total number of shares beneficially held by it and its affiliates exceeds 9.0% of the total outstanding amount of Common Stock then outstanding.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spacing w:after="0" w:line="181" w:lineRule="exact"/>
        <w:rPr>
          <w:rFonts w:ascii="Arial" w:cs="Arial" w:eastAsia="Arial" w:hAnsi="Arial"/>
          <w:sz w:val="17"/>
          <w:szCs w:val="17"/>
          <w:color w:val="010000"/>
        </w:rPr>
      </w:pPr>
    </w:p>
    <w:p>
      <w:pPr>
        <w:jc w:val="both"/>
        <w:ind w:firstLine="656"/>
        <w:spacing w:after="0" w:line="269" w:lineRule="auto"/>
        <w:tabs>
          <w:tab w:leader="none" w:pos="1591" w:val="left"/>
        </w:tabs>
        <w:numPr>
          <w:ilvl w:val="0"/>
          <w:numId w:val="19"/>
        </w:numPr>
        <w:rPr>
          <w:rFonts w:ascii="Arial" w:cs="Arial" w:eastAsia="Arial" w:hAnsi="Arial"/>
          <w:sz w:val="17"/>
          <w:szCs w:val="17"/>
          <w:color w:val="010000"/>
        </w:rPr>
      </w:pPr>
      <w:r>
        <w:rPr>
          <w:rFonts w:ascii="Arial" w:cs="Arial" w:eastAsia="Arial" w:hAnsi="Arial"/>
          <w:sz w:val="17"/>
          <w:szCs w:val="17"/>
          <w:u w:val="single" w:color="auto"/>
          <w:color w:val="auto"/>
        </w:rPr>
        <w:t>Excess Share Limitations.</w:t>
      </w:r>
      <w:r>
        <w:rPr>
          <w:rFonts w:ascii="Arial" w:cs="Arial" w:eastAsia="Arial" w:hAnsi="Arial"/>
          <w:sz w:val="17"/>
          <w:szCs w:val="17"/>
          <w:color w:val="auto"/>
        </w:rPr>
        <w:t xml:space="preserve"> If the Company delivers any Purchase Notice for a Purchase Amount in excess of the limitations contained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such Purchase Notice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to the extent of the amount by which the number of Purchase Shares set forth in such Purchase Notice exceeds the number of Purchase Shares which the Company is permitted to include in such Purchase Notice in accordance herewith, and the Investor shall have no obligation to purchase such excess Purchase Shares in respect of such Purchase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Investor shall remain obligated to purchase the number of Purchase Shares which the Company is permitted to include in such Purchase Notice. If the Company delivers a Purchase Notice, and all Purchase Shares subject to all prior Purchases have not theretofore been received by the Investor as DWAC Shares in accordance with this Agreement, such Purchase Notice shall not be deemed to have been delivered and the Investor shall not be required to purchase any Purchase Shares until all Purchase Shares for such prior Purchases have been received by the Investor as DWAC Shares. If any issuance of Purchase Shares would result in the issuance of a fraction of a share of Common Stock, the Company shall round such fraction of a share of Common Stock down to the nearest whole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8" w:firstLine="656"/>
        <w:spacing w:after="0" w:line="263" w:lineRule="auto"/>
        <w:tabs>
          <w:tab w:leader="none" w:pos="1569" w:val="left"/>
        </w:tabs>
        <w:numPr>
          <w:ilvl w:val="1"/>
          <w:numId w:val="20"/>
        </w:numPr>
        <w:rPr>
          <w:rFonts w:ascii="Arial" w:cs="Arial" w:eastAsia="Arial" w:hAnsi="Arial"/>
          <w:sz w:val="18"/>
          <w:szCs w:val="18"/>
          <w:color w:val="010000"/>
        </w:rPr>
      </w:pPr>
      <w:r>
        <w:rPr>
          <w:rFonts w:ascii="Arial" w:cs="Arial" w:eastAsia="Arial" w:hAnsi="Arial"/>
          <w:sz w:val="18"/>
          <w:szCs w:val="18"/>
          <w:u w:val="single" w:color="auto"/>
          <w:color w:val="auto"/>
        </w:rPr>
        <w:t>Adjustments for Shares and Prices</w:t>
      </w:r>
      <w:r>
        <w:rPr>
          <w:rFonts w:ascii="Arial" w:cs="Arial" w:eastAsia="Arial" w:hAnsi="Arial"/>
          <w:sz w:val="18"/>
          <w:szCs w:val="18"/>
          <w:color w:val="auto"/>
        </w:rPr>
        <w:t xml:space="preserve">. Except as specifically stated otherwise, all share-related and dollar-related limitations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adjusted to take into account any reorganization, recapitalization, non-cash dividend, stock split, reverse stock, split or other similar transaction effected with respect to the Common Stock.</w:t>
      </w:r>
    </w:p>
    <w:p>
      <w:pPr>
        <w:spacing w:after="0" w:line="179" w:lineRule="exact"/>
        <w:rPr>
          <w:rFonts w:ascii="Arial" w:cs="Arial" w:eastAsia="Arial" w:hAnsi="Arial"/>
          <w:sz w:val="18"/>
          <w:szCs w:val="18"/>
          <w:color w:val="010000"/>
        </w:rPr>
      </w:pPr>
    </w:p>
    <w:p>
      <w:pPr>
        <w:ind w:left="652" w:hanging="652"/>
        <w:spacing w:after="0"/>
        <w:tabs>
          <w:tab w:leader="none" w:pos="652" w:val="left"/>
        </w:tabs>
        <w:numPr>
          <w:ilvl w:val="0"/>
          <w:numId w:val="21"/>
        </w:numPr>
        <w:rPr>
          <w:rFonts w:ascii="Arial" w:cs="Arial" w:eastAsia="Arial" w:hAnsi="Arial"/>
          <w:sz w:val="18"/>
          <w:szCs w:val="18"/>
          <w:b w:val="1"/>
          <w:bCs w:val="1"/>
          <w:color w:val="010000"/>
        </w:rPr>
      </w:pPr>
      <w:r>
        <w:rPr>
          <w:rFonts w:ascii="Arial" w:cs="Arial" w:eastAsia="Arial" w:hAnsi="Arial"/>
          <w:sz w:val="18"/>
          <w:szCs w:val="18"/>
          <w:b w:val="1"/>
          <w:bCs w:val="1"/>
          <w:color w:val="auto"/>
        </w:rPr>
        <w:t>INVESTOR’S REPRESENTATIONS AND WARRANTIES.</w:t>
      </w:r>
    </w:p>
    <w:p>
      <w:pPr>
        <w:spacing w:after="0" w:line="229" w:lineRule="exact"/>
        <w:rPr>
          <w:sz w:val="20"/>
          <w:szCs w:val="20"/>
          <w:color w:val="auto"/>
        </w:rPr>
      </w:pPr>
    </w:p>
    <w:p>
      <w:pPr>
        <w:ind w:left="832"/>
        <w:spacing w:after="0"/>
        <w:rPr>
          <w:sz w:val="20"/>
          <w:szCs w:val="20"/>
          <w:color w:val="auto"/>
        </w:rPr>
      </w:pPr>
      <w:r>
        <w:rPr>
          <w:rFonts w:ascii="Arial" w:cs="Arial" w:eastAsia="Arial" w:hAnsi="Arial"/>
          <w:sz w:val="18"/>
          <w:szCs w:val="18"/>
          <w:color w:val="auto"/>
        </w:rPr>
        <w:t>The Investor represents and warrants to the Company that as of the date hereof and as of the Commencement Date:</w:t>
      </w:r>
    </w:p>
    <w:p>
      <w:pPr>
        <w:spacing w:after="0" w:line="225" w:lineRule="exact"/>
        <w:rPr>
          <w:sz w:val="20"/>
          <w:szCs w:val="20"/>
          <w:color w:val="auto"/>
        </w:rPr>
      </w:pPr>
    </w:p>
    <w:p>
      <w:pPr>
        <w:jc w:val="both"/>
        <w:ind w:left="-8" w:firstLine="656"/>
        <w:spacing w:after="0" w:line="263" w:lineRule="auto"/>
        <w:tabs>
          <w:tab w:leader="none" w:pos="1613" w:val="left"/>
        </w:tabs>
        <w:numPr>
          <w:ilvl w:val="0"/>
          <w:numId w:val="22"/>
        </w:numPr>
        <w:rPr>
          <w:rFonts w:ascii="Arial" w:cs="Arial" w:eastAsia="Arial" w:hAnsi="Arial"/>
          <w:sz w:val="18"/>
          <w:szCs w:val="18"/>
          <w:color w:val="010000"/>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 and thereunder.</w:t>
      </w:r>
    </w:p>
    <w:p>
      <w:pPr>
        <w:spacing w:after="0" w:line="183" w:lineRule="exact"/>
        <w:rPr>
          <w:rFonts w:ascii="Arial" w:cs="Arial" w:eastAsia="Arial" w:hAnsi="Arial"/>
          <w:sz w:val="18"/>
          <w:szCs w:val="18"/>
          <w:color w:val="010000"/>
        </w:rPr>
      </w:pPr>
    </w:p>
    <w:p>
      <w:pPr>
        <w:ind w:left="-8" w:right="20" w:firstLine="656"/>
        <w:spacing w:after="0" w:line="277" w:lineRule="auto"/>
        <w:tabs>
          <w:tab w:leader="none" w:pos="1866" w:val="left"/>
        </w:tabs>
        <w:numPr>
          <w:ilvl w:val="0"/>
          <w:numId w:val="22"/>
        </w:numPr>
        <w:rPr>
          <w:rFonts w:ascii="Arial" w:cs="Arial" w:eastAsia="Arial" w:hAnsi="Arial"/>
          <w:sz w:val="18"/>
          <w:szCs w:val="18"/>
          <w:color w:val="010000"/>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The Investor is an “accredited investor” as that term is defined in Rule 501(a)(3) of Regulation D promulgated under the Securities Act.</w:t>
      </w:r>
    </w:p>
    <w:p>
      <w:pPr>
        <w:spacing w:after="0" w:line="170" w:lineRule="exact"/>
        <w:rPr>
          <w:rFonts w:ascii="Arial" w:cs="Arial" w:eastAsia="Arial" w:hAnsi="Arial"/>
          <w:sz w:val="18"/>
          <w:szCs w:val="18"/>
          <w:color w:val="010000"/>
        </w:rPr>
      </w:pPr>
    </w:p>
    <w:p>
      <w:pPr>
        <w:jc w:val="both"/>
        <w:ind w:left="-8" w:firstLine="656"/>
        <w:spacing w:after="0" w:line="254" w:lineRule="auto"/>
        <w:tabs>
          <w:tab w:leader="none" w:pos="1600" w:val="left"/>
        </w:tabs>
        <w:numPr>
          <w:ilvl w:val="0"/>
          <w:numId w:val="22"/>
        </w:numPr>
        <w:rPr>
          <w:rFonts w:ascii="Arial" w:cs="Arial" w:eastAsia="Arial" w:hAnsi="Arial"/>
          <w:sz w:val="18"/>
          <w:szCs w:val="18"/>
          <w:color w:val="010000"/>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Investor is acquiring the Securities as principal for its own account for investment only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w:t>
      </w:r>
    </w:p>
    <w:p>
      <w:pPr>
        <w:spacing w:after="0" w:line="194" w:lineRule="exact"/>
        <w:rPr>
          <w:rFonts w:ascii="Arial" w:cs="Arial" w:eastAsia="Arial" w:hAnsi="Arial"/>
          <w:sz w:val="18"/>
          <w:szCs w:val="18"/>
          <w:color w:val="010000"/>
        </w:rPr>
      </w:pPr>
    </w:p>
    <w:p>
      <w:pPr>
        <w:jc w:val="both"/>
        <w:ind w:left="-8" w:firstLine="656"/>
        <w:spacing w:after="0" w:line="269" w:lineRule="auto"/>
        <w:tabs>
          <w:tab w:leader="none" w:pos="1664" w:val="left"/>
        </w:tabs>
        <w:numPr>
          <w:ilvl w:val="0"/>
          <w:numId w:val="22"/>
        </w:numPr>
        <w:rPr>
          <w:rFonts w:ascii="Arial" w:cs="Arial" w:eastAsia="Arial" w:hAnsi="Arial"/>
          <w:sz w:val="17"/>
          <w:szCs w:val="17"/>
          <w:color w:val="010000"/>
        </w:rPr>
      </w:pP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The Investor has sought such accounting, legal and tax advice as it has considered necessary to make an informed investment decision with respect to its acquisition of the Securities and is not relying on any accounting, legal, tax or other advice from the Company or its officers, employees, representatives or advisors. The Investor acknowledges and agrees that the Company neither makes nor has made any representations or warranties with respect to the transactions contemplated hereby other than those specifically set forth in Section 4 hereof.</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 w:name="page17"/>
    <w:bookmarkEnd w:id="16"/>
    <w:p>
      <w:pPr>
        <w:jc w:val="both"/>
        <w:ind w:firstLine="656"/>
        <w:spacing w:after="0" w:line="263" w:lineRule="auto"/>
        <w:tabs>
          <w:tab w:leader="none" w:pos="1675"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700"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and the other Transaction Documents have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86" w:lineRule="exact"/>
        <w:rPr>
          <w:rFonts w:ascii="Arial" w:cs="Arial" w:eastAsia="Arial" w:hAnsi="Arial"/>
          <w:sz w:val="18"/>
          <w:szCs w:val="18"/>
          <w:color w:val="010000"/>
        </w:rPr>
      </w:pPr>
    </w:p>
    <w:p>
      <w:pPr>
        <w:ind w:left="1580" w:hanging="924"/>
        <w:spacing w:after="0"/>
        <w:tabs>
          <w:tab w:leader="none" w:pos="1580"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Residency</w:t>
      </w:r>
      <w:r>
        <w:rPr>
          <w:rFonts w:ascii="Arial" w:cs="Arial" w:eastAsia="Arial" w:hAnsi="Arial"/>
          <w:sz w:val="18"/>
          <w:szCs w:val="18"/>
          <w:color w:val="auto"/>
        </w:rPr>
        <w:t>. The Investor is a resident of the State of Illinois.</w:t>
      </w:r>
    </w:p>
    <w:p>
      <w:pPr>
        <w:spacing w:after="0" w:line="225" w:lineRule="exact"/>
        <w:rPr>
          <w:rFonts w:ascii="Arial" w:cs="Arial" w:eastAsia="Arial" w:hAnsi="Arial"/>
          <w:sz w:val="18"/>
          <w:szCs w:val="18"/>
          <w:color w:val="010000"/>
        </w:rPr>
      </w:pPr>
    </w:p>
    <w:p>
      <w:pPr>
        <w:jc w:val="both"/>
        <w:ind w:firstLine="656"/>
        <w:spacing w:after="0" w:line="259" w:lineRule="auto"/>
        <w:tabs>
          <w:tab w:leader="none" w:pos="1618"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No Short Selling</w:t>
      </w:r>
      <w:r>
        <w:rPr>
          <w:rFonts w:ascii="Arial" w:cs="Arial" w:eastAsia="Arial" w:hAnsi="Arial"/>
          <w:sz w:val="18"/>
          <w:szCs w:val="18"/>
          <w:color w:val="auto"/>
        </w:rPr>
        <w:t>.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Common Stock or (ii) hedging transaction, which establishes a net short position with respect to the Common Stock.</w:t>
      </w:r>
    </w:p>
    <w:p>
      <w:pPr>
        <w:spacing w:after="0" w:line="182" w:lineRule="exact"/>
        <w:rPr>
          <w:rFonts w:ascii="Arial" w:cs="Arial" w:eastAsia="Arial" w:hAnsi="Arial"/>
          <w:sz w:val="18"/>
          <w:szCs w:val="18"/>
          <w:color w:val="010000"/>
        </w:rPr>
      </w:pPr>
    </w:p>
    <w:p>
      <w:pPr>
        <w:ind w:left="660" w:hanging="652"/>
        <w:spacing w:after="0"/>
        <w:tabs>
          <w:tab w:leader="none" w:pos="660" w:val="left"/>
        </w:tabs>
        <w:numPr>
          <w:ilvl w:val="0"/>
          <w:numId w:val="24"/>
        </w:numPr>
        <w:rPr>
          <w:rFonts w:ascii="Arial" w:cs="Arial" w:eastAsia="Arial" w:hAnsi="Arial"/>
          <w:sz w:val="18"/>
          <w:szCs w:val="18"/>
          <w:b w:val="1"/>
          <w:bCs w:val="1"/>
          <w:color w:val="010000"/>
        </w:rPr>
      </w:pPr>
      <w:r>
        <w:rPr>
          <w:rFonts w:ascii="Arial" w:cs="Arial" w:eastAsia="Arial" w:hAnsi="Arial"/>
          <w:sz w:val="18"/>
          <w:szCs w:val="18"/>
          <w:b w:val="1"/>
          <w:bCs w:val="1"/>
          <w:color w:val="auto"/>
        </w:rPr>
        <w:t>REPRESENTATIONS AND WARRANTIES OF THE COMPANY.</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The Company represents and warrants to the Investor that as of the date hereof and as of the Commencement Date:</w:t>
      </w:r>
    </w:p>
    <w:p>
      <w:pPr>
        <w:spacing w:after="0" w:line="225" w:lineRule="exact"/>
        <w:rPr>
          <w:rFonts w:ascii="Arial" w:cs="Arial" w:eastAsia="Arial" w:hAnsi="Arial"/>
          <w:sz w:val="18"/>
          <w:szCs w:val="18"/>
          <w:b w:val="1"/>
          <w:bCs w:val="1"/>
          <w:color w:val="010000"/>
        </w:rPr>
      </w:pPr>
    </w:p>
    <w:p>
      <w:pPr>
        <w:jc w:val="both"/>
        <w:ind w:firstLine="656"/>
        <w:spacing w:after="0" w:line="289" w:lineRule="auto"/>
        <w:tabs>
          <w:tab w:leader="none" w:pos="1743" w:val="left"/>
        </w:tabs>
        <w:numPr>
          <w:ilvl w:val="1"/>
          <w:numId w:val="24"/>
        </w:numPr>
        <w:rPr>
          <w:rFonts w:ascii="Arial" w:cs="Arial" w:eastAsia="Arial" w:hAnsi="Arial"/>
          <w:sz w:val="16"/>
          <w:szCs w:val="16"/>
          <w:color w:val="010000"/>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Subsidiary is in violation or default of any of the provisions of its respective certificate or articles of formation or incorporation, bylaws or other organizational or charter documents except as would not be expected to result in a Material Adverse Effect.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in the SEC Documents (as defined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91" w:lineRule="auto"/>
        <w:tabs>
          <w:tab w:leader="none" w:pos="1645" w:val="left"/>
        </w:tabs>
        <w:numPr>
          <w:ilvl w:val="1"/>
          <w:numId w:val="25"/>
        </w:numPr>
        <w:rPr>
          <w:rFonts w:ascii="Arial" w:cs="Arial" w:eastAsia="Arial" w:hAnsi="Arial"/>
          <w:sz w:val="16"/>
          <w:szCs w:val="16"/>
          <w:color w:val="010000"/>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(i) The Company has the requisite corporate power and authority to enter into and perform its obligations under this Agreement and each of the other Transaction Documents, and to issue the Securities in accordance with the terms hereof and thereof,</w:t>
      </w:r>
    </w:p>
    <w:p>
      <w:pPr>
        <w:jc w:val="both"/>
        <w:ind w:firstLine="8"/>
        <w:spacing w:after="0" w:line="284" w:lineRule="auto"/>
        <w:tabs>
          <w:tab w:leader="none" w:pos="28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execution and delivery of the Transaction Documents by the Company and the consummation by it of the transactions contemplated hereby and thereby, including without limitation, the issuance of the Commitment Shares (as defined below) and the reservation for issuance and the issuance of the Purchase Shares issuable under this Agreement, have been duly authorized by the Company's Board of Directors or a validly authorized committee thereof (collectively,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xml:space="preserve">”) and no further consent or authorization is required by the Company, its Board of Directors, or its stockholders (except as set forth in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hereof),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passed all applicable resolutions (the “</w:t>
      </w:r>
      <w:r>
        <w:rPr>
          <w:rFonts w:ascii="Arial" w:cs="Arial" w:eastAsia="Arial" w:hAnsi="Arial"/>
          <w:sz w:val="16"/>
          <w:szCs w:val="16"/>
          <w:u w:val="single" w:color="auto"/>
          <w:color w:val="auto"/>
        </w:rPr>
        <w:t>Resolutions</w:t>
      </w:r>
      <w:r>
        <w:rPr>
          <w:rFonts w:ascii="Arial" w:cs="Arial" w:eastAsia="Arial" w:hAnsi="Arial"/>
          <w:sz w:val="16"/>
          <w:szCs w:val="16"/>
          <w:color w:val="auto"/>
        </w:rPr>
        <w:t>”) to authorize this Agreement and the transactions contemplated hereby. The Resolutions are valid, in full force and effect and have not been modified or supplemented in any respect. The Company has delivered to the Investor a true and correct copy of the Resolutions duly adopted by the Board of Directors. Except as set forth in this Agreement, no other approvals or consents of the Company’s Board of Directors and/or stockholders is necessary under applicable laws and the Company’s Certificate of Incorporation in effect on the date hereof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and/or the Company’s Bylaws in effect on the date hereof (the “</w:t>
      </w:r>
      <w:r>
        <w:rPr>
          <w:rFonts w:ascii="Arial" w:cs="Arial" w:eastAsia="Arial" w:hAnsi="Arial"/>
          <w:sz w:val="16"/>
          <w:szCs w:val="16"/>
          <w:u w:val="single" w:color="auto"/>
          <w:color w:val="auto"/>
        </w:rPr>
        <w:t>Bylaws</w:t>
      </w:r>
      <w:r>
        <w:rPr>
          <w:rFonts w:ascii="Arial" w:cs="Arial" w:eastAsia="Arial" w:hAnsi="Arial"/>
          <w:sz w:val="16"/>
          <w:szCs w:val="16"/>
          <w:color w:val="auto"/>
        </w:rPr>
        <w:t>”) to authorize the execution and delivery of this Agreement or any of the transactions contemplated hereby, including, but not limited to, the issuance of the Commitment Shares and the issuance of the Purchase Shares.</w:t>
      </w:r>
    </w:p>
    <w:p>
      <w:pPr>
        <w:spacing w:after="0" w:line="175" w:lineRule="exact"/>
        <w:rPr>
          <w:rFonts w:ascii="Arial" w:cs="Arial" w:eastAsia="Arial" w:hAnsi="Arial"/>
          <w:sz w:val="16"/>
          <w:szCs w:val="16"/>
          <w:color w:val="auto"/>
        </w:rPr>
      </w:pPr>
    </w:p>
    <w:p>
      <w:pPr>
        <w:jc w:val="both"/>
        <w:ind w:firstLine="656"/>
        <w:spacing w:after="0" w:line="267" w:lineRule="auto"/>
        <w:tabs>
          <w:tab w:leader="none" w:pos="1756" w:val="left"/>
        </w:tabs>
        <w:numPr>
          <w:ilvl w:val="1"/>
          <w:numId w:val="26"/>
        </w:numPr>
        <w:rPr>
          <w:rFonts w:ascii="Arial" w:cs="Arial" w:eastAsia="Arial" w:hAnsi="Arial"/>
          <w:sz w:val="17"/>
          <w:szCs w:val="17"/>
          <w:color w:val="010000"/>
        </w:rPr>
      </w:pPr>
      <w:r>
        <w:rPr>
          <w:rFonts w:ascii="Arial" w:cs="Arial" w:eastAsia="Arial" w:hAnsi="Arial"/>
          <w:sz w:val="17"/>
          <w:szCs w:val="17"/>
          <w:u w:val="single" w:color="auto"/>
          <w:color w:val="auto"/>
        </w:rPr>
        <w:t>Capitalization</w:t>
      </w:r>
      <w:r>
        <w:rPr>
          <w:rFonts w:ascii="Arial" w:cs="Arial" w:eastAsia="Arial" w:hAnsi="Arial"/>
          <w:sz w:val="17"/>
          <w:szCs w:val="17"/>
          <w:color w:val="auto"/>
        </w:rPr>
        <w:t>. As of the date hereof, the authorized capital stock of the Company is set forth in the SEC Documents (as defined below). Except as disclosed in the Shelf Registration Statement or the SEC Documents,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to the Investor true and correct copies of the Certificate of Incorporation and the Bylaws, and summaries of the material terms of all securities convertible into or exercisable for Common Stock, if any, and copies of any documents containing the material rights of the holders thereof in respect thereto, which are not disclosed in any SEC Document or filed as an exhibit thereto.</w:t>
      </w:r>
    </w:p>
    <w:p>
      <w:pPr>
        <w:spacing w:after="0" w:line="191" w:lineRule="exact"/>
        <w:rPr>
          <w:rFonts w:ascii="Arial" w:cs="Arial" w:eastAsia="Arial" w:hAnsi="Arial"/>
          <w:sz w:val="17"/>
          <w:szCs w:val="17"/>
          <w:color w:val="010000"/>
        </w:rPr>
      </w:pPr>
    </w:p>
    <w:p>
      <w:pPr>
        <w:jc w:val="both"/>
        <w:ind w:firstLine="656"/>
        <w:spacing w:after="0" w:line="301" w:lineRule="auto"/>
        <w:tabs>
          <w:tab w:leader="none" w:pos="1807" w:val="left"/>
        </w:tabs>
        <w:numPr>
          <w:ilvl w:val="1"/>
          <w:numId w:val="26"/>
        </w:numPr>
        <w:rPr>
          <w:rFonts w:ascii="Arial" w:cs="Arial" w:eastAsia="Arial" w:hAnsi="Arial"/>
          <w:sz w:val="16"/>
          <w:szCs w:val="16"/>
          <w:color w:val="010000"/>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Upon issuance and payment therefor in accordance with the terms and conditions of this Agreement, the Securities shall be validly issued, fully paid and nonassessable and free from all taxes, liens, charges, restrictions, rights of first refusal and preemptive rights with respect to the issue thereof, with the holders being entitled to all rights accorded to a holder of Common Stock. 12,000,000 shares of Common Stock have been duly authorized and reserved for issuance upon purchase under this Agreement as Purchase Shares and Commitment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84" w:lineRule="auto"/>
        <w:tabs>
          <w:tab w:leader="none" w:pos="1594" w:val="left"/>
        </w:tabs>
        <w:numPr>
          <w:ilvl w:val="0"/>
          <w:numId w:val="27"/>
        </w:numPr>
        <w:rPr>
          <w:rFonts w:ascii="Arial" w:cs="Arial" w:eastAsia="Arial" w:hAnsi="Arial"/>
          <w:sz w:val="16"/>
          <w:szCs w:val="16"/>
          <w:color w:val="010000"/>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reservation for issuance and issuance of the Securities)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None of the Subsidiaries are in violation of any term of or in default under its certificate or articles of incorporation, any certificate of designation, preferences and rights of any outstanding series of preferred stock, other organizational charter or bylaws.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would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would not reasonably be expected to have a Material Adverse Effect. Except as specifically contemplated by this Agreement and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Commencement Date. Except as disclosed in the SEC documents, since one year prior to the date hereof, the Company has not received nor delivered any notices or correspondence from or to the Principal Market, other than notices with respect to listing of additional shares of Common Stock and other routine correspondence. Except as disclosed in the SEC Documents, the Principal Market has not commenced any delisting proceedings against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67" w:lineRule="auto"/>
        <w:tabs>
          <w:tab w:leader="none" w:pos="1592" w:val="left"/>
        </w:tabs>
        <w:numPr>
          <w:ilvl w:val="0"/>
          <w:numId w:val="28"/>
        </w:numPr>
        <w:rPr>
          <w:rFonts w:ascii="Arial" w:cs="Arial" w:eastAsia="Arial" w:hAnsi="Arial"/>
          <w:sz w:val="17"/>
          <w:szCs w:val="17"/>
          <w:color w:val="010000"/>
        </w:rPr>
      </w:pP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 The Company is, and has been during the 12-month period immediately preceding the date of this Agreement, required to file reports, schedules, forms, statements and other documents with the SEC pursuant to Section 13 or 15(d) of the Exchange Act. The Company has filed all reports, schedules, forms, statements and other documents required to be filed by the Company under the Securities Act and the Exchange Act, including pursuant to Section 13(a) or 15(d) thereof, for the twelve months preceding the date hereof (the foregoing materials, including the exhibits thereto and documents incorporated by reference therein, being collectively referred to herein, together with each Prospectus, as the “</w:t>
      </w:r>
      <w:r>
        <w:rPr>
          <w:rFonts w:ascii="Arial" w:cs="Arial" w:eastAsia="Arial" w:hAnsi="Arial"/>
          <w:sz w:val="17"/>
          <w:szCs w:val="17"/>
          <w:u w:val="single" w:color="auto"/>
          <w:color w:val="auto"/>
        </w:rPr>
        <w:t>SEC Documents</w:t>
      </w:r>
      <w:r>
        <w:rPr>
          <w:rFonts w:ascii="Arial" w:cs="Arial" w:eastAsia="Arial" w:hAnsi="Arial"/>
          <w:sz w:val="17"/>
          <w:szCs w:val="17"/>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(i)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(ii)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Except as publicly available through the SEC’s Electronic Data Gathering, Analysis, and Retrieval system (EDGAR) or in connection with a confidential treatment request submitted to the SEC, the Company has received no notices or correspondence from the SEC for the one year preceding the date hereof other than SEC comment letters relating to the Company’s filings under the Exchange Act and the Securities Act. There are no “open” SEC comments. To the Company’s knowledge, the SEC has not commenced any enforcement proceedings against the Company or any of its Subsidiaries.</w:t>
      </w:r>
    </w:p>
    <w:p>
      <w:pPr>
        <w:spacing w:after="0" w:line="186" w:lineRule="exact"/>
        <w:rPr>
          <w:rFonts w:ascii="Arial" w:cs="Arial" w:eastAsia="Arial" w:hAnsi="Arial"/>
          <w:sz w:val="17"/>
          <w:szCs w:val="17"/>
          <w:color w:val="010000"/>
        </w:rPr>
      </w:pPr>
    </w:p>
    <w:p>
      <w:pPr>
        <w:jc w:val="both"/>
        <w:ind w:firstLine="656"/>
        <w:spacing w:after="0" w:line="296" w:lineRule="auto"/>
        <w:tabs>
          <w:tab w:leader="none" w:pos="1726" w:val="left"/>
        </w:tabs>
        <w:numPr>
          <w:ilvl w:val="0"/>
          <w:numId w:val="28"/>
        </w:numPr>
        <w:rPr>
          <w:rFonts w:ascii="Arial" w:cs="Arial" w:eastAsia="Arial" w:hAnsi="Arial"/>
          <w:sz w:val="16"/>
          <w:szCs w:val="16"/>
          <w:color w:val="010000"/>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disclosed in the Shelf Registration Statement or the SEC Documents, since December 31, 2019, there has been no change that would constitute a Material Adverse Effect in the business, properties, operations, financial condition or results of operations of the Company or its Subsidiaries.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161" w:lineRule="exact"/>
        <w:rPr>
          <w:rFonts w:ascii="Arial" w:cs="Arial" w:eastAsia="Arial" w:hAnsi="Arial"/>
          <w:sz w:val="16"/>
          <w:szCs w:val="16"/>
          <w:color w:val="010000"/>
        </w:rPr>
      </w:pPr>
    </w:p>
    <w:p>
      <w:pPr>
        <w:jc w:val="both"/>
        <w:ind w:firstLine="656"/>
        <w:spacing w:after="0" w:line="257" w:lineRule="auto"/>
        <w:tabs>
          <w:tab w:leader="none" w:pos="1847" w:val="left"/>
        </w:tabs>
        <w:numPr>
          <w:ilvl w:val="0"/>
          <w:numId w:val="28"/>
        </w:numPr>
        <w:rPr>
          <w:rFonts w:ascii="Arial" w:cs="Arial" w:eastAsia="Arial" w:hAnsi="Arial"/>
          <w:sz w:val="18"/>
          <w:szCs w:val="18"/>
          <w:color w:val="010000"/>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Except as disclosed in the Shelf Registration Statement or the SEC Documents,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Subsidiaries or any of the Company's or the Company's Subsidiaries' officers or directors in their capacities as such, which would reasonably be expected to have a Material Adverse Effect.</w:t>
      </w:r>
    </w:p>
    <w:p>
      <w:pPr>
        <w:spacing w:after="0" w:line="187" w:lineRule="exact"/>
        <w:rPr>
          <w:rFonts w:ascii="Arial" w:cs="Arial" w:eastAsia="Arial" w:hAnsi="Arial"/>
          <w:sz w:val="18"/>
          <w:szCs w:val="18"/>
          <w:color w:val="010000"/>
        </w:rPr>
      </w:pPr>
    </w:p>
    <w:p>
      <w:pPr>
        <w:jc w:val="both"/>
        <w:ind w:firstLine="656"/>
        <w:spacing w:after="0" w:line="272" w:lineRule="auto"/>
        <w:tabs>
          <w:tab w:leader="none" w:pos="1866" w:val="left"/>
        </w:tabs>
        <w:numPr>
          <w:ilvl w:val="0"/>
          <w:numId w:val="28"/>
        </w:numPr>
        <w:rPr>
          <w:rFonts w:ascii="Arial" w:cs="Arial" w:eastAsia="Arial" w:hAnsi="Arial"/>
          <w:sz w:val="17"/>
          <w:szCs w:val="17"/>
          <w:color w:val="010000"/>
        </w:rPr>
      </w:pPr>
      <w:r>
        <w:rPr>
          <w:rFonts w:ascii="Arial" w:cs="Arial" w:eastAsia="Arial" w:hAnsi="Arial"/>
          <w:sz w:val="17"/>
          <w:szCs w:val="17"/>
          <w:u w:val="single" w:color="auto"/>
          <w:color w:val="auto"/>
        </w:rPr>
        <w:t>Acknowledgment Regarding Investor’s Status</w:t>
      </w:r>
      <w:r>
        <w:rPr>
          <w:rFonts w:ascii="Arial" w:cs="Arial" w:eastAsia="Arial" w:hAnsi="Arial"/>
          <w:sz w:val="17"/>
          <w:szCs w:val="17"/>
          <w:color w:val="auto"/>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w:t>
      </w:r>
    </w:p>
    <w:p>
      <w:pPr>
        <w:spacing w:after="0" w:line="177" w:lineRule="exact"/>
        <w:rPr>
          <w:rFonts w:ascii="Arial" w:cs="Arial" w:eastAsia="Arial" w:hAnsi="Arial"/>
          <w:sz w:val="17"/>
          <w:szCs w:val="17"/>
          <w:color w:val="010000"/>
        </w:rPr>
      </w:pPr>
    </w:p>
    <w:p>
      <w:pPr>
        <w:jc w:val="both"/>
        <w:ind w:firstLine="656"/>
        <w:spacing w:after="0" w:line="301" w:lineRule="auto"/>
        <w:tabs>
          <w:tab w:leader="none" w:pos="1771" w:val="left"/>
        </w:tabs>
        <w:numPr>
          <w:ilvl w:val="0"/>
          <w:numId w:val="28"/>
        </w:numPr>
        <w:rPr>
          <w:rFonts w:ascii="Arial" w:cs="Arial" w:eastAsia="Arial" w:hAnsi="Arial"/>
          <w:sz w:val="16"/>
          <w:szCs w:val="16"/>
          <w:color w:val="010000"/>
        </w:rPr>
      </w:pPr>
      <w:r>
        <w:rPr>
          <w:rFonts w:ascii="Arial" w:cs="Arial" w:eastAsia="Arial" w:hAnsi="Arial"/>
          <w:sz w:val="16"/>
          <w:szCs w:val="16"/>
          <w:u w:val="single" w:color="auto"/>
          <w:color w:val="auto"/>
        </w:rPr>
        <w:t>No Aggregated Offering</w:t>
      </w:r>
      <w:r>
        <w:rPr>
          <w:rFonts w:ascii="Arial" w:cs="Arial" w:eastAsia="Arial" w:hAnsi="Arial"/>
          <w:sz w:val="16"/>
          <w:szCs w:val="16"/>
          <w:color w:val="auto"/>
        </w:rPr>
        <w:t>. Neither the Company, nor any of its affiliates, nor any Person acting on its or their behalf has sold any security under circumstances that would reasonably be expected to cause this offering of the Securities to be aggregated with prior offerings by the Company in a manner that would require stockholder approval pursuant to the rules of the Principal Market on which any of the securities of the Company are listed or designated. The issuance and sale of the Securities hereunder does not contravene the rules and regulations of the Principal Market.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56"/>
        <w:spacing w:after="0" w:line="269" w:lineRule="auto"/>
        <w:tabs>
          <w:tab w:leader="none" w:pos="1726" w:val="left"/>
        </w:tabs>
        <w:numPr>
          <w:ilvl w:val="0"/>
          <w:numId w:val="29"/>
        </w:numPr>
        <w:rPr>
          <w:rFonts w:ascii="Arial" w:cs="Arial" w:eastAsia="Arial" w:hAnsi="Arial"/>
          <w:sz w:val="17"/>
          <w:szCs w:val="17"/>
          <w:color w:val="010000"/>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Except as disclosed in the Shelf Registration Statement or the SEC Documents,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except as such failure to own, possess or acquire such rights would not reasonably be expected, individually or in the aggregate, to result in a Material Adverse Effect. Except as set forth in the SEC Documents,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would reasonably be expected to have a Material Adverse Effect.</w:t>
      </w:r>
    </w:p>
    <w:p>
      <w:pPr>
        <w:spacing w:after="0" w:line="181" w:lineRule="exact"/>
        <w:rPr>
          <w:rFonts w:ascii="Arial" w:cs="Arial" w:eastAsia="Arial" w:hAnsi="Arial"/>
          <w:sz w:val="17"/>
          <w:szCs w:val="17"/>
          <w:color w:val="010000"/>
        </w:rPr>
      </w:pPr>
    </w:p>
    <w:p>
      <w:pPr>
        <w:jc w:val="both"/>
        <w:ind w:firstLine="656"/>
        <w:spacing w:after="0" w:line="255" w:lineRule="auto"/>
        <w:tabs>
          <w:tab w:leader="none" w:pos="1582" w:val="left"/>
        </w:tabs>
        <w:numPr>
          <w:ilvl w:val="0"/>
          <w:numId w:val="29"/>
        </w:numPr>
        <w:rPr>
          <w:rFonts w:ascii="Arial" w:cs="Arial" w:eastAsia="Arial" w:hAnsi="Arial"/>
          <w:sz w:val="18"/>
          <w:szCs w:val="18"/>
          <w:color w:val="010000"/>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as set forth in the SEC Documents,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would not reasonably be expected to have, individually or in the aggregate, a Material Adverse Effect.</w:t>
      </w:r>
    </w:p>
    <w:p>
      <w:pPr>
        <w:spacing w:after="0" w:line="192" w:lineRule="exact"/>
        <w:rPr>
          <w:rFonts w:ascii="Arial" w:cs="Arial" w:eastAsia="Arial" w:hAnsi="Arial"/>
          <w:sz w:val="18"/>
          <w:szCs w:val="18"/>
          <w:color w:val="010000"/>
        </w:rPr>
      </w:pPr>
    </w:p>
    <w:p>
      <w:pPr>
        <w:jc w:val="both"/>
        <w:ind w:firstLine="656"/>
        <w:spacing w:after="0" w:line="270" w:lineRule="auto"/>
        <w:tabs>
          <w:tab w:leader="none" w:pos="1659" w:val="left"/>
        </w:tabs>
        <w:numPr>
          <w:ilvl w:val="0"/>
          <w:numId w:val="29"/>
        </w:numPr>
        <w:rPr>
          <w:rFonts w:ascii="Arial" w:cs="Arial" w:eastAsia="Arial" w:hAnsi="Arial"/>
          <w:sz w:val="17"/>
          <w:szCs w:val="17"/>
          <w:color w:val="010000"/>
        </w:rPr>
      </w:pPr>
      <w:r>
        <w:rPr>
          <w:rFonts w:ascii="Arial" w:cs="Arial" w:eastAsia="Arial" w:hAnsi="Arial"/>
          <w:sz w:val="17"/>
          <w:szCs w:val="17"/>
          <w:u w:val="single" w:color="auto"/>
          <w:color w:val="auto"/>
        </w:rPr>
        <w:t>Title</w:t>
      </w:r>
      <w:r>
        <w:rPr>
          <w:rFonts w:ascii="Arial" w:cs="Arial" w:eastAsia="Arial" w:hAnsi="Arial"/>
          <w:sz w:val="17"/>
          <w:szCs w:val="17"/>
          <w:color w:val="auto"/>
        </w:rPr>
        <w:t>. The Company does not own any real property. Except as set forth in the SEC Documents, the Company and the Subsidiaries have good and marketable title in all personal property owned by them that is material to the business of the Company and the Subsidiaries, in each case free and clear of all liens, encumbrances and defects (“</w:t>
      </w:r>
      <w:r>
        <w:rPr>
          <w:rFonts w:ascii="Arial" w:cs="Arial" w:eastAsia="Arial" w:hAnsi="Arial"/>
          <w:sz w:val="17"/>
          <w:szCs w:val="17"/>
          <w:u w:val="single" w:color="auto"/>
          <w:color w:val="auto"/>
        </w:rPr>
        <w:t>Liens</w:t>
      </w:r>
      <w:r>
        <w:rPr>
          <w:rFonts w:ascii="Arial" w:cs="Arial" w:eastAsia="Arial" w:hAnsi="Arial"/>
          <w:sz w:val="17"/>
          <w:szCs w:val="17"/>
          <w:color w:val="auto"/>
        </w:rPr>
        <w:t>”), except for Liens as do not materially affect the value of such property and do not materially interfere with the use made and proposed to be made of such property by the Company and the Subsidiaries, Liens for the payment of federal, state or other taxes, the payment of which is neither delinquent nor subject to penalties, and Liens that would not reasonably be expected, individually or in the aggregate, to result in a Material Adverse Effect. Any real property and facilities held under lease by the Company and the Subsidiaries are held by them under valid, subsisting and enforceable leases with which the Company and the Subsidiaries are in compliance with such exceptions as are not material and do not interfere with the use made and proposed to be made of such property and buildings by the Company and its Subsidiaries or would not reasonably be expected, individually in or the aggregate, to result in a Material Adverse Effect.</w:t>
      </w:r>
    </w:p>
    <w:p>
      <w:pPr>
        <w:spacing w:after="0" w:line="180" w:lineRule="exact"/>
        <w:rPr>
          <w:rFonts w:ascii="Arial" w:cs="Arial" w:eastAsia="Arial" w:hAnsi="Arial"/>
          <w:sz w:val="17"/>
          <w:szCs w:val="17"/>
          <w:color w:val="010000"/>
        </w:rPr>
      </w:pPr>
    </w:p>
    <w:p>
      <w:pPr>
        <w:jc w:val="both"/>
        <w:ind w:firstLine="656"/>
        <w:spacing w:after="0" w:line="293" w:lineRule="auto"/>
        <w:tabs>
          <w:tab w:leader="none" w:pos="1577" w:val="left"/>
        </w:tabs>
        <w:numPr>
          <w:ilvl w:val="0"/>
          <w:numId w:val="29"/>
        </w:numPr>
        <w:rPr>
          <w:rFonts w:ascii="Arial" w:cs="Arial" w:eastAsia="Arial" w:hAnsi="Arial"/>
          <w:sz w:val="16"/>
          <w:szCs w:val="16"/>
          <w:color w:val="010000"/>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Subsidiaries, taken as a whole.</w:t>
      </w:r>
    </w:p>
    <w:p>
      <w:pPr>
        <w:spacing w:after="0" w:line="164" w:lineRule="exact"/>
        <w:rPr>
          <w:rFonts w:ascii="Arial" w:cs="Arial" w:eastAsia="Arial" w:hAnsi="Arial"/>
          <w:sz w:val="16"/>
          <w:szCs w:val="16"/>
          <w:color w:val="010000"/>
        </w:rPr>
      </w:pPr>
    </w:p>
    <w:p>
      <w:pPr>
        <w:jc w:val="both"/>
        <w:ind w:firstLine="656"/>
        <w:spacing w:after="0" w:line="257" w:lineRule="auto"/>
        <w:tabs>
          <w:tab w:leader="none" w:pos="1726" w:val="left"/>
        </w:tabs>
        <w:numPr>
          <w:ilvl w:val="0"/>
          <w:numId w:val="29"/>
        </w:numPr>
        <w:rPr>
          <w:rFonts w:ascii="Arial" w:cs="Arial" w:eastAsia="Arial" w:hAnsi="Arial"/>
          <w:sz w:val="18"/>
          <w:szCs w:val="18"/>
          <w:color w:val="010000"/>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Except as set forth in the SEC Documents, the Company and its Subsidiaries possess all material certificates, authorizations and permits issued by the appropriate federal, state, local or foreign regulatory authorities necessary to conduct their respective businesses as currently conducted, except where the failure to possess such certificates, authorizations, or permits would not reasonably be expected to have a Material Adverse Effect, and neither the Company nor any such Subsidiary has received any written notice of proceedings relating to the revocation or modification of any such material certificate, authorization or permit.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56"/>
        <w:spacing w:after="0" w:line="254" w:lineRule="auto"/>
        <w:tabs>
          <w:tab w:leader="none" w:pos="1712" w:val="left"/>
        </w:tabs>
        <w:numPr>
          <w:ilvl w:val="0"/>
          <w:numId w:val="30"/>
        </w:numPr>
        <w:rPr>
          <w:rFonts w:ascii="Arial" w:cs="Arial" w:eastAsia="Arial" w:hAnsi="Arial"/>
          <w:sz w:val="18"/>
          <w:szCs w:val="18"/>
          <w:color w:val="010000"/>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as set forth in the SEC Documents, the Company and each of its Subsidiaries has made or filed all federal and state and foreign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and except as would not reasonably be expected to have a Material Adverse Effect. To the Company’s knowledge, there are no unpaid taxes in any material amount claimed to be due by the taxing authority of any jurisdiction.</w:t>
      </w:r>
    </w:p>
    <w:p>
      <w:pPr>
        <w:spacing w:after="0" w:line="191" w:lineRule="exact"/>
        <w:rPr>
          <w:rFonts w:ascii="Arial" w:cs="Arial" w:eastAsia="Arial" w:hAnsi="Arial"/>
          <w:sz w:val="18"/>
          <w:szCs w:val="18"/>
          <w:color w:val="010000"/>
        </w:rPr>
      </w:pPr>
    </w:p>
    <w:p>
      <w:pPr>
        <w:jc w:val="both"/>
        <w:ind w:firstLine="656"/>
        <w:spacing w:after="0" w:line="259" w:lineRule="auto"/>
        <w:tabs>
          <w:tab w:leader="none" w:pos="1834" w:val="left"/>
        </w:tabs>
        <w:numPr>
          <w:ilvl w:val="0"/>
          <w:numId w:val="30"/>
        </w:numPr>
        <w:rPr>
          <w:rFonts w:ascii="Arial" w:cs="Arial" w:eastAsia="Arial" w:hAnsi="Arial"/>
          <w:sz w:val="18"/>
          <w:szCs w:val="18"/>
          <w:color w:val="010000"/>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SEC Documents, to the Company’s knowledge, none of the Company’s stockholders, officers or directors or any family member or affiliate of any of the foregoing, has either directly or indirectly an interest in, or is a party to, any transaction that would be required to be disclosed as a related party transaction pursuant to Item 404 of Regulation S-K promulgated under the Securities Act.</w:t>
      </w:r>
    </w:p>
    <w:p>
      <w:pPr>
        <w:spacing w:after="0" w:line="186" w:lineRule="exact"/>
        <w:rPr>
          <w:rFonts w:ascii="Arial" w:cs="Arial" w:eastAsia="Arial" w:hAnsi="Arial"/>
          <w:sz w:val="18"/>
          <w:szCs w:val="18"/>
          <w:color w:val="010000"/>
        </w:rPr>
      </w:pPr>
    </w:p>
    <w:p>
      <w:pPr>
        <w:jc w:val="both"/>
        <w:ind w:firstLine="656"/>
        <w:spacing w:after="0" w:line="275" w:lineRule="auto"/>
        <w:tabs>
          <w:tab w:leader="none" w:pos="1700" w:val="left"/>
        </w:tabs>
        <w:numPr>
          <w:ilvl w:val="0"/>
          <w:numId w:val="30"/>
        </w:numPr>
        <w:rPr>
          <w:rFonts w:ascii="Arial" w:cs="Arial" w:eastAsia="Arial" w:hAnsi="Arial"/>
          <w:sz w:val="17"/>
          <w:szCs w:val="17"/>
          <w:color w:val="010000"/>
        </w:rPr>
      </w:pP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or otherwise which is or could become applicable to the Investor as a result of the transactions contemplated by this Agreement, including, without limitation, the Company’s issuance of the Securities and the Investor’s ownership of the Securities.</w:t>
      </w:r>
    </w:p>
    <w:p>
      <w:pPr>
        <w:spacing w:after="0" w:line="176" w:lineRule="exact"/>
        <w:rPr>
          <w:rFonts w:ascii="Arial" w:cs="Arial" w:eastAsia="Arial" w:hAnsi="Arial"/>
          <w:sz w:val="17"/>
          <w:szCs w:val="17"/>
          <w:color w:val="010000"/>
        </w:rPr>
      </w:pPr>
    </w:p>
    <w:p>
      <w:pPr>
        <w:jc w:val="both"/>
        <w:ind w:firstLine="656"/>
        <w:spacing w:after="0" w:line="269" w:lineRule="auto"/>
        <w:tabs>
          <w:tab w:leader="none" w:pos="1643" w:val="left"/>
        </w:tabs>
        <w:numPr>
          <w:ilvl w:val="0"/>
          <w:numId w:val="30"/>
        </w:numPr>
        <w:rPr>
          <w:rFonts w:ascii="Arial" w:cs="Arial" w:eastAsia="Arial" w:hAnsi="Arial"/>
          <w:sz w:val="17"/>
          <w:szCs w:val="17"/>
          <w:color w:val="010000"/>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Except with respect to the material terms and conditions of the transactions contemplated by the Transaction Documents that will be timely publicly disclosed by the Company, the Company confirms that neither it nor any other Person acting on its behalf has provided the Investor or its agents or counsel with any information that it believes constitutes or might constitute material, non-public information which is not otherwise disclosed in the Shelf Registration Statement or the SEC Documents.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taken as a whole, is true and correct in all material respects and does not contain any untrue statement of a material fact or omit to state any material fact necessary in order to make the statements made therein, in light of the circumstances under which they were made, not misleading. The Company acknowledges and agrees that the Investor neither makes nor has made any representations or warranties with respect to the transactions contemplated hereby other than those specifically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w:t>
      </w:r>
    </w:p>
    <w:p>
      <w:pPr>
        <w:spacing w:after="0" w:line="185" w:lineRule="exact"/>
        <w:rPr>
          <w:rFonts w:ascii="Arial" w:cs="Arial" w:eastAsia="Arial" w:hAnsi="Arial"/>
          <w:sz w:val="17"/>
          <w:szCs w:val="17"/>
          <w:color w:val="010000"/>
        </w:rPr>
      </w:pPr>
    </w:p>
    <w:p>
      <w:pPr>
        <w:jc w:val="both"/>
        <w:ind w:firstLine="656"/>
        <w:spacing w:after="0" w:line="255" w:lineRule="auto"/>
        <w:tabs>
          <w:tab w:leader="none" w:pos="1582" w:val="left"/>
        </w:tabs>
        <w:numPr>
          <w:ilvl w:val="0"/>
          <w:numId w:val="30"/>
        </w:numPr>
        <w:rPr>
          <w:rFonts w:ascii="Arial" w:cs="Arial" w:eastAsia="Arial" w:hAnsi="Arial"/>
          <w:sz w:val="18"/>
          <w:szCs w:val="18"/>
          <w:color w:val="010000"/>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56"/>
        <w:spacing w:after="0" w:line="283" w:lineRule="auto"/>
        <w:tabs>
          <w:tab w:leader="none" w:pos="1672" w:val="left"/>
        </w:tabs>
        <w:numPr>
          <w:ilvl w:val="0"/>
          <w:numId w:val="31"/>
        </w:numPr>
        <w:rPr>
          <w:rFonts w:ascii="Arial" w:cs="Arial" w:eastAsia="Arial" w:hAnsi="Arial"/>
          <w:sz w:val="16"/>
          <w:szCs w:val="16"/>
          <w:color w:val="010000"/>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the Shelf Registration Statement with the SEC in accordance with the Securities Act. The Shelf Registration Statement was declared effective by order of the SEC on April 29, 2020. The Shelf Registration Statement is effective pursuant to the Securities Act and available for the issuance of the Securities thereunder, and the Company has not received any written notice that the SEC has issued or intends to issue a stop order or other similar order with respect to the Shelf Registration Statement or the Prospectus or that the SEC otherwise has (i) suspended or withdrawn the effectiveness of the Shelf Registration Statement or (ii) issued any order preventing or suspending the use of the Prospectus or any Prospectus Supplement, in either case, either temporarily or permanently or intends or, to the knowledge of the Company, has threatened in writing to do so. The “Plan of Distribution” section of the Prospectus permits the issuance of the Securities under the terms of this Agreement. At the time the Shelf Registration Statement and any amendments thereto became effective, at the date hereof and at each deemed effective date thereof pursuant to Rule 430B(f)(2) of the Securities Act, the Shelf Registration Statement and any amendments thereto complied and will comply in all material respects with the requirements of the Securities Act and did not and will not contain any untrue statement of a material fact or omit to state any material fact required to be stated therein or necessary to make the statements therein not misleading; and the Base Prospectus and any Prospectus Supplement thereto, at the time such Base Prospectus or such Prospectus Supplement thereto was issued and on the Commencement Date, complied and will comply in all material respects with the requirements of the Securities Act and did not and will not contain an untrue statement of a material fact or omit to state a material fact necessary in order to make the statements therein, in light of the circumstances under which they were made, not misleading; provided that this representation and warranty does not apply to statements in or omissions from any Prospectus Supplement made in reliance upon and in conformity with information relating to the Investor furnished to the Company in writing by or on behalf of the Investor expressly for use therein. The Company meets all of the requirements for the use of a registration statement on Form S-3 pursuant to the Securities Act in reliance on General Instruction I.B.1 of Form S-3 for the offering and issuance of the Securities contemplated by this Agreement, and the SEC has not notified the Company of any objection to the use of the form of the Shelf Registration Statement pursuant to Rule 401(g)(1) of the Securities Act. The Company hereby confirms that the issuance of the Securities to the Investor pursuant to this Agreement would not result in non-compliance with the Securities Act or any of the General Instructions to Form S-3. The Shelf Registration Statement, as of its effective date, meets the requirements set forth in Rule 415(a)(1)(x) pursuant to the Securities Act. At the earliest time after the filing of the Shelf Registration Statement that the Company or another participant in the transactions contemplated hereby made a bona fide offer (within the meaning of Rule 164(h)(2) of the Securities Act) relating to any of the Securities, the Company was not, and as of the date hereof the Company is not, an “Ineligible Issuer” (as defined in Rule 405 of the Securities Act). The Company has not distributed any offering material in connection with the offering and issuance of any of the Securities, and until the Investor does not hold any of the Securities, shall not distribute any offering material in connection with the offering and sale of any of the Securities, to or by the Investor, in each case, other than the Registration Statement or any amendment thereto, the Prospectus or any Prospectus Supplement required pursuant to applicable law or the Transaction Documents. The Company has not made and shall not make an offer relating to the Securities that would constitute a “free writing prospectus” as defined in Rule 405 under the Securities Act without the consent of the Investor.</w:t>
      </w:r>
    </w:p>
    <w:p>
      <w:pPr>
        <w:spacing w:after="0" w:line="200" w:lineRule="exact"/>
        <w:rPr>
          <w:rFonts w:ascii="Arial" w:cs="Arial" w:eastAsia="Arial" w:hAnsi="Arial"/>
          <w:sz w:val="16"/>
          <w:szCs w:val="16"/>
          <w:color w:val="010000"/>
        </w:rPr>
      </w:pPr>
    </w:p>
    <w:p>
      <w:pPr>
        <w:spacing w:after="0" w:line="205" w:lineRule="exact"/>
        <w:rPr>
          <w:rFonts w:ascii="Arial" w:cs="Arial" w:eastAsia="Arial" w:hAnsi="Arial"/>
          <w:sz w:val="16"/>
          <w:szCs w:val="16"/>
          <w:color w:val="010000"/>
        </w:rPr>
      </w:pPr>
    </w:p>
    <w:p>
      <w:pPr>
        <w:jc w:val="both"/>
        <w:ind w:firstLine="656"/>
        <w:spacing w:after="0" w:line="342" w:lineRule="auto"/>
        <w:tabs>
          <w:tab w:leader="none" w:pos="1726" w:val="left"/>
        </w:tabs>
        <w:numPr>
          <w:ilvl w:val="0"/>
          <w:numId w:val="31"/>
        </w:numPr>
        <w:rPr>
          <w:rFonts w:ascii="Arial" w:cs="Arial" w:eastAsia="Arial" w:hAnsi="Arial"/>
          <w:sz w:val="16"/>
          <w:szCs w:val="16"/>
          <w:color w:val="010000"/>
        </w:rPr>
      </w:pPr>
      <w:r>
        <w:rPr>
          <w:rFonts w:ascii="Arial" w:cs="Arial" w:eastAsia="Arial" w:hAnsi="Arial"/>
          <w:sz w:val="16"/>
          <w:szCs w:val="16"/>
          <w:u w:val="single" w:color="auto"/>
          <w:color w:val="auto"/>
        </w:rPr>
        <w:t>DTC Eligibility</w:t>
      </w:r>
      <w:r>
        <w:rPr>
          <w:rFonts w:ascii="Arial" w:cs="Arial" w:eastAsia="Arial" w:hAnsi="Arial"/>
          <w:sz w:val="16"/>
          <w:szCs w:val="16"/>
          <w:color w:val="auto"/>
        </w:rPr>
        <w:t>. The Company, through the Transfer Agent, currently participates in the DTC Fast Automated Securities Transfer (FAST) Program and the Common Stock can be transferred electronically to third parties via the DTC Fast Automated Securities Transfer (FAST) Program.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656"/>
        <w:spacing w:after="0" w:line="277" w:lineRule="auto"/>
        <w:tabs>
          <w:tab w:leader="none" w:pos="1757" w:val="left"/>
        </w:tabs>
        <w:numPr>
          <w:ilvl w:val="0"/>
          <w:numId w:val="32"/>
        </w:numPr>
        <w:rPr>
          <w:rFonts w:ascii="Arial" w:cs="Arial" w:eastAsia="Arial" w:hAnsi="Arial"/>
          <w:sz w:val="18"/>
          <w:szCs w:val="18"/>
          <w:color w:val="010000"/>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with all provisions of the Sarbanes-Oxley Act of 2002, as amended, which are applicable to it as of the date hereof.</w:t>
      </w:r>
    </w:p>
    <w:p>
      <w:pPr>
        <w:spacing w:after="0" w:line="170" w:lineRule="exact"/>
        <w:rPr>
          <w:rFonts w:ascii="Arial" w:cs="Arial" w:eastAsia="Arial" w:hAnsi="Arial"/>
          <w:sz w:val="18"/>
          <w:szCs w:val="18"/>
          <w:color w:val="010000"/>
        </w:rPr>
      </w:pPr>
    </w:p>
    <w:p>
      <w:pPr>
        <w:jc w:val="both"/>
        <w:ind w:firstLine="656"/>
        <w:spacing w:after="0" w:line="301" w:lineRule="auto"/>
        <w:tabs>
          <w:tab w:leader="none" w:pos="1591" w:val="left"/>
        </w:tabs>
        <w:numPr>
          <w:ilvl w:val="0"/>
          <w:numId w:val="32"/>
        </w:numPr>
        <w:rPr>
          <w:rFonts w:ascii="Arial" w:cs="Arial" w:eastAsia="Arial" w:hAnsi="Arial"/>
          <w:sz w:val="16"/>
          <w:szCs w:val="16"/>
          <w:color w:val="010000"/>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w:t>
      </w:r>
      <w:r>
        <w:rPr>
          <w:rFonts w:ascii="Arial" w:cs="Arial" w:eastAsia="Arial" w:hAnsi="Arial"/>
          <w:sz w:val="16"/>
          <w:szCs w:val="16"/>
          <w:u w:val="single" w:color="auto"/>
          <w:color w:val="auto"/>
        </w:rPr>
        <w:t>Section 4(x)</w:t>
      </w:r>
      <w:r>
        <w:rPr>
          <w:rFonts w:ascii="Arial" w:cs="Arial" w:eastAsia="Arial" w:hAnsi="Arial"/>
          <w:sz w:val="16"/>
          <w:szCs w:val="16"/>
          <w:color w:val="auto"/>
        </w:rPr>
        <w:t xml:space="preserve"> that may be due in connection with the transactions contemplated by the Transaction Documents.</w:t>
      </w:r>
    </w:p>
    <w:p>
      <w:pPr>
        <w:spacing w:after="0" w:line="157" w:lineRule="exact"/>
        <w:rPr>
          <w:rFonts w:ascii="Arial" w:cs="Arial" w:eastAsia="Arial" w:hAnsi="Arial"/>
          <w:sz w:val="16"/>
          <w:szCs w:val="16"/>
          <w:color w:val="010000"/>
        </w:rPr>
      </w:pPr>
    </w:p>
    <w:p>
      <w:pPr>
        <w:ind w:right="20" w:firstLine="656"/>
        <w:spacing w:after="0" w:line="342" w:lineRule="auto"/>
        <w:tabs>
          <w:tab w:leader="none" w:pos="1672" w:val="left"/>
        </w:tabs>
        <w:numPr>
          <w:ilvl w:val="0"/>
          <w:numId w:val="32"/>
        </w:numPr>
        <w:rPr>
          <w:rFonts w:ascii="Arial" w:cs="Arial" w:eastAsia="Arial" w:hAnsi="Arial"/>
          <w:sz w:val="16"/>
          <w:szCs w:val="16"/>
          <w:color w:val="010000"/>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required to be registered as, and immediately after receipt of payment for the Securities will not be required to be registered as, an “investment company” within the meaning of the Investment Company Act of 1940, as amended.</w:t>
      </w:r>
    </w:p>
    <w:p>
      <w:pPr>
        <w:spacing w:after="0" w:line="123" w:lineRule="exact"/>
        <w:rPr>
          <w:rFonts w:ascii="Arial" w:cs="Arial" w:eastAsia="Arial" w:hAnsi="Arial"/>
          <w:sz w:val="16"/>
          <w:szCs w:val="16"/>
          <w:color w:val="010000"/>
        </w:rPr>
      </w:pPr>
    </w:p>
    <w:p>
      <w:pPr>
        <w:jc w:val="both"/>
        <w:ind w:firstLine="656"/>
        <w:spacing w:after="0" w:line="311" w:lineRule="auto"/>
        <w:tabs>
          <w:tab w:leader="none" w:pos="1729" w:val="left"/>
        </w:tabs>
        <w:numPr>
          <w:ilvl w:val="0"/>
          <w:numId w:val="32"/>
        </w:numPr>
        <w:rPr>
          <w:rFonts w:ascii="Arial" w:cs="Arial" w:eastAsia="Arial" w:hAnsi="Arial"/>
          <w:sz w:val="16"/>
          <w:szCs w:val="16"/>
          <w:color w:val="010000"/>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written notification that the SEC is currently contemplating terminating such registration.</w:t>
      </w:r>
    </w:p>
    <w:p>
      <w:pPr>
        <w:spacing w:after="0" w:line="149" w:lineRule="exact"/>
        <w:rPr>
          <w:sz w:val="20"/>
          <w:szCs w:val="20"/>
          <w:color w:val="auto"/>
        </w:rPr>
      </w:pPr>
    </w:p>
    <w:p>
      <w:pPr>
        <w:ind w:firstLine="656"/>
        <w:spacing w:after="0" w:line="277" w:lineRule="auto"/>
        <w:tabs>
          <w:tab w:leader="none" w:pos="1863" w:val="left"/>
        </w:tabs>
        <w:numPr>
          <w:ilvl w:val="0"/>
          <w:numId w:val="33"/>
        </w:numPr>
        <w:rPr>
          <w:rFonts w:ascii="Arial" w:cs="Arial" w:eastAsia="Arial" w:hAnsi="Arial"/>
          <w:sz w:val="18"/>
          <w:szCs w:val="18"/>
          <w:color w:val="010000"/>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accountants are set forth in the SEC Documents and, to the knowledge of the Company, such accountants are an independent registered public accounting firm as required by the Securities Act.</w:t>
      </w:r>
    </w:p>
    <w:p>
      <w:pPr>
        <w:spacing w:after="0" w:line="170" w:lineRule="exact"/>
        <w:rPr>
          <w:rFonts w:ascii="Arial" w:cs="Arial" w:eastAsia="Arial" w:hAnsi="Arial"/>
          <w:sz w:val="18"/>
          <w:szCs w:val="18"/>
          <w:color w:val="010000"/>
        </w:rPr>
      </w:pPr>
    </w:p>
    <w:p>
      <w:pPr>
        <w:jc w:val="both"/>
        <w:ind w:firstLine="656"/>
        <w:spacing w:after="0" w:line="279" w:lineRule="auto"/>
        <w:tabs>
          <w:tab w:leader="none" w:pos="1731" w:val="left"/>
        </w:tabs>
        <w:numPr>
          <w:ilvl w:val="0"/>
          <w:numId w:val="33"/>
        </w:numPr>
        <w:rPr>
          <w:rFonts w:ascii="Arial" w:cs="Arial" w:eastAsia="Arial" w:hAnsi="Arial"/>
          <w:sz w:val="17"/>
          <w:szCs w:val="17"/>
          <w:color w:val="010000"/>
        </w:rPr>
      </w:pPr>
      <w:r>
        <w:rPr>
          <w:rFonts w:ascii="Arial" w:cs="Arial" w:eastAsia="Arial" w:hAnsi="Arial"/>
          <w:sz w:val="17"/>
          <w:szCs w:val="17"/>
          <w:u w:val="single" w:color="auto"/>
          <w:color w:val="auto"/>
        </w:rPr>
        <w:t>No Market Manipulation</w:t>
      </w:r>
      <w:r>
        <w:rPr>
          <w:rFonts w:ascii="Arial" w:cs="Arial" w:eastAsia="Arial" w:hAnsi="Arial"/>
          <w:sz w:val="17"/>
          <w:szCs w:val="17"/>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71" w:lineRule="exact"/>
        <w:rPr>
          <w:rFonts w:ascii="Arial" w:cs="Arial" w:eastAsia="Arial" w:hAnsi="Arial"/>
          <w:sz w:val="17"/>
          <w:szCs w:val="17"/>
          <w:color w:val="010000"/>
        </w:rPr>
      </w:pPr>
    </w:p>
    <w:p>
      <w:pPr>
        <w:jc w:val="both"/>
        <w:ind w:firstLine="656"/>
        <w:spacing w:after="0" w:line="269" w:lineRule="auto"/>
        <w:tabs>
          <w:tab w:leader="none" w:pos="1944" w:val="left"/>
        </w:tabs>
        <w:numPr>
          <w:ilvl w:val="0"/>
          <w:numId w:val="33"/>
        </w:numPr>
        <w:rPr>
          <w:rFonts w:ascii="Arial" w:cs="Arial" w:eastAsia="Arial" w:hAnsi="Arial"/>
          <w:sz w:val="17"/>
          <w:szCs w:val="17"/>
          <w:color w:val="010000"/>
        </w:rPr>
      </w:pPr>
      <w:r>
        <w:rPr>
          <w:rFonts w:ascii="Arial" w:cs="Arial" w:eastAsia="Arial" w:hAnsi="Arial"/>
          <w:sz w:val="17"/>
          <w:szCs w:val="17"/>
          <w:u w:val="single" w:color="auto"/>
          <w:color w:val="auto"/>
        </w:rPr>
        <w:t>Benefit Plans; Labor Matters</w:t>
      </w:r>
      <w:r>
        <w:rPr>
          <w:rFonts w:ascii="Arial" w:cs="Arial" w:eastAsia="Arial" w:hAnsi="Arial"/>
          <w:sz w:val="17"/>
          <w:szCs w:val="17"/>
          <w:color w:val="auto"/>
        </w:rPr>
        <w:t>. Each benefit and compensation plan, agreement, policy and arrangement that is maintained, administered or contributed to by the Company for current or former employees or directors of, or independent contractors with respect to, the Company has been maintained in material compliance with its terms and the requirements of any applicable statutes, orders, rules and regulations, and the Company has complied in all material respects with all applicable statutes, orders, rules and regulations in regard to such plans, agreements, policies and arrangements. Each stock option granted under any equity incentive plan of the Company (each, a “</w:t>
      </w:r>
      <w:r>
        <w:rPr>
          <w:rFonts w:ascii="Arial" w:cs="Arial" w:eastAsia="Arial" w:hAnsi="Arial"/>
          <w:sz w:val="17"/>
          <w:szCs w:val="17"/>
          <w:u w:val="single" w:color="auto"/>
          <w:color w:val="auto"/>
        </w:rPr>
        <w:t>Stock Plan</w:t>
      </w:r>
      <w:r>
        <w:rPr>
          <w:rFonts w:ascii="Arial" w:cs="Arial" w:eastAsia="Arial" w:hAnsi="Arial"/>
          <w:sz w:val="17"/>
          <w:szCs w:val="17"/>
          <w:color w:val="auto"/>
        </w:rPr>
        <w:t>”) was granted with a per share exercise price no less than the market price per common share on the grant date of such option in accordance with the rules of the Principal Market, and no such grant involved any “back-dating,” “forward-dating” or similar practice with respect to the effective date of such grant; each such option (i) was granted in compliance in all material respects with Applicable Laws (as defined below) and with the applicable Stock Plan(s), (ii) was duly approved by the Board of Directors, and (iii) has been properly accounted for in the Company’s financial statements and disclosed, to the extent required, in the Company’s filings or submissions with the SEC, and the Principal Market. No labor problem or dispute with the employees of the Company exists or has been threatened in writing, and the Company is not aware of any existing or threatened labor disturbance by the employees of any of its principal suppliers or contractors, that would reasonably be expected to have a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56"/>
        <w:spacing w:after="0" w:line="283" w:lineRule="auto"/>
        <w:tabs>
          <w:tab w:leader="none" w:pos="1704" w:val="left"/>
        </w:tabs>
        <w:numPr>
          <w:ilvl w:val="0"/>
          <w:numId w:val="34"/>
        </w:numPr>
        <w:rPr>
          <w:rFonts w:ascii="Arial" w:cs="Arial" w:eastAsia="Arial" w:hAnsi="Arial"/>
          <w:sz w:val="16"/>
          <w:szCs w:val="16"/>
          <w:color w:val="010000"/>
        </w:rPr>
      </w:pPr>
      <w:r>
        <w:rPr>
          <w:rFonts w:ascii="Arial" w:cs="Arial" w:eastAsia="Arial" w:hAnsi="Arial"/>
          <w:sz w:val="16"/>
          <w:szCs w:val="16"/>
          <w:u w:val="single" w:color="auto"/>
          <w:color w:val="auto"/>
        </w:rPr>
        <w:t>Regulatory</w:t>
      </w:r>
      <w:r>
        <w:rPr>
          <w:rFonts w:ascii="Arial" w:cs="Arial" w:eastAsia="Arial" w:hAnsi="Arial"/>
          <w:sz w:val="16"/>
          <w:szCs w:val="16"/>
          <w:color w:val="auto"/>
        </w:rPr>
        <w:t>. During the 12-month period immediately preceding the date hereof, except as described in the SEC Documents, the Company and each of its Subsidiaries: (A) is and at all times has been in material compliance with all applicable U.S. and foreign statutes, rules, or regulations applicable to Company and its Subsidiaries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as would not, individually or in the aggregate, reasonably be expected to result in a Material Adverse Effect; (B) have not received any material written notice of adverse finding, warning letter, untitled letter or other correspondence or notice from the U.S. Food and Drug Administration or any other federal, state, or foreign governmental authority having authority over the Company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alleging or asserting material noncompliance with any Applicable Laws or any licenses, certificates, approvals, clearances, authorizations, permits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 (C) possess all material Authorizations and such material Authorizations are valid and in full force and effect and, to the Company’s knowledge, are not in violation of any term of any such material Authorizations; (D) have not received written notice of any claim, action, suit, proceeding, hearing, enforcement, investigation, arbitration or other action from any Governmental Authority or third party alleging that any product, operation or activity is in violation of any Applicable Laws or Authorizations and have no knowledge that any such Governmental Authority or third party is considering any such claim, litigation, arbitration, action, suit, investigation or proceeding; (E) have not received written notice that any Governmental Authority has taken, is taking or intends to take action to limit, suspend, modify or revoke any Authorizations and the Company has no knowledge that any such Governmental Authority is considering such action; and (F) have filed, obtained, maintained or submitted all material reports, documents, forms, notices, applications, records, claims, submissions and supplements or amendments as required by any Applicable Laws or material Authorizations and that all such reports, documents, forms, notices, applications, records, claims, submissions and supplements or amendments were complete and correct in all material respects on the date filed (or were corrected or supplemented by a subsequent submission). During the 12-month period immediately preceding the date hereof, to the Company’s knowledge, the studies, tests and preclinical studies and clinical trials conducted by or on behalf of the Company were and, if still pending, are, in all material respects, being conducted in accordance with experimental protocols, procedures and controls pursuant to accepted professional scientific standards and all Applicable Laws, including, without limitation, the United States Federal Food, Drug, and Cosmetic Act or any other applicable regulation of a federal, provincial, state, local or foreign governmental or quasi-governmental body exercising comparable authority; the descriptions of the results of such studies, tests and trials contained in the SEC Documents are accurate and complete in all material respects and fairly present the data derived from such studies, tests and trials; the descriptions in the SEC Documents of the results of such clinical trials are consistent in all material respects with such results and to the Company’s knowledge there are no other studies or other clinical trials whose results are materially inconsistent with or otherwise materially call into question the results described or referred to in the SEC Documents; and the Company has not received any written notices or correspondence from any Governmental Authority requiring the termination, suspension or material modification of any studies, tests or preclinical or clinical trials conducted by or on behalf of the Company or its Subsidiaries. The Company has concluded that it uses commercially reasonable efforts to review, from time to time, the progress and results of the studies, tests and preclinical studies and clinical trials and, based upon (i) the information provided to the Company by the third parties conducting such studies, tests, preclinical studies and clinical trials that are described in the SEC Documents and the Company’s review of such information, and (ii) the Company’s knowledge, the Company reasonably believes that the descriptions of the results of such studies, tests, preclinical studies and clinical trials are accurate and complete in all material respects.</w:t>
      </w:r>
    </w:p>
    <w:p>
      <w:pPr>
        <w:spacing w:after="0" w:line="200" w:lineRule="exact"/>
        <w:rPr>
          <w:rFonts w:ascii="Arial" w:cs="Arial" w:eastAsia="Arial" w:hAnsi="Arial"/>
          <w:sz w:val="16"/>
          <w:szCs w:val="16"/>
          <w:color w:val="010000"/>
        </w:rPr>
      </w:pPr>
    </w:p>
    <w:p>
      <w:pPr>
        <w:spacing w:after="0" w:line="203" w:lineRule="exact"/>
        <w:rPr>
          <w:rFonts w:ascii="Arial" w:cs="Arial" w:eastAsia="Arial" w:hAnsi="Arial"/>
          <w:sz w:val="16"/>
          <w:szCs w:val="16"/>
          <w:color w:val="010000"/>
        </w:rPr>
      </w:pPr>
    </w:p>
    <w:p>
      <w:pPr>
        <w:ind w:left="1520" w:hanging="864"/>
        <w:spacing w:after="0"/>
        <w:tabs>
          <w:tab w:leader="none" w:pos="1520"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Shell Company Status</w:t>
      </w:r>
      <w:r>
        <w:rPr>
          <w:rFonts w:ascii="Arial" w:cs="Arial" w:eastAsia="Arial" w:hAnsi="Arial"/>
          <w:sz w:val="17"/>
          <w:szCs w:val="17"/>
          <w:color w:val="auto"/>
        </w:rPr>
        <w:t>. The Company is not, and has never been, an issuer identified in Rule 144(i)(1) under the Securities Act.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hanging="652"/>
        <w:spacing w:after="0"/>
        <w:tabs>
          <w:tab w:leader="none" w:pos="66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010000"/>
        </w:rPr>
      </w:pPr>
    </w:p>
    <w:p>
      <w:pPr>
        <w:jc w:val="both"/>
        <w:ind w:firstLine="656"/>
        <w:spacing w:after="0" w:line="268" w:lineRule="auto"/>
        <w:tabs>
          <w:tab w:leader="none" w:pos="1594"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Filing of Current Report and Initial Prospectus Supplement</w:t>
      </w:r>
      <w:r>
        <w:rPr>
          <w:rFonts w:ascii="Arial" w:cs="Arial" w:eastAsia="Arial" w:hAnsi="Arial"/>
          <w:sz w:val="17"/>
          <w:szCs w:val="17"/>
          <w:color w:val="auto"/>
        </w:rPr>
        <w:t>. The Company agrees that it shall, on the date hereof, file with the SEC a current report on Form 8-K relating to the transactions contemplated by, and describing the material terms and conditions of, the Transaction Documents in the form agreed upon by the Investor prior to the date hereof (the “</w:t>
      </w:r>
      <w:r>
        <w:rPr>
          <w:rFonts w:ascii="Arial" w:cs="Arial" w:eastAsia="Arial" w:hAnsi="Arial"/>
          <w:sz w:val="17"/>
          <w:szCs w:val="17"/>
          <w:u w:val="single" w:color="auto"/>
          <w:color w:val="auto"/>
        </w:rPr>
        <w:t>Current Report</w:t>
      </w:r>
      <w:r>
        <w:rPr>
          <w:rFonts w:ascii="Arial" w:cs="Arial" w:eastAsia="Arial" w:hAnsi="Arial"/>
          <w:sz w:val="17"/>
          <w:szCs w:val="17"/>
          <w:color w:val="auto"/>
        </w:rPr>
        <w:t>”). The Company further agrees that it shall, on the date hereof, file with the SEC the Initial Prospectus Supplement pursuant to Rule 424(b) under the Securities Act, in the form agreed upon by the Investor prior to the date hereof, specifically relating to the transactions contemplated by, and describing the material terms and conditions of, the Transaction Documents, containing information previously omitted at the time of effectiveness of the Shelf Registration Statement in reliance on Rule 430B under the Securities Act, and disclosing all information relating to the transactions contemplated hereby required to be disclosed in the Shelf Registration Statement and the Prospectus as of the date of the Initial Prospectus Supplement, including, without limitation, information required to be disclosed in the section captioned “Plan of Distribution” in the Prospectus. The Investor acknowledges that it will be identified in the Initial Prospectus Supplement as an underwriter within the meaning of Section 2(a)(11) of the Securities Act. The Investor shall furnish to the Company such information regarding itself, the Securities held by it and the intended method of distribution thereof, including any arrangement between the Investor and any other Person relating to the sale or distribution of the Securities, as shall be reasonably requested by the Company in connection with the preparation and filing of the Current Report and the Initial Prospectus Supplement, and shall otherwise cooperate with the Company as reasonably requested by the Company in connection with the preparation and filing of the Current Report and the Initial Prospectus Supplement with the SEC.</w:t>
      </w:r>
    </w:p>
    <w:p>
      <w:pPr>
        <w:spacing w:after="0" w:line="184" w:lineRule="exact"/>
        <w:rPr>
          <w:rFonts w:ascii="Arial" w:cs="Arial" w:eastAsia="Arial" w:hAnsi="Arial"/>
          <w:sz w:val="17"/>
          <w:szCs w:val="17"/>
          <w:color w:val="010000"/>
        </w:rPr>
      </w:pPr>
    </w:p>
    <w:p>
      <w:pPr>
        <w:ind w:left="1640" w:hanging="984"/>
        <w:spacing w:after="0"/>
        <w:tabs>
          <w:tab w:leader="none" w:pos="1640" w:val="left"/>
        </w:tabs>
        <w:numPr>
          <w:ilvl w:val="1"/>
          <w:numId w:val="35"/>
        </w:numPr>
        <w:rPr>
          <w:rFonts w:ascii="Arial" w:cs="Arial" w:eastAsia="Arial" w:hAnsi="Arial"/>
          <w:sz w:val="16"/>
          <w:szCs w:val="16"/>
          <w:color w:val="010000"/>
        </w:rPr>
      </w:pPr>
      <w:r>
        <w:rPr>
          <w:rFonts w:ascii="Arial" w:cs="Arial" w:eastAsia="Arial" w:hAnsi="Arial"/>
          <w:sz w:val="16"/>
          <w:szCs w:val="16"/>
          <w:u w:val="single" w:color="auto"/>
          <w:color w:val="auto"/>
        </w:rPr>
        <w:t>Blue Sky</w:t>
      </w:r>
      <w:r>
        <w:rPr>
          <w:rFonts w:ascii="Arial" w:cs="Arial" w:eastAsia="Arial" w:hAnsi="Arial"/>
          <w:sz w:val="16"/>
          <w:szCs w:val="16"/>
          <w:color w:val="auto"/>
        </w:rPr>
        <w:t>. The Company shall take all such action, if any, as is necessary in order to obtain an exemption for or to register or qualify</w:t>
      </w:r>
    </w:p>
    <w:p>
      <w:pPr>
        <w:spacing w:after="0" w:line="46" w:lineRule="exact"/>
        <w:rPr>
          <w:rFonts w:ascii="Arial" w:cs="Arial" w:eastAsia="Arial" w:hAnsi="Arial"/>
          <w:sz w:val="16"/>
          <w:szCs w:val="16"/>
          <w:color w:val="010000"/>
        </w:rPr>
      </w:pPr>
    </w:p>
    <w:p>
      <w:pPr>
        <w:jc w:val="both"/>
        <w:spacing w:after="0" w:line="302" w:lineRule="auto"/>
        <w:rPr>
          <w:rFonts w:ascii="Arial" w:cs="Arial" w:eastAsia="Arial" w:hAnsi="Arial"/>
          <w:sz w:val="16"/>
          <w:szCs w:val="16"/>
          <w:color w:val="010000"/>
        </w:rPr>
      </w:pPr>
      <w:r>
        <w:rPr>
          <w:rFonts w:ascii="Arial" w:cs="Arial" w:eastAsia="Arial" w:hAnsi="Arial"/>
          <w:sz w:val="16"/>
          <w:szCs w:val="16"/>
          <w:color w:val="auto"/>
        </w:rPr>
        <w:t>(i)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155" w:lineRule="exact"/>
        <w:rPr>
          <w:rFonts w:ascii="Arial" w:cs="Arial" w:eastAsia="Arial" w:hAnsi="Arial"/>
          <w:sz w:val="16"/>
          <w:szCs w:val="16"/>
          <w:color w:val="010000"/>
        </w:rPr>
      </w:pPr>
    </w:p>
    <w:p>
      <w:pPr>
        <w:jc w:val="both"/>
        <w:ind w:firstLine="656"/>
        <w:spacing w:after="0" w:line="286" w:lineRule="auto"/>
        <w:tabs>
          <w:tab w:leader="none" w:pos="1567" w:val="left"/>
        </w:tabs>
        <w:numPr>
          <w:ilvl w:val="1"/>
          <w:numId w:val="35"/>
        </w:numPr>
        <w:rPr>
          <w:rFonts w:ascii="Arial" w:cs="Arial" w:eastAsia="Arial" w:hAnsi="Arial"/>
          <w:sz w:val="16"/>
          <w:szCs w:val="16"/>
          <w:color w:val="010000"/>
        </w:rPr>
      </w:pPr>
      <w:r>
        <w:rPr>
          <w:rFonts w:ascii="Arial" w:cs="Arial" w:eastAsia="Arial" w:hAnsi="Arial"/>
          <w:sz w:val="16"/>
          <w:szCs w:val="16"/>
          <w:u w:val="single" w:color="auto"/>
          <w:color w:val="auto"/>
        </w:rPr>
        <w:t>Listing/DTC</w:t>
      </w:r>
      <w:r>
        <w:rPr>
          <w:rFonts w:ascii="Arial" w:cs="Arial" w:eastAsia="Arial" w:hAnsi="Arial"/>
          <w:sz w:val="16"/>
          <w:szCs w:val="16"/>
          <w:color w:val="auto"/>
        </w:rPr>
        <w:t xml:space="preserve">. The Company shall promptly secure the listing of all of the Purchase Shares and Commitment Shares to be issued to the Investor hereunder on the Principal Market (subject to official notice of issuance) and upon each other national securities exchange or automated quotation system, if any, upon which the Common Stock is then listed, and shall use commercially reasonable efforts to maintain, so long as any shares of Common Stock shall be so listed, such listing of all such Securities from time to time issuable hereunder. The Company shall use commercially reasonable efforts to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the Principal Market regarding the continued eligibility of the Common Stock for listing on the Principal Market; provided, however, that the Company shall not be required to provide the Investor copies of any such notice that the Company reasonably believes constitutes material non-public information and the Company would not be required to publicly disclose such notice in any report or statement filed with the SEC under the Exchange Act (including on Form 8-K) or the Securities Act. The Company shall pay all fees and expenses in connection with satisfying its obligations under this </w:t>
      </w:r>
      <w:r>
        <w:rPr>
          <w:rFonts w:ascii="Arial" w:cs="Arial" w:eastAsia="Arial" w:hAnsi="Arial"/>
          <w:sz w:val="16"/>
          <w:szCs w:val="16"/>
          <w:u w:val="single" w:color="auto"/>
          <w:color w:val="auto"/>
        </w:rPr>
        <w:t>Section 5(c)</w:t>
      </w:r>
      <w:r>
        <w:rPr>
          <w:rFonts w:ascii="Arial" w:cs="Arial" w:eastAsia="Arial" w:hAnsi="Arial"/>
          <w:sz w:val="16"/>
          <w:szCs w:val="16"/>
          <w:color w:val="auto"/>
        </w:rPr>
        <w:t>. The Company shall take all action necessary to ensure that its Common Stock can be transferred electronically as DWAC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79" w:lineRule="auto"/>
        <w:tabs>
          <w:tab w:leader="none" w:pos="1591" w:val="left"/>
        </w:tabs>
        <w:numPr>
          <w:ilvl w:val="0"/>
          <w:numId w:val="36"/>
        </w:numPr>
        <w:rPr>
          <w:rFonts w:ascii="Arial" w:cs="Arial" w:eastAsia="Arial" w:hAnsi="Arial"/>
          <w:sz w:val="17"/>
          <w:szCs w:val="17"/>
          <w:color w:val="010000"/>
        </w:rPr>
      </w:pPr>
      <w:r>
        <w:rPr>
          <w:rFonts w:ascii="Arial" w:cs="Arial" w:eastAsia="Arial" w:hAnsi="Arial"/>
          <w:sz w:val="17"/>
          <w:szCs w:val="17"/>
          <w:u w:val="single" w:color="auto"/>
          <w:color w:val="auto"/>
        </w:rPr>
        <w:t>Prohibition of Short Sales and Hedging Transactions</w:t>
      </w:r>
      <w:r>
        <w:rPr>
          <w:rFonts w:ascii="Arial" w:cs="Arial" w:eastAsia="Arial" w:hAnsi="Arial"/>
          <w:sz w:val="17"/>
          <w:szCs w:val="17"/>
          <w:color w:val="auto"/>
        </w:rPr>
        <w:t xml:space="preserve">. The Investor agrees that beginning on the date of this Agreement and ending on the date of termination of this Agreement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the Investor and its agents, representatives and affiliates shall not in any manner whatsoever enter into or effect, directly or indirectly, any (i) “short sale” (as such term is defined in Rule 200 of Regulation SHO of the Exchange Act) of the Common Stock or (ii) hedging transaction, which establishes a net short position with respect to the Common Stock.</w:t>
      </w:r>
    </w:p>
    <w:p>
      <w:pPr>
        <w:spacing w:after="0" w:line="171" w:lineRule="exact"/>
        <w:rPr>
          <w:rFonts w:ascii="Arial" w:cs="Arial" w:eastAsia="Arial" w:hAnsi="Arial"/>
          <w:sz w:val="17"/>
          <w:szCs w:val="17"/>
          <w:color w:val="010000"/>
        </w:rPr>
      </w:pPr>
    </w:p>
    <w:p>
      <w:pPr>
        <w:jc w:val="both"/>
        <w:ind w:firstLine="656"/>
        <w:spacing w:after="0" w:line="279" w:lineRule="auto"/>
        <w:tabs>
          <w:tab w:leader="none" w:pos="1716" w:val="left"/>
        </w:tabs>
        <w:numPr>
          <w:ilvl w:val="0"/>
          <w:numId w:val="36"/>
        </w:numPr>
        <w:rPr>
          <w:rFonts w:ascii="Arial" w:cs="Arial" w:eastAsia="Arial" w:hAnsi="Arial"/>
          <w:sz w:val="17"/>
          <w:szCs w:val="17"/>
          <w:color w:val="010000"/>
        </w:rPr>
      </w:pPr>
      <w:r>
        <w:rPr>
          <w:rFonts w:ascii="Arial" w:cs="Arial" w:eastAsia="Arial" w:hAnsi="Arial"/>
          <w:sz w:val="17"/>
          <w:szCs w:val="17"/>
          <w:u w:val="single" w:color="auto"/>
          <w:color w:val="auto"/>
        </w:rPr>
        <w:t>Issuance of Commitment Shares</w:t>
      </w:r>
      <w:r>
        <w:rPr>
          <w:rFonts w:ascii="Arial" w:cs="Arial" w:eastAsia="Arial" w:hAnsi="Arial"/>
          <w:sz w:val="17"/>
          <w:szCs w:val="17"/>
          <w:color w:val="auto"/>
        </w:rPr>
        <w:t>. In consideration for the Investor’s execution and delivery of this Agreement, the Company shall cause to be issued to the Investor a total of 121,584 shares of Common Stock (the “</w:t>
      </w:r>
      <w:r>
        <w:rPr>
          <w:rFonts w:ascii="Arial" w:cs="Arial" w:eastAsia="Arial" w:hAnsi="Arial"/>
          <w:sz w:val="17"/>
          <w:szCs w:val="17"/>
          <w:u w:val="single" w:color="auto"/>
          <w:color w:val="auto"/>
        </w:rPr>
        <w:t>Commitment Shares</w:t>
      </w:r>
      <w:r>
        <w:rPr>
          <w:rFonts w:ascii="Arial" w:cs="Arial" w:eastAsia="Arial" w:hAnsi="Arial"/>
          <w:sz w:val="17"/>
          <w:szCs w:val="17"/>
          <w:color w:val="auto"/>
        </w:rPr>
        <w:t>”). For the avoidance of doubt, all of the Commitment Shares shall be fully earned as of the date of this Agreement, whether or not the Commencement shall occur or any Purchase Shares are purchased by the Investor under this Agreement and irrespective of any subsequent termination of this Agreement.</w:t>
      </w:r>
    </w:p>
    <w:p>
      <w:pPr>
        <w:spacing w:after="0" w:line="171" w:lineRule="exact"/>
        <w:rPr>
          <w:rFonts w:ascii="Arial" w:cs="Arial" w:eastAsia="Arial" w:hAnsi="Arial"/>
          <w:sz w:val="17"/>
          <w:szCs w:val="17"/>
          <w:color w:val="010000"/>
        </w:rPr>
      </w:pPr>
    </w:p>
    <w:p>
      <w:pPr>
        <w:jc w:val="both"/>
        <w:ind w:firstLine="656"/>
        <w:spacing w:after="0" w:line="284" w:lineRule="auto"/>
        <w:tabs>
          <w:tab w:leader="none" w:pos="1592" w:val="left"/>
        </w:tabs>
        <w:numPr>
          <w:ilvl w:val="0"/>
          <w:numId w:val="36"/>
        </w:numPr>
        <w:rPr>
          <w:rFonts w:ascii="Arial" w:cs="Arial" w:eastAsia="Arial" w:hAnsi="Arial"/>
          <w:sz w:val="16"/>
          <w:szCs w:val="16"/>
          <w:color w:val="010000"/>
        </w:rPr>
      </w:pPr>
      <w:r>
        <w:rPr>
          <w:rFonts w:ascii="Arial" w:cs="Arial" w:eastAsia="Arial" w:hAnsi="Arial"/>
          <w:sz w:val="16"/>
          <w:szCs w:val="16"/>
          <w:u w:val="single" w:color="auto"/>
          <w:color w:val="auto"/>
        </w:rPr>
        <w:t>Due Diligence; Non-Public Information</w:t>
      </w:r>
      <w:r>
        <w:rPr>
          <w:rFonts w:ascii="Arial" w:cs="Arial" w:eastAsia="Arial" w:hAnsi="Arial"/>
          <w:sz w:val="16"/>
          <w:szCs w:val="16"/>
          <w:color w:val="auto"/>
        </w:rPr>
        <w:t xml:space="preserve">. During the term of this Agreement, the Investor shall have the right, from time to time as the Investor may reasonably deem appropriate, and upon reasonable advance notice to the Company, to perform reasonable due diligence on the Company during normal business hours. The Company and its officers and employees shall provide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The receiving party may disclose Confidential Information to the extent such information is required to be disclosed by law, regulation or order of a court of competent jurisdiction or regulatory authority, provided that the receiving party shall promptly notify the disclosing party when such requirement to disclose arises, and shall cooperate with the disclosing party so as to enable the disclosing party to: (i) seek an appropriate protective order; and (ii) make any applicable claim of confidentiality in respect of such Confidential Information; and provided, further, that the receiving party shall disclose Confidential Information only to the extent required by the protective order or other similar order, if such an order is obtained, and, if no such order is obtained, the receiving party shall disclose only the minimum amount of such Confidential Information required to be disclosed in order to comply with the applicable law, regulation or order. In addition, any such Confidential Information disclosed pursuant to this </w:t>
      </w:r>
      <w:r>
        <w:rPr>
          <w:rFonts w:ascii="Arial" w:cs="Arial" w:eastAsia="Arial" w:hAnsi="Arial"/>
          <w:sz w:val="16"/>
          <w:szCs w:val="16"/>
          <w:u w:val="single" w:color="auto"/>
          <w:color w:val="auto"/>
        </w:rPr>
        <w:t>Section 5(g)</w:t>
      </w:r>
      <w:r>
        <w:rPr>
          <w:rFonts w:ascii="Arial" w:cs="Arial" w:eastAsia="Arial" w:hAnsi="Arial"/>
          <w:sz w:val="16"/>
          <w:szCs w:val="16"/>
          <w:color w:val="auto"/>
        </w:rPr>
        <w:t xml:space="preserve"> shall continue to be deemed Confidential Information. Notwithstanding anything in this Agreement to the contrary, the Company and the Investor agree that neither the Company nor any other Person acting on its behalf shall provide the Investor or its agents or counsel with any information that constitutes or may reasonably be considered to constitute material, non-public information, unless a simultaneous public announcement thereof is made by the Company in the manner contemplated by Regulation FD. In the event of a breach of the foregoing covenant by the Company or any Person acting on its behalf (as determined in the reasonable good faith judgment of the Investor), in addition to any other remedy provided herein or in the other Transaction Documents, if the Investor is holding any Securities at the time of the disclosure of such material non-public information,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twenty-four (24) hours (or, if later, until the end of the next succeeding Business Day) to either publicly disclose such material, non-public information or to demonstrate to the Investor that such information does not constitute material, non-public information. The Investor shall not have any liability to the Company, any of its Subsidiaries, or any of their respective directors, officers, employees, stockholders or agents, for any such disclosure. The Company understands and confirms that the Investor shall be relying on the foregoing covenants in effecting transactions in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56"/>
        <w:spacing w:after="0" w:line="263" w:lineRule="auto"/>
        <w:tabs>
          <w:tab w:leader="none" w:pos="1604"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Purchase Records</w:t>
      </w:r>
      <w:r>
        <w:rPr>
          <w:rFonts w:ascii="Arial" w:cs="Arial" w:eastAsia="Arial" w:hAnsi="Arial"/>
          <w:sz w:val="18"/>
          <w:szCs w:val="18"/>
          <w:color w:val="auto"/>
        </w:rPr>
        <w:t>. The Investor and the Company shall each maintain records showing the remaining Available Amount at any given time and the dates and Purchase Amounts for each Regular Purchase, Accelerated Purchase and Additional Accelerated Purchase or shall use such other method, reasonably satisfactory to the Investor and the Company.</w:t>
      </w:r>
    </w:p>
    <w:p>
      <w:pPr>
        <w:spacing w:after="0" w:line="183" w:lineRule="exact"/>
        <w:rPr>
          <w:rFonts w:ascii="Arial" w:cs="Arial" w:eastAsia="Arial" w:hAnsi="Arial"/>
          <w:sz w:val="18"/>
          <w:szCs w:val="18"/>
          <w:color w:val="010000"/>
        </w:rPr>
      </w:pPr>
    </w:p>
    <w:p>
      <w:pPr>
        <w:ind w:firstLine="656"/>
        <w:spacing w:after="0" w:line="277" w:lineRule="auto"/>
        <w:tabs>
          <w:tab w:leader="none" w:pos="1793"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shall pay any and all transfer, stamp or similar taxes that may be payable with respect to the issuance and delivery of any shares of Common Stock to the Investor made under this Agreement.</w:t>
      </w:r>
    </w:p>
    <w:p>
      <w:pPr>
        <w:spacing w:after="0" w:line="170" w:lineRule="exact"/>
        <w:rPr>
          <w:rFonts w:ascii="Arial" w:cs="Arial" w:eastAsia="Arial" w:hAnsi="Arial"/>
          <w:sz w:val="18"/>
          <w:szCs w:val="18"/>
          <w:color w:val="010000"/>
        </w:rPr>
      </w:pPr>
    </w:p>
    <w:p>
      <w:pPr>
        <w:jc w:val="both"/>
        <w:ind w:firstLine="656"/>
        <w:spacing w:after="0" w:line="273" w:lineRule="auto"/>
        <w:tabs>
          <w:tab w:leader="none" w:pos="1663" w:val="left"/>
        </w:tabs>
        <w:numPr>
          <w:ilvl w:val="0"/>
          <w:numId w:val="37"/>
        </w:numPr>
        <w:rPr>
          <w:rFonts w:ascii="Arial" w:cs="Arial" w:eastAsia="Arial" w:hAnsi="Arial"/>
          <w:sz w:val="17"/>
          <w:szCs w:val="17"/>
          <w:color w:val="010000"/>
        </w:rPr>
      </w:pPr>
      <w:r>
        <w:rPr>
          <w:rFonts w:ascii="Arial" w:cs="Arial" w:eastAsia="Arial" w:hAnsi="Arial"/>
          <w:sz w:val="17"/>
          <w:szCs w:val="17"/>
          <w:u w:val="single" w:color="auto"/>
          <w:color w:val="auto"/>
        </w:rPr>
        <w:t>No Aggregation</w:t>
      </w:r>
      <w:r>
        <w:rPr>
          <w:rFonts w:ascii="Arial" w:cs="Arial" w:eastAsia="Arial" w:hAnsi="Arial"/>
          <w:sz w:val="17"/>
          <w:szCs w:val="17"/>
          <w:color w:val="auto"/>
        </w:rPr>
        <w:t>. From and after the date of this Agreement, neither the Company, nor or any of its affiliates will, and the Company shall use its commercially reasonable efforts to ensure that no Person acting on their behalf will, directly or indirectly, make any offers or sales of any security or solicit any offers to buy any security, under circumstances that would reasonably be expected to cause this offering of the Securities by the Company to the Investor to be aggregated with other offerings by the Company in a manner that would require stockholder approval pursuant to the rules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77" w:lineRule="exact"/>
        <w:rPr>
          <w:rFonts w:ascii="Arial" w:cs="Arial" w:eastAsia="Arial" w:hAnsi="Arial"/>
          <w:sz w:val="17"/>
          <w:szCs w:val="17"/>
          <w:color w:val="010000"/>
        </w:rPr>
      </w:pPr>
    </w:p>
    <w:p>
      <w:pPr>
        <w:ind w:left="1600" w:hanging="944"/>
        <w:spacing w:after="0"/>
        <w:tabs>
          <w:tab w:leader="none" w:pos="1600"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from the offering as described in the Prospectus.</w:t>
      </w:r>
    </w:p>
    <w:p>
      <w:pPr>
        <w:spacing w:after="0" w:line="225" w:lineRule="exact"/>
        <w:rPr>
          <w:rFonts w:ascii="Arial" w:cs="Arial" w:eastAsia="Arial" w:hAnsi="Arial"/>
          <w:sz w:val="18"/>
          <w:szCs w:val="18"/>
          <w:color w:val="010000"/>
        </w:rPr>
      </w:pPr>
    </w:p>
    <w:p>
      <w:pPr>
        <w:jc w:val="both"/>
        <w:ind w:right="20" w:firstLine="656"/>
        <w:spacing w:after="0" w:line="279" w:lineRule="auto"/>
        <w:tabs>
          <w:tab w:leader="none" w:pos="1591" w:val="left"/>
        </w:tabs>
        <w:numPr>
          <w:ilvl w:val="0"/>
          <w:numId w:val="37"/>
        </w:numPr>
        <w:rPr>
          <w:rFonts w:ascii="Arial" w:cs="Arial" w:eastAsia="Arial" w:hAnsi="Arial"/>
          <w:sz w:val="17"/>
          <w:szCs w:val="17"/>
          <w:color w:val="010000"/>
        </w:rPr>
      </w:pPr>
      <w:r>
        <w:rPr>
          <w:rFonts w:ascii="Arial" w:cs="Arial" w:eastAsia="Arial" w:hAnsi="Arial"/>
          <w:sz w:val="17"/>
          <w:szCs w:val="17"/>
          <w:u w:val="single" w:color="auto"/>
          <w:color w:val="auto"/>
        </w:rPr>
        <w:t>Other Transactions</w:t>
      </w:r>
      <w:r>
        <w:rPr>
          <w:rFonts w:ascii="Arial" w:cs="Arial" w:eastAsia="Arial" w:hAnsi="Arial"/>
          <w:sz w:val="17"/>
          <w:szCs w:val="17"/>
          <w:color w:val="auto"/>
        </w:rPr>
        <w:t>. During the term of this Agreement,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Purchase Shares and the Commitment Shares to the Investor in accordance with the terms of the Transaction Documents.</w:t>
      </w:r>
    </w:p>
    <w:p>
      <w:pPr>
        <w:spacing w:after="0" w:line="171" w:lineRule="exact"/>
        <w:rPr>
          <w:rFonts w:ascii="Arial" w:cs="Arial" w:eastAsia="Arial" w:hAnsi="Arial"/>
          <w:sz w:val="17"/>
          <w:szCs w:val="17"/>
          <w:color w:val="010000"/>
        </w:rPr>
      </w:pPr>
    </w:p>
    <w:p>
      <w:pPr>
        <w:jc w:val="both"/>
        <w:ind w:firstLine="656"/>
        <w:spacing w:after="0" w:line="271" w:lineRule="auto"/>
        <w:tabs>
          <w:tab w:leader="none" w:pos="1704" w:val="left"/>
        </w:tabs>
        <w:numPr>
          <w:ilvl w:val="0"/>
          <w:numId w:val="37"/>
        </w:numPr>
        <w:rPr>
          <w:rFonts w:ascii="Arial" w:cs="Arial" w:eastAsia="Arial" w:hAnsi="Arial"/>
          <w:sz w:val="17"/>
          <w:szCs w:val="17"/>
          <w:color w:val="010000"/>
        </w:rPr>
      </w:pPr>
      <w:r>
        <w:rPr>
          <w:rFonts w:ascii="Arial" w:cs="Arial" w:eastAsia="Arial" w:hAnsi="Arial"/>
          <w:sz w:val="17"/>
          <w:szCs w:val="17"/>
          <w:u w:val="single" w:color="auto"/>
          <w:color w:val="auto"/>
        </w:rPr>
        <w:t>Limitation on Financings.</w:t>
      </w:r>
      <w:r>
        <w:rPr>
          <w:rFonts w:ascii="Arial" w:cs="Arial" w:eastAsia="Arial" w:hAnsi="Arial"/>
          <w:sz w:val="17"/>
          <w:szCs w:val="17"/>
          <w:color w:val="auto"/>
        </w:rPr>
        <w:t xml:space="preserve"> From and after the date of this Agreement until the earlier of (X) the Maturity Date and (Y) twelve (12) months after the date of termination of this Agreement as provided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,the Company shall be prohibited from entering into any “equity line” or similar transaction whereby an investor is irrevocably bound to purchase securities over a period of time from the Company at a price based on the market price of the Common Stock at the time of such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5(l)</w:t>
      </w:r>
      <w:r>
        <w:rPr>
          <w:rFonts w:ascii="Arial" w:cs="Arial" w:eastAsia="Arial" w:hAnsi="Arial"/>
          <w:sz w:val="17"/>
          <w:szCs w:val="17"/>
          <w:color w:val="auto"/>
        </w:rPr>
        <w:t xml:space="preserve"> shall not be deemed to prohibit the issuance of Common Stock pursuant to an “at-the-market offering” by the Company exclusively through a registered broker-dealer acting as agent of the Company pursuant to a written agreement between the Company and such registered broker-dealer. The Investor shall be entitled to seek injunctive relief against the Company to preclude any such issuance, which remedy shall be in addition to any right to collect damages, without the necessity of showing economic loss and without any bond or other security being required.</w:t>
      </w:r>
    </w:p>
    <w:p>
      <w:pPr>
        <w:spacing w:after="0" w:line="178" w:lineRule="exact"/>
        <w:rPr>
          <w:rFonts w:ascii="Arial" w:cs="Arial" w:eastAsia="Arial" w:hAnsi="Arial"/>
          <w:sz w:val="17"/>
          <w:szCs w:val="17"/>
          <w:color w:val="010000"/>
        </w:rPr>
      </w:pPr>
    </w:p>
    <w:p>
      <w:pPr>
        <w:jc w:val="both"/>
        <w:ind w:firstLine="656"/>
        <w:spacing w:after="0" w:line="271" w:lineRule="auto"/>
        <w:tabs>
          <w:tab w:leader="none" w:pos="1551" w:val="left"/>
        </w:tabs>
        <w:numPr>
          <w:ilvl w:val="0"/>
          <w:numId w:val="37"/>
        </w:numPr>
        <w:rPr>
          <w:rFonts w:ascii="Arial" w:cs="Arial" w:eastAsia="Arial" w:hAnsi="Arial"/>
          <w:sz w:val="17"/>
          <w:szCs w:val="17"/>
          <w:color w:val="010000"/>
        </w:rPr>
      </w:pP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SEC filing or other public disclosure by or on behalf of the Company that, in each case, identifies the Investor, describes its purchases hereunder or summarizes the Transaction Documents or the transactions contemplated thereby, not less than twenty-four (24) hours prior to the issuance, filing or public disclosure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provide to the Investor any disclosures that are materially similar to those previously reviewed by the Investor. The Investor must be provided with a substantially final version of any such press release, SEC filing or other public disclosure at least twenty-four (24) hours prior to any release, filing or use by the Company thereof. The Company agrees and acknowledges that its failure to fully comply with this provision constitutes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hanging="652"/>
        <w:spacing w:after="0"/>
        <w:tabs>
          <w:tab w:leader="none" w:pos="66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color w:val="auto"/>
        </w:rPr>
        <w:t>TRANSFER AGENT INSTRUCTIONS.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the Commencement Date, the Company shall issue to the Transfer Agent (and any subsequent transfer agent) irrevocable instructions, in the form substantially similar to those used by the Investor in substantially similar transactions, to issue the Commitment Shares, reserve the Purchase Shares and issue the Purchase Shares from time to time in accordance with the terms of this Agreement (the “</w:t>
      </w:r>
      <w:r>
        <w:rPr>
          <w:rFonts w:ascii="Arial" w:cs="Arial" w:eastAsia="Arial" w:hAnsi="Arial"/>
          <w:sz w:val="17"/>
          <w:szCs w:val="17"/>
          <w:u w:val="single" w:color="auto"/>
          <w:color w:val="auto"/>
        </w:rPr>
        <w:t>Irrevocable Transfer Agent Instructions</w:t>
      </w:r>
      <w:r>
        <w:rPr>
          <w:rFonts w:ascii="Arial" w:cs="Arial" w:eastAsia="Arial" w:hAnsi="Arial"/>
          <w:sz w:val="17"/>
          <w:szCs w:val="17"/>
          <w:color w:val="auto"/>
        </w:rPr>
        <w:t xml:space="preserve">”). All Securities to be issued to or for the benefit of the Investor pursuant to this Agreement shall be issued as DWAC Shares. The Company warrants to the Investor that no instruction other than the Irrevocable Transfer Agent Instructions referred to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will be given by the Company to the Transfer Agent with respect to the Securities, and the Securities shall otherwise be freely transferable on the books and records of the Company; provided that if for any reason the Initial Prospectus Supplement has not been filed before February 12, 2021, the Company shall issue instructions to the Transfer Agent to issue the Commitment Shares to the Investor.</w:t>
      </w:r>
    </w:p>
    <w:p>
      <w:pPr>
        <w:spacing w:after="0" w:line="17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color w:val="auto"/>
        </w:rPr>
        <w:t>CONDITIONS TO THE COMPANY’S RIGHT TO COMMENCE SALES OF SHARES OF COMMON STOCK.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right of the Company hereunder to commence sales of the Purchase Shares on the Commencement Date is subject to the satisfaction or, where legally permissible, the waiver of each of the following conditions:</w:t>
      </w:r>
    </w:p>
    <w:p>
      <w:pPr>
        <w:spacing w:after="0" w:line="170" w:lineRule="exact"/>
        <w:rPr>
          <w:sz w:val="20"/>
          <w:szCs w:val="20"/>
          <w:color w:val="auto"/>
        </w:rPr>
      </w:pPr>
    </w:p>
    <w:p>
      <w:pPr>
        <w:ind w:left="1580" w:hanging="924"/>
        <w:spacing w:after="0"/>
        <w:tabs>
          <w:tab w:leader="none" w:pos="158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The Investor shall have executed each of the Transaction Documents and delivered the same to the Company;</w:t>
      </w:r>
    </w:p>
    <w:p>
      <w:pPr>
        <w:spacing w:after="0" w:line="225" w:lineRule="exact"/>
        <w:rPr>
          <w:rFonts w:ascii="Arial" w:cs="Arial" w:eastAsia="Arial" w:hAnsi="Arial"/>
          <w:sz w:val="18"/>
          <w:szCs w:val="18"/>
          <w:color w:val="010000"/>
        </w:rPr>
      </w:pPr>
    </w:p>
    <w:p>
      <w:pPr>
        <w:ind w:left="1580" w:hanging="924"/>
        <w:spacing w:after="0"/>
        <w:tabs>
          <w:tab w:leader="none" w:pos="1580"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No stop order with respect to the Registration Statement shall be pending or threatened by the SEC;</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635"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The Common Stock shall be listed on the Principal Market, and all Securities to be issued by the Company to the Investor under the Transaction Documents shall have been approved for listing on the Principal Market in accordance with the applicable rules and regulations of the Principal Market, subject only to official notice of issuance; and</w:t>
      </w:r>
    </w:p>
    <w:p>
      <w:pPr>
        <w:spacing w:after="0" w:line="183" w:lineRule="exact"/>
        <w:rPr>
          <w:rFonts w:ascii="Arial" w:cs="Arial" w:eastAsia="Arial" w:hAnsi="Arial"/>
          <w:sz w:val="18"/>
          <w:szCs w:val="18"/>
          <w:color w:val="010000"/>
        </w:rPr>
      </w:pPr>
    </w:p>
    <w:p>
      <w:pPr>
        <w:jc w:val="both"/>
        <w:ind w:firstLine="656"/>
        <w:spacing w:after="0" w:line="311" w:lineRule="auto"/>
        <w:tabs>
          <w:tab w:leader="none" w:pos="1685" w:val="left"/>
        </w:tabs>
        <w:numPr>
          <w:ilvl w:val="1"/>
          <w:numId w:val="40"/>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the Investor shall be true and correct in all material respects (except to the extent that any of such representations and warranties is already qualified as to materiality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in which case, such representations and warranties shall be true and correct without further qualification) as of the date hereof and as of the Commencement Date as though made at that time.</w:t>
      </w:r>
    </w:p>
    <w:p>
      <w:pPr>
        <w:spacing w:after="0" w:line="144" w:lineRule="exact"/>
        <w:rPr>
          <w:rFonts w:ascii="Arial" w:cs="Arial" w:eastAsia="Arial" w:hAnsi="Arial"/>
          <w:sz w:val="16"/>
          <w:szCs w:val="16"/>
          <w:color w:val="010000"/>
        </w:rPr>
      </w:pPr>
    </w:p>
    <w:p>
      <w:pPr>
        <w:ind w:left="660" w:hanging="652"/>
        <w:spacing w:after="0"/>
        <w:tabs>
          <w:tab w:leader="none" w:pos="660"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color w:val="auto"/>
        </w:rPr>
        <w:t>CONDITIONS TO THE INVESTOR’S OBLIGATION TO PURCHASE SHARES OF COMMON STOCK.</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6"/>
          <w:szCs w:val="16"/>
          <w:color w:val="auto"/>
        </w:rPr>
        <w:t>The obligation of the Investor to buy Purchase Shares under this Agreement is subject to the satisfaction or, where legally permissible, the waiver</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of each of the following conditions on or prior to the Commencement Date and, once such conditions have been initially satisfied, there shall not be any ongoing obligation to satisfy such conditions after the Commencement has occurred:</w:t>
      </w:r>
    </w:p>
    <w:p>
      <w:pPr>
        <w:spacing w:after="0" w:line="185" w:lineRule="exact"/>
        <w:rPr>
          <w:sz w:val="20"/>
          <w:szCs w:val="20"/>
          <w:color w:val="auto"/>
        </w:rPr>
      </w:pPr>
    </w:p>
    <w:p>
      <w:pPr>
        <w:jc w:val="center"/>
        <w:ind w:left="5540" w:right="1760" w:hanging="4884"/>
        <w:spacing w:after="0" w:line="778" w:lineRule="auto"/>
        <w:tabs>
          <w:tab w:leader="none" w:pos="1581"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Company shall have executed each of the Transaction Documents and delivered the same to the Investor;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63" w:lineRule="auto"/>
        <w:tabs>
          <w:tab w:leader="none" w:pos="1807"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Investor shall have received the opinions and the negative assurances letter of the Company’s legal counsel dated as of the Commencement Date substantially in the form agreed to prior to the date of this Agreement by the Company’s legal counsel and the Investor’s legal counsel;</w:t>
      </w:r>
    </w:p>
    <w:p>
      <w:pPr>
        <w:spacing w:after="0" w:line="183" w:lineRule="exact"/>
        <w:rPr>
          <w:rFonts w:ascii="Arial" w:cs="Arial" w:eastAsia="Arial" w:hAnsi="Arial"/>
          <w:sz w:val="18"/>
          <w:szCs w:val="18"/>
          <w:color w:val="010000"/>
        </w:rPr>
      </w:pPr>
    </w:p>
    <w:p>
      <w:pPr>
        <w:jc w:val="both"/>
        <w:ind w:firstLine="656"/>
        <w:spacing w:after="0" w:line="291" w:lineRule="auto"/>
        <w:tabs>
          <w:tab w:leader="none" w:pos="1635" w:val="left"/>
        </w:tabs>
        <w:numPr>
          <w:ilvl w:val="0"/>
          <w:numId w:val="43"/>
        </w:numPr>
        <w:rPr>
          <w:rFonts w:ascii="Arial" w:cs="Arial" w:eastAsia="Arial" w:hAnsi="Arial"/>
          <w:sz w:val="16"/>
          <w:szCs w:val="16"/>
          <w:color w:val="010000"/>
        </w:rPr>
      </w:pPr>
      <w:r>
        <w:rPr>
          <w:rFonts w:ascii="Arial" w:cs="Arial" w:eastAsia="Arial" w:hAnsi="Arial"/>
          <w:sz w:val="16"/>
          <w:szCs w:val="16"/>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in which case, such representations and warranties shall be true and correct without further qualification) as of the date when made and as of the Commencement Date as though made at that time (except for representations and warranties that speak as of a specific date, which shall be true and correct in all material respects as of such date) and the Company shall have performed, satisfied and complied in all material respects with the covenants, agreements and conditions required by the Transaction Documents to be performed, satisfied or complied with by the Company at or prior to the Commencement Date. The Investor shall have received a certificate, executed by the Chief Financial Officer of the Company, dated as of the Commencement Date, to the foregoing effect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66" w:lineRule="exact"/>
        <w:rPr>
          <w:rFonts w:ascii="Arial" w:cs="Arial" w:eastAsia="Arial" w:hAnsi="Arial"/>
          <w:sz w:val="16"/>
          <w:szCs w:val="16"/>
          <w:color w:val="010000"/>
        </w:rPr>
      </w:pPr>
    </w:p>
    <w:p>
      <w:pPr>
        <w:ind w:firstLine="656"/>
        <w:spacing w:after="0" w:line="277" w:lineRule="auto"/>
        <w:tabs>
          <w:tab w:leader="none" w:pos="1807"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Board of Directors of the Company shall have adopted the Resolutions, which shall be in full force and effect without any amendment or supplement thereto as of the Commencement Date;</w:t>
      </w:r>
    </w:p>
    <w:p>
      <w:pPr>
        <w:spacing w:after="0" w:line="170" w:lineRule="exact"/>
        <w:rPr>
          <w:rFonts w:ascii="Arial" w:cs="Arial" w:eastAsia="Arial" w:hAnsi="Arial"/>
          <w:sz w:val="18"/>
          <w:szCs w:val="18"/>
          <w:color w:val="010000"/>
        </w:rPr>
      </w:pPr>
    </w:p>
    <w:p>
      <w:pPr>
        <w:ind w:firstLine="656"/>
        <w:spacing w:after="0" w:line="277" w:lineRule="auto"/>
        <w:tabs>
          <w:tab w:leader="none" w:pos="1689"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As of the Commencement Date, the Company shall have reserved out of its authorized and unissued Common Stock solely for the purpose of effecting purchases of Purchase Shares hereunder, 12,000,000 shares of Common Stock;</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822"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 xml:space="preserve">The Irrevocable Transfer Agent Instructions shall have been delivered to and acknowledged in writing by the Company and the Company’s Transfer Agent (or any successor transfer agent), and the Commitment Shares required to be issued in accordance with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hereof shall have been issued directly to the Investor electronically as DWAC Shares;</w:t>
      </w:r>
    </w:p>
    <w:p>
      <w:pPr>
        <w:spacing w:after="0" w:line="183" w:lineRule="exact"/>
        <w:rPr>
          <w:rFonts w:ascii="Arial" w:cs="Arial" w:eastAsia="Arial" w:hAnsi="Arial"/>
          <w:sz w:val="18"/>
          <w:szCs w:val="18"/>
          <w:color w:val="010000"/>
        </w:rPr>
      </w:pPr>
    </w:p>
    <w:p>
      <w:pPr>
        <w:jc w:val="both"/>
        <w:ind w:firstLine="656"/>
        <w:spacing w:after="0" w:line="311" w:lineRule="auto"/>
        <w:tabs>
          <w:tab w:leader="none" w:pos="1631" w:val="left"/>
        </w:tabs>
        <w:numPr>
          <w:ilvl w:val="0"/>
          <w:numId w:val="43"/>
        </w:numPr>
        <w:rPr>
          <w:rFonts w:ascii="Arial" w:cs="Arial" w:eastAsia="Arial" w:hAnsi="Arial"/>
          <w:sz w:val="16"/>
          <w:szCs w:val="16"/>
          <w:color w:val="010000"/>
        </w:rPr>
      </w:pPr>
      <w:r>
        <w:rPr>
          <w:rFonts w:ascii="Arial" w:cs="Arial" w:eastAsia="Arial" w:hAnsi="Arial"/>
          <w:sz w:val="16"/>
          <w:szCs w:val="16"/>
          <w:color w:val="auto"/>
        </w:rPr>
        <w:t>The Company shall have delivered to the Investor a certified copy of the Certificate of Incorporation and a certificate evidencing the incorporation and good standing of the Company in the State of Delaware, each issued by the Secretary of State of the State of Delaware, as well as a certificate evidencing the authorization to do business in Pennsylvania in each case as of a date within ten (10) Business Days of the Commencement Date;</w:t>
      </w:r>
    </w:p>
    <w:p>
      <w:pPr>
        <w:spacing w:after="0" w:line="148" w:lineRule="exact"/>
        <w:rPr>
          <w:rFonts w:ascii="Arial" w:cs="Arial" w:eastAsia="Arial" w:hAnsi="Arial"/>
          <w:sz w:val="16"/>
          <w:szCs w:val="16"/>
          <w:color w:val="010000"/>
        </w:rPr>
      </w:pPr>
    </w:p>
    <w:p>
      <w:pPr>
        <w:ind w:right="20" w:firstLine="656"/>
        <w:spacing w:after="0" w:line="277" w:lineRule="auto"/>
        <w:tabs>
          <w:tab w:leader="none" w:pos="1631"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 xml:space="preserve">The Company shall have delivered to the Investor a secretary’s certificate executed by the Secretary of the Company, dated as of the Commencement Date,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656"/>
        <w:spacing w:after="0" w:line="288" w:lineRule="auto"/>
        <w:tabs>
          <w:tab w:leader="none" w:pos="1744" w:val="left"/>
        </w:tabs>
        <w:numPr>
          <w:ilvl w:val="0"/>
          <w:numId w:val="43"/>
        </w:numPr>
        <w:rPr>
          <w:rFonts w:ascii="Arial" w:cs="Arial" w:eastAsia="Arial" w:hAnsi="Arial"/>
          <w:sz w:val="16"/>
          <w:szCs w:val="16"/>
          <w:color w:val="010000"/>
        </w:rPr>
      </w:pPr>
      <w:r>
        <w:rPr>
          <w:rFonts w:ascii="Arial" w:cs="Arial" w:eastAsia="Arial" w:hAnsi="Arial"/>
          <w:sz w:val="16"/>
          <w:szCs w:val="16"/>
          <w:color w:val="auto"/>
        </w:rPr>
        <w:t xml:space="preserve">The Shelf Registration Statement shall continue to be effective and no stop order with respect to the Shelf Registration Statement shall be pending or threatened by the SEC. The Company shall have a maximum dollar amount of Common Stock registered under the Shelf Registration Statement which is sufficient to issue to the Investor not less than (i) the full Available Amount worth of Purchase Shares plus (ii) all of the Commitment Shares. The Current Report and the Initial Prospectus Supplement each shall have been filed with the SEC, as required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and in compliance with the Registration Rights Agreement. The Prospectus shall be current and available for issuances and sales of all of the Securities by the Company to the Investor and for the resale of all of the Securities by the Investor. Any other Prospectus Supplements required to have been filed by the Company with the SEC under the Securities Act at or prior to the Commencement Date shall have been filed with the SEC within the applicable time periods prescribed for such filings under the Securities Act. All reports, schedules, registrations, forms, statements, information and other documents required to have been filed by the Company with the SEC at or prior to the Commencement Date pursuant to the reporting requirements of the Exchange Act shall have been filed with the SEC within the applicable time periods prescribed for such filings under the Exchange 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firstLine="656"/>
        <w:spacing w:after="0" w:line="277" w:lineRule="auto"/>
        <w:tabs>
          <w:tab w:leader="none" w:pos="1744"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No Event of Default (as defined below) has occurred, and no event which, after notice and/or lapse of time, would reasonably be expected to become an Event of Default has occurred;</w:t>
      </w:r>
    </w:p>
    <w:p>
      <w:pPr>
        <w:spacing w:after="0" w:line="170" w:lineRule="exact"/>
        <w:rPr>
          <w:rFonts w:ascii="Arial" w:cs="Arial" w:eastAsia="Arial" w:hAnsi="Arial"/>
          <w:sz w:val="18"/>
          <w:szCs w:val="18"/>
          <w:color w:val="010000"/>
        </w:rPr>
      </w:pPr>
    </w:p>
    <w:p>
      <w:pPr>
        <w:jc w:val="both"/>
        <w:ind w:firstLine="656"/>
        <w:spacing w:after="0" w:line="271" w:lineRule="auto"/>
        <w:tabs>
          <w:tab w:leader="none" w:pos="1685"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178" w:lineRule="exact"/>
        <w:rPr>
          <w:rFonts w:ascii="Arial" w:cs="Arial" w:eastAsia="Arial" w:hAnsi="Arial"/>
          <w:sz w:val="17"/>
          <w:szCs w:val="17"/>
          <w:color w:val="010000"/>
        </w:rPr>
      </w:pPr>
    </w:p>
    <w:p>
      <w:pPr>
        <w:jc w:val="both"/>
        <w:ind w:firstLine="656"/>
        <w:spacing w:after="0" w:line="263" w:lineRule="auto"/>
        <w:tabs>
          <w:tab w:leader="none" w:pos="1636"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 and</w:t>
      </w:r>
    </w:p>
    <w:p>
      <w:pPr>
        <w:spacing w:after="0" w:line="183" w:lineRule="exact"/>
        <w:rPr>
          <w:rFonts w:ascii="Arial" w:cs="Arial" w:eastAsia="Arial" w:hAnsi="Arial"/>
          <w:sz w:val="18"/>
          <w:szCs w:val="18"/>
          <w:color w:val="010000"/>
        </w:rPr>
      </w:pPr>
    </w:p>
    <w:p>
      <w:pPr>
        <w:jc w:val="both"/>
        <w:ind w:firstLine="656"/>
        <w:spacing w:after="0" w:line="257" w:lineRule="auto"/>
        <w:tabs>
          <w:tab w:leader="none" w:pos="1564"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w:t>
      </w:r>
    </w:p>
    <w:p>
      <w:pPr>
        <w:spacing w:after="0" w:line="183" w:lineRule="exact"/>
        <w:rPr>
          <w:rFonts w:ascii="Arial" w:cs="Arial" w:eastAsia="Arial" w:hAnsi="Arial"/>
          <w:sz w:val="18"/>
          <w:szCs w:val="18"/>
          <w:color w:val="010000"/>
        </w:rPr>
      </w:pPr>
    </w:p>
    <w:p>
      <w:pPr>
        <w:ind w:left="660" w:hanging="652"/>
        <w:spacing w:after="0"/>
        <w:tabs>
          <w:tab w:leader="none" w:pos="660"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stockholders, officers, directors, members, managers,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with respect to Indemnified Liabilities which directly and primarily result from the fraud, gross negligence or willful misconduct of an Indemnitee. The indemnity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thirty (30) days from the date the Indemnitee makes written request for it. A certificate containing reasonable detail as to the amount of such indemnification submitted to the Company by the Indemnitee shall be conclusive evidence, absent manifest error, of the amount due from the Company to the Indemnitee, provided that the Indemnitee shall undertake to repay any amounts paid to it hereunder if it is ultimately determined, by a final and non-appealable order of a court of competent jurisdiction, that the Indemnitee is not entitled to be indemnified against such Indemnified Liabilities by the Company pursuant to this Agreement.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652" w:hanging="652"/>
        <w:spacing w:after="0"/>
        <w:tabs>
          <w:tab w:leader="none" w:pos="652" w:val="left"/>
        </w:tabs>
        <w:numPr>
          <w:ilvl w:val="0"/>
          <w:numId w:val="46"/>
        </w:numPr>
        <w:rPr>
          <w:rFonts w:ascii="Arial" w:cs="Arial" w:eastAsia="Arial" w:hAnsi="Arial"/>
          <w:sz w:val="18"/>
          <w:szCs w:val="18"/>
          <w:b w:val="1"/>
          <w:bCs w:val="1"/>
          <w:color w:val="010000"/>
        </w:rPr>
      </w:pPr>
      <w:r>
        <w:rPr>
          <w:rFonts w:ascii="Arial" w:cs="Arial" w:eastAsia="Arial" w:hAnsi="Arial"/>
          <w:sz w:val="18"/>
          <w:szCs w:val="18"/>
          <w:b w:val="1"/>
          <w:bCs w:val="1"/>
          <w:color w:val="auto"/>
        </w:rPr>
        <w:t>EVENTS OF DEFAULT.</w:t>
      </w:r>
    </w:p>
    <w:p>
      <w:pPr>
        <w:spacing w:after="0" w:line="229" w:lineRule="exact"/>
        <w:rPr>
          <w:rFonts w:ascii="Arial" w:cs="Arial" w:eastAsia="Arial" w:hAnsi="Arial"/>
          <w:sz w:val="18"/>
          <w:szCs w:val="18"/>
          <w:b w:val="1"/>
          <w:bCs w:val="1"/>
          <w:color w:val="010000"/>
        </w:rPr>
      </w:pPr>
    </w:p>
    <w:p>
      <w:pPr>
        <w:ind w:left="652"/>
        <w:spacing w:after="0"/>
        <w:rPr>
          <w:rFonts w:ascii="Arial" w:cs="Arial" w:eastAsia="Arial" w:hAnsi="Arial"/>
          <w:sz w:val="18"/>
          <w:szCs w:val="18"/>
          <w:b w:val="1"/>
          <w:bCs w:val="1"/>
          <w:color w:val="010000"/>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be deemed to have occurred at any time as any of the following events occurs:</w:t>
      </w:r>
    </w:p>
    <w:p>
      <w:pPr>
        <w:spacing w:after="0" w:line="225" w:lineRule="exact"/>
        <w:rPr>
          <w:rFonts w:ascii="Arial" w:cs="Arial" w:eastAsia="Arial" w:hAnsi="Arial"/>
          <w:sz w:val="18"/>
          <w:szCs w:val="18"/>
          <w:b w:val="1"/>
          <w:bCs w:val="1"/>
          <w:color w:val="010000"/>
        </w:rPr>
      </w:pPr>
    </w:p>
    <w:p>
      <w:pPr>
        <w:jc w:val="both"/>
        <w:ind w:left="-8" w:firstLine="656"/>
        <w:spacing w:after="0" w:line="269" w:lineRule="auto"/>
        <w:tabs>
          <w:tab w:leader="none" w:pos="1775" w:val="left"/>
        </w:tabs>
        <w:numPr>
          <w:ilvl w:val="1"/>
          <w:numId w:val="46"/>
        </w:numPr>
        <w:rPr>
          <w:rFonts w:ascii="Arial" w:cs="Arial" w:eastAsia="Arial" w:hAnsi="Arial"/>
          <w:sz w:val="17"/>
          <w:szCs w:val="17"/>
          <w:color w:val="010000"/>
        </w:rPr>
      </w:pPr>
      <w:r>
        <w:rPr>
          <w:rFonts w:ascii="Arial" w:cs="Arial" w:eastAsia="Arial" w:hAnsi="Arial"/>
          <w:sz w:val="17"/>
          <w:szCs w:val="17"/>
          <w:color w:val="auto"/>
        </w:rPr>
        <w:t>the effectiveness of the Registration Statement registering the Securities lapses for any reason (including, without limitation, the issuance of a stop order or similar order), the Registration Statement or any Prospectus is unavailable for the sale by the Company to the Investor (or the resale by the Investor) of any or all of the Securities to be issued to the Investor under the Transaction Documents (including, without limitation, as a result of any failure of the Company to satisfy all of the requirements for the use of a registration statement on Form S-3 pursuant to the Securities Act for the offering and sale of the Securities contemplated by this Agreement), and any such lapse or unavailability continues for a period of ten (10) consecutive Business Days or for more than an aggregate of thirty (30) Business Days in any 365-day period, but excluding a lapse or unavailability where (i) the Company terminates the Registration Statement after the Investor has confirmed in writing that all of the Securities covered thereby have been resold or (ii) the Company supersedes the Shelf Registration Statement with a New Registration Statement (as defined in the Registration Rights Agreement), including (without limitation) when the Registration Statement is effectively replaced with a New Registration Statement covering Securities (provided in the case of this clause (ii) that all of the Securities covered by the superseded (or terminated) registration statement that have not theretofore been sold to the Investor are included in the superseding (or new) registration statement);</w:t>
      </w:r>
    </w:p>
    <w:p>
      <w:pPr>
        <w:spacing w:after="0" w:line="181" w:lineRule="exact"/>
        <w:rPr>
          <w:rFonts w:ascii="Arial" w:cs="Arial" w:eastAsia="Arial" w:hAnsi="Arial"/>
          <w:sz w:val="17"/>
          <w:szCs w:val="17"/>
          <w:color w:val="010000"/>
        </w:rPr>
      </w:pPr>
    </w:p>
    <w:p>
      <w:pPr>
        <w:ind w:left="-8" w:firstLine="656"/>
        <w:spacing w:after="0" w:line="277" w:lineRule="auto"/>
        <w:tabs>
          <w:tab w:leader="none" w:pos="1691"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the suspension of the Common Stock from trading on the Principal Market for a period of one (1) Business Day, provided that the Company may not direct the Investor to purchase any shares of Common Stock during any such suspension;</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2" w:name="page33"/>
    <w:bookmarkEnd w:id="32"/>
    <w:p>
      <w:pPr>
        <w:jc w:val="both"/>
        <w:ind w:right="20" w:firstLine="656"/>
        <w:spacing w:after="0" w:line="311" w:lineRule="auto"/>
        <w:tabs>
          <w:tab w:leader="none" w:pos="1770" w:val="left"/>
        </w:tabs>
        <w:numPr>
          <w:ilvl w:val="0"/>
          <w:numId w:val="47"/>
        </w:numPr>
        <w:rPr>
          <w:rFonts w:ascii="Arial" w:cs="Arial" w:eastAsia="Arial" w:hAnsi="Arial"/>
          <w:sz w:val="16"/>
          <w:szCs w:val="16"/>
          <w:color w:val="010000"/>
        </w:rPr>
      </w:pPr>
      <w:r>
        <w:rPr>
          <w:rFonts w:ascii="Arial" w:cs="Arial" w:eastAsia="Arial" w:hAnsi="Arial"/>
          <w:sz w:val="16"/>
          <w:szCs w:val="16"/>
          <w:color w:val="auto"/>
        </w:rPr>
        <w:t>the delisting of the Common Stock from The Nasdaq Global Select Market, unless the Common Stock is immediately thereafter trading on The Nasdaq Global Market, The Nasdaq Capital Market, the New York Stock Exchange, the NYSE Arca, the NYSE American, the OTC Bulletin Board, or the OTCQB or the OTCQX operated by the OTC Markets Group, Inc. (or any nationally recognized successor to any of the foregoing);</w:t>
      </w:r>
    </w:p>
    <w:p>
      <w:pPr>
        <w:spacing w:after="0" w:line="148" w:lineRule="exact"/>
        <w:rPr>
          <w:rFonts w:ascii="Arial" w:cs="Arial" w:eastAsia="Arial" w:hAnsi="Arial"/>
          <w:sz w:val="16"/>
          <w:szCs w:val="16"/>
          <w:color w:val="010000"/>
        </w:rPr>
      </w:pPr>
    </w:p>
    <w:p>
      <w:pPr>
        <w:ind w:firstLine="656"/>
        <w:spacing w:after="0" w:line="308" w:lineRule="auto"/>
        <w:tabs>
          <w:tab w:leader="none" w:pos="1820" w:val="left"/>
        </w:tabs>
        <w:numPr>
          <w:ilvl w:val="0"/>
          <w:numId w:val="47"/>
        </w:numPr>
        <w:rPr>
          <w:rFonts w:ascii="Arial" w:cs="Arial" w:eastAsia="Arial" w:hAnsi="Arial"/>
          <w:sz w:val="17"/>
          <w:szCs w:val="17"/>
          <w:color w:val="010000"/>
        </w:rPr>
      </w:pPr>
      <w:r>
        <w:rPr>
          <w:rFonts w:ascii="Arial" w:cs="Arial" w:eastAsia="Arial" w:hAnsi="Arial"/>
          <w:sz w:val="17"/>
          <w:szCs w:val="17"/>
          <w:color w:val="auto"/>
        </w:rPr>
        <w:t>the failure for any reason by the Transfer Agent to issue Purchase Shares to the Investor within one (1) Business Day after the applicable Purchase Date or Accelerated Purchase Date (as applicable) on which the Investor is entitled to receive such Purchase Shares;</w:t>
      </w:r>
    </w:p>
    <w:p>
      <w:pPr>
        <w:spacing w:after="0" w:line="146" w:lineRule="exact"/>
        <w:rPr>
          <w:rFonts w:ascii="Arial" w:cs="Arial" w:eastAsia="Arial" w:hAnsi="Arial"/>
          <w:sz w:val="17"/>
          <w:szCs w:val="17"/>
          <w:color w:val="010000"/>
        </w:rPr>
      </w:pPr>
    </w:p>
    <w:p>
      <w:pPr>
        <w:jc w:val="both"/>
        <w:ind w:firstLine="656"/>
        <w:spacing w:after="0" w:line="263" w:lineRule="auto"/>
        <w:tabs>
          <w:tab w:leader="none" w:pos="1716"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the Company breaches any representation, warranty, covenant or other term or condition under any Transaction Document if such breach could have a Material Adverse Effect and except, in the case of a breach of a covenant which is reasonably curable, only if such breach continues for a period of at least five (5) Business Days;</w:t>
      </w:r>
    </w:p>
    <w:p>
      <w:pPr>
        <w:spacing w:after="0" w:line="183" w:lineRule="exact"/>
        <w:rPr>
          <w:rFonts w:ascii="Arial" w:cs="Arial" w:eastAsia="Arial" w:hAnsi="Arial"/>
          <w:sz w:val="18"/>
          <w:szCs w:val="18"/>
          <w:color w:val="010000"/>
        </w:rPr>
      </w:pPr>
    </w:p>
    <w:p>
      <w:pPr>
        <w:ind w:left="1600" w:hanging="944"/>
        <w:spacing w:after="0"/>
        <w:tabs>
          <w:tab w:leader="none" w:pos="160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010000"/>
        </w:rPr>
      </w:pPr>
    </w:p>
    <w:p>
      <w:pPr>
        <w:jc w:val="both"/>
        <w:ind w:firstLine="656"/>
        <w:spacing w:after="0" w:line="259" w:lineRule="auto"/>
        <w:tabs>
          <w:tab w:leader="none" w:pos="1699"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receiver, trustee, assignee, liquidator or similar official under any Bankruptcy Law (a “</w:t>
      </w:r>
      <w:r>
        <w:rPr>
          <w:rFonts w:ascii="Arial" w:cs="Arial" w:eastAsia="Arial" w:hAnsi="Arial"/>
          <w:sz w:val="18"/>
          <w:szCs w:val="18"/>
          <w:u w:val="single" w:color="auto"/>
          <w:color w:val="auto"/>
        </w:rPr>
        <w:t>Custodian</w:t>
      </w:r>
      <w:r>
        <w:rPr>
          <w:rFonts w:ascii="Arial" w:cs="Arial" w:eastAsia="Arial" w:hAnsi="Arial"/>
          <w:sz w:val="18"/>
          <w:szCs w:val="18"/>
          <w:color w:val="auto"/>
        </w:rPr>
        <w:t>”) of it or for all or substantially all of its property, or (iv) makes a general assignment for the benefit of its creditors or is generally unable to pay its debts as the same become due;</w:t>
      </w:r>
    </w:p>
    <w:p>
      <w:pPr>
        <w:spacing w:after="0" w:line="186" w:lineRule="exact"/>
        <w:rPr>
          <w:rFonts w:ascii="Arial" w:cs="Arial" w:eastAsia="Arial" w:hAnsi="Arial"/>
          <w:sz w:val="18"/>
          <w:szCs w:val="18"/>
          <w:color w:val="010000"/>
        </w:rPr>
      </w:pPr>
    </w:p>
    <w:p>
      <w:pPr>
        <w:jc w:val="both"/>
        <w:ind w:firstLine="656"/>
        <w:spacing w:after="0" w:line="263" w:lineRule="auto"/>
        <w:tabs>
          <w:tab w:leader="none" w:pos="1631"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w:t>
      </w:r>
    </w:p>
    <w:p>
      <w:pPr>
        <w:spacing w:after="0" w:line="183" w:lineRule="exact"/>
        <w:rPr>
          <w:rFonts w:ascii="Arial" w:cs="Arial" w:eastAsia="Arial" w:hAnsi="Arial"/>
          <w:sz w:val="18"/>
          <w:szCs w:val="18"/>
          <w:color w:val="010000"/>
        </w:rPr>
      </w:pPr>
    </w:p>
    <w:p>
      <w:pPr>
        <w:ind w:left="1600" w:hanging="944"/>
        <w:spacing w:after="0"/>
        <w:tabs>
          <w:tab w:leader="none" w:pos="160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if at any time the Company is not eligible to transfer its Common Stock electronically as DWAC Shares; or</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636"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if at any time after the Commencement Date, the Exchange Cap is reached (to the extent the Exchange Cap is applicable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 and the Company’s stockholders have not approved the transactions contemplated by this Agreement in accordance with the applicable rules and regulations of the Principal Market.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any other rights and remedies under applicable law and this Agreement, so long as an Event of Default has occurred and is continuing, or if any event that, after notice and/or lapse of time, would reasonably be expected to become an Event of Default, has occurred and is continuing, the Company shall not deliver to the Investor any Purchase Notice, and the Investor shall not purchase any shares of Common Stock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660" w:hanging="652"/>
        <w:spacing w:after="0"/>
        <w:tabs>
          <w:tab w:leader="none" w:pos="660"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010000"/>
        </w:rPr>
      </w:pPr>
    </w:p>
    <w:p>
      <w:pPr>
        <w:ind w:left="660"/>
        <w:spacing w:after="0"/>
        <w:rPr>
          <w:rFonts w:ascii="Arial" w:cs="Arial" w:eastAsia="Arial" w:hAnsi="Arial"/>
          <w:sz w:val="18"/>
          <w:szCs w:val="18"/>
          <w:b w:val="1"/>
          <w:bCs w:val="1"/>
          <w:color w:val="010000"/>
        </w:rPr>
      </w:pPr>
      <w:r>
        <w:rPr>
          <w:rFonts w:ascii="Arial" w:cs="Arial" w:eastAsia="Arial" w:hAnsi="Arial"/>
          <w:sz w:val="18"/>
          <w:szCs w:val="18"/>
          <w:color w:val="auto"/>
        </w:rPr>
        <w:t>This Agreement may be terminated only as follows:</w:t>
      </w:r>
    </w:p>
    <w:p>
      <w:pPr>
        <w:spacing w:after="0" w:line="225" w:lineRule="exact"/>
        <w:rPr>
          <w:rFonts w:ascii="Arial" w:cs="Arial" w:eastAsia="Arial" w:hAnsi="Arial"/>
          <w:sz w:val="18"/>
          <w:szCs w:val="18"/>
          <w:b w:val="1"/>
          <w:bCs w:val="1"/>
          <w:color w:val="010000"/>
        </w:rPr>
      </w:pPr>
    </w:p>
    <w:p>
      <w:pPr>
        <w:jc w:val="both"/>
        <w:ind w:firstLine="656"/>
        <w:spacing w:after="0" w:line="257" w:lineRule="auto"/>
        <w:tabs>
          <w:tab w:leader="none" w:pos="160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 xml:space="preserve">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Arial" w:cs="Arial" w:eastAsia="Arial" w:hAnsi="Arial"/>
          <w:sz w:val="18"/>
          <w:szCs w:val="18"/>
          <w:u w:val="single" w:color="auto"/>
          <w:color w:val="auto"/>
        </w:rPr>
        <w:t>Sections 10(f)</w:t>
      </w:r>
      <w:r>
        <w:rPr>
          <w:rFonts w:ascii="Arial" w:cs="Arial" w:eastAsia="Arial" w:hAnsi="Arial"/>
          <w:sz w:val="18"/>
          <w:szCs w:val="18"/>
          <w:color w:val="auto"/>
        </w:rPr>
        <w:t xml:space="preserve">, </w:t>
      </w:r>
      <w:r>
        <w:rPr>
          <w:rFonts w:ascii="Arial" w:cs="Arial" w:eastAsia="Arial" w:hAnsi="Arial"/>
          <w:sz w:val="18"/>
          <w:szCs w:val="18"/>
          <w:u w:val="single" w:color="auto"/>
          <w:color w:val="auto"/>
        </w:rPr>
        <w:t>10(g)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10(h)</w:t>
      </w:r>
      <w:r>
        <w:rPr>
          <w:rFonts w:ascii="Arial" w:cs="Arial" w:eastAsia="Arial" w:hAnsi="Arial"/>
          <w:sz w:val="18"/>
          <w:szCs w:val="18"/>
          <w:color w:val="auto"/>
        </w:rPr>
        <w:t xml:space="preserve"> hereof), this Agreement shall automatically terminate without any liability or payment to the Company (except as set forth below) without further action or notice by any Person.</w:t>
      </w:r>
    </w:p>
    <w:p>
      <w:pPr>
        <w:spacing w:after="0" w:line="187" w:lineRule="exact"/>
        <w:rPr>
          <w:rFonts w:ascii="Arial" w:cs="Arial" w:eastAsia="Arial" w:hAnsi="Arial"/>
          <w:sz w:val="18"/>
          <w:szCs w:val="18"/>
          <w:color w:val="010000"/>
        </w:rPr>
      </w:pPr>
    </w:p>
    <w:p>
      <w:pPr>
        <w:jc w:val="both"/>
        <w:ind w:firstLine="656"/>
        <w:spacing w:after="0" w:line="273" w:lineRule="auto"/>
        <w:tabs>
          <w:tab w:leader="none" w:pos="1820" w:val="left"/>
        </w:tabs>
        <w:numPr>
          <w:ilvl w:val="1"/>
          <w:numId w:val="48"/>
        </w:numPr>
        <w:rPr>
          <w:rFonts w:ascii="Arial" w:cs="Arial" w:eastAsia="Arial" w:hAnsi="Arial"/>
          <w:sz w:val="17"/>
          <w:szCs w:val="17"/>
          <w:color w:val="010000"/>
        </w:rPr>
      </w:pPr>
      <w:r>
        <w:rPr>
          <w:rFonts w:ascii="Arial" w:cs="Arial" w:eastAsia="Arial" w:hAnsi="Arial"/>
          <w:sz w:val="17"/>
          <w:szCs w:val="17"/>
          <w:color w:val="auto"/>
        </w:rPr>
        <w:t xml:space="preserve">In the event that the Commencement shall not have occurred on or before September 30, 2020, due to the failure to satisfy the conditions set forth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above with respect to the Commencement, either the Company or the Investor shall have the option to terminate this Agreement at the close of business on such date or thereafter without liability of any party to any other party (except as set forth below); provided, however, that the right to terminate this Agreement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8(c)</w:t>
      </w:r>
      <w:r>
        <w:rPr>
          <w:rFonts w:ascii="Arial" w:cs="Arial" w:eastAsia="Arial" w:hAnsi="Arial"/>
          <w:sz w:val="17"/>
          <w:szCs w:val="17"/>
          <w:color w:val="auto"/>
        </w:rPr>
        <w:t>, as applicable, could not then be satisfied.</w:t>
      </w:r>
    </w:p>
    <w:p>
      <w:pPr>
        <w:spacing w:after="0" w:line="177" w:lineRule="exact"/>
        <w:rPr>
          <w:rFonts w:ascii="Arial" w:cs="Arial" w:eastAsia="Arial" w:hAnsi="Arial"/>
          <w:sz w:val="17"/>
          <w:szCs w:val="17"/>
          <w:color w:val="010000"/>
        </w:rPr>
      </w:pPr>
    </w:p>
    <w:p>
      <w:pPr>
        <w:jc w:val="both"/>
        <w:ind w:firstLine="656"/>
        <w:spacing w:after="0" w:line="259" w:lineRule="auto"/>
        <w:tabs>
          <w:tab w:leader="none" w:pos="1635"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At any time after the Commencement Date, the Company shall have the option to terminate this Agreement for any reason or for no reason by delivering notice (a “</w:t>
      </w:r>
      <w:r>
        <w:rPr>
          <w:rFonts w:ascii="Arial" w:cs="Arial" w:eastAsia="Arial" w:hAnsi="Arial"/>
          <w:sz w:val="18"/>
          <w:szCs w:val="18"/>
          <w:u w:val="single" w:color="auto"/>
          <w:color w:val="auto"/>
        </w:rPr>
        <w:t>Company Termination Notice</w:t>
      </w:r>
      <w:r>
        <w:rPr>
          <w:rFonts w:ascii="Arial" w:cs="Arial" w:eastAsia="Arial" w:hAnsi="Arial"/>
          <w:sz w:val="18"/>
          <w:szCs w:val="18"/>
          <w:color w:val="auto"/>
        </w:rPr>
        <w:t>”) to the Investor electing to terminate this Agreement without any liability whatsoever of any party to any other party under this Agreement (except as set forth below). The Company Termination Notice shall not be effective until one (1) Business Day after it has been received by the Investor.</w:t>
      </w:r>
    </w:p>
    <w:p>
      <w:pPr>
        <w:spacing w:after="0" w:line="186" w:lineRule="exact"/>
        <w:rPr>
          <w:rFonts w:ascii="Arial" w:cs="Arial" w:eastAsia="Arial" w:hAnsi="Arial"/>
          <w:sz w:val="18"/>
          <w:szCs w:val="18"/>
          <w:color w:val="010000"/>
        </w:rPr>
      </w:pPr>
    </w:p>
    <w:p>
      <w:pPr>
        <w:jc w:val="both"/>
        <w:ind w:firstLine="656"/>
        <w:spacing w:after="0" w:line="263" w:lineRule="auto"/>
        <w:tabs>
          <w:tab w:leader="none" w:pos="1847"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below).</w:t>
      </w:r>
    </w:p>
    <w:p>
      <w:pPr>
        <w:spacing w:after="0" w:line="183" w:lineRule="exact"/>
        <w:rPr>
          <w:rFonts w:ascii="Arial" w:cs="Arial" w:eastAsia="Arial" w:hAnsi="Arial"/>
          <w:sz w:val="18"/>
          <w:szCs w:val="18"/>
          <w:color w:val="010000"/>
        </w:rPr>
      </w:pPr>
    </w:p>
    <w:p>
      <w:pPr>
        <w:jc w:val="both"/>
        <w:ind w:firstLine="656"/>
        <w:spacing w:after="0" w:line="263" w:lineRule="auto"/>
        <w:tabs>
          <w:tab w:leader="none" w:pos="1594"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 xml:space="preserve">If, for any reason or for no reason, the full Available Amount has not been purchased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by the Maturity Date, this Agreement shall automatically terminate on the Maturity Date, without any action or notice on the part of any party and without any liability whatsoever of any party to any other party under this Agreement (except as set forth below).</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Sections 11</w:t>
      </w:r>
      <w:r>
        <w:rPr>
          <w:rFonts w:ascii="Arial" w:cs="Arial" w:eastAsia="Arial" w:hAnsi="Arial"/>
          <w:sz w:val="17"/>
          <w:szCs w:val="17"/>
          <w:color w:val="auto"/>
        </w:rPr>
        <w:t>(</w:t>
      </w:r>
      <w:r>
        <w:rPr>
          <w:rFonts w:ascii="Arial" w:cs="Arial" w:eastAsia="Arial" w:hAnsi="Arial"/>
          <w:sz w:val="17"/>
          <w:szCs w:val="17"/>
          <w:u w:val="single" w:color="auto"/>
          <w:color w:val="auto"/>
        </w:rPr>
        <w:t>a</w:t>
      </w:r>
      <w:r>
        <w:rPr>
          <w:rFonts w:ascii="Arial" w:cs="Arial" w:eastAsia="Arial" w:hAnsi="Arial"/>
          <w:sz w:val="17"/>
          <w:szCs w:val="17"/>
          <w:color w:val="auto"/>
        </w:rPr>
        <w:t xml:space="preserve">) (in respect of an Event of Default under </w:t>
      </w:r>
      <w:r>
        <w:rPr>
          <w:rFonts w:ascii="Arial" w:cs="Arial" w:eastAsia="Arial" w:hAnsi="Arial"/>
          <w:sz w:val="17"/>
          <w:szCs w:val="17"/>
          <w:u w:val="single" w:color="auto"/>
          <w:color w:val="auto"/>
        </w:rPr>
        <w:t>Sections 10(f)</w:t>
      </w:r>
      <w:r>
        <w:rPr>
          <w:rFonts w:ascii="Arial" w:cs="Arial" w:eastAsia="Arial" w:hAnsi="Arial"/>
          <w:sz w:val="17"/>
          <w:szCs w:val="17"/>
          <w:color w:val="auto"/>
        </w:rPr>
        <w:t xml:space="preserve">, </w:t>
      </w:r>
      <w:r>
        <w:rPr>
          <w:rFonts w:ascii="Arial" w:cs="Arial" w:eastAsia="Arial" w:hAnsi="Arial"/>
          <w:sz w:val="17"/>
          <w:szCs w:val="17"/>
          <w:u w:val="single" w:color="auto"/>
          <w:color w:val="auto"/>
        </w:rPr>
        <w:t>10(g)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10(h)</w:t>
      </w:r>
      <w:r>
        <w:rPr>
          <w:rFonts w:ascii="Arial" w:cs="Arial" w:eastAsia="Arial" w:hAnsi="Arial"/>
          <w:sz w:val="17"/>
          <w:szCs w:val="17"/>
          <w:color w:val="auto"/>
        </w:rPr>
        <w:t xml:space="preserve">),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11(e)</w:t>
      </w:r>
      <w:r>
        <w:rPr>
          <w:rFonts w:ascii="Arial" w:cs="Arial" w:eastAsia="Arial" w:hAnsi="Arial"/>
          <w:sz w:val="17"/>
          <w:szCs w:val="17"/>
          <w:color w:val="auto"/>
        </w:rPr>
        <w:t xml:space="preserve">, any termination of this Agreement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effected by written notice from the Company to the Investor, or the Investor to the Company, as the case may be, setting forth the basis for the termination hereof. The representations and warranties of the Company and the Investor contained in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w:t>
      </w:r>
      <w:r>
        <w:rPr>
          <w:rFonts w:ascii="Arial" w:cs="Arial" w:eastAsia="Arial" w:hAnsi="Arial"/>
          <w:sz w:val="17"/>
          <w:szCs w:val="17"/>
          <w:color w:val="auto"/>
        </w:rPr>
        <w:t xml:space="preserve"> hereof, the indemnification provisions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and the agreements and covenants set forth in </w:t>
      </w:r>
      <w:r>
        <w:rPr>
          <w:rFonts w:ascii="Arial" w:cs="Arial" w:eastAsia="Arial" w:hAnsi="Arial"/>
          <w:sz w:val="17"/>
          <w:szCs w:val="17"/>
          <w:u w:val="single" w:color="auto"/>
          <w:color w:val="auto"/>
        </w:rPr>
        <w:t>Sections 5, 6,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shall survive the Commencement and any termination of this Agreement. No termination of this Agreement shall (i) affect the Company’s or the Investor’s rights or obligations under (A) this Agreement with respect to pending Regular Purchases, Accelerated Purchases and Additional Accelerated Purchases and the Company and the Investor shall complete their respective obligations with respect to any pending Regular Purchases, Accelerated Purchases and Additional Accelerated Purchases under this Agreement and (B) the Registration Rights Agreement, which shall survive any such termination in accordance with its terms, or (ii) be deemed to release the Company or the Investor from any liability for intentional misrepresentation or willful breach of any of the Transaction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hanging="652"/>
        <w:spacing w:after="0"/>
        <w:tabs>
          <w:tab w:leader="none" w:pos="660" w:val="left"/>
        </w:tabs>
        <w:numPr>
          <w:ilvl w:val="0"/>
          <w:numId w:val="49"/>
        </w:numPr>
        <w:rPr>
          <w:rFonts w:ascii="Arial" w:cs="Arial" w:eastAsia="Arial" w:hAnsi="Arial"/>
          <w:sz w:val="18"/>
          <w:szCs w:val="18"/>
          <w:b w:val="1"/>
          <w:bCs w:val="1"/>
          <w:color w:val="010000"/>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010000"/>
        </w:rPr>
      </w:pPr>
    </w:p>
    <w:p>
      <w:pPr>
        <w:jc w:val="both"/>
        <w:ind w:firstLine="656"/>
        <w:spacing w:after="0" w:line="286" w:lineRule="auto"/>
        <w:tabs>
          <w:tab w:leader="none" w:pos="1662" w:val="left"/>
        </w:tabs>
        <w:numPr>
          <w:ilvl w:val="1"/>
          <w:numId w:val="49"/>
        </w:numPr>
        <w:rPr>
          <w:rFonts w:ascii="Arial" w:cs="Arial" w:eastAsia="Arial" w:hAnsi="Arial"/>
          <w:sz w:val="16"/>
          <w:szCs w:val="16"/>
          <w:color w:val="010000"/>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and construed in accordance with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and venue in the U.S. District Court for the Southern District of New York or, if that court does not have subject matter jurisdiction, in any state court located in the City and County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 HAVE</w:t>
      </w:r>
      <w:r>
        <w:rPr>
          <w:rFonts w:ascii="Arial" w:cs="Arial" w:eastAsia="Arial" w:hAnsi="Arial"/>
          <w:sz w:val="16"/>
          <w:szCs w:val="16"/>
          <w:color w:val="auto"/>
        </w:rPr>
        <w:t xml:space="preserve">, </w:t>
      </w:r>
      <w:r>
        <w:rPr>
          <w:rFonts w:ascii="Arial" w:cs="Arial" w:eastAsia="Arial" w:hAnsi="Arial"/>
          <w:sz w:val="16"/>
          <w:szCs w:val="16"/>
          <w:b w:val="1"/>
          <w:b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color w:val="auto"/>
        </w:rPr>
        <w:t>AGREES NOT TO REQUEST</w:t>
      </w:r>
      <w:r>
        <w:rPr>
          <w:rFonts w:ascii="Arial" w:cs="Arial" w:eastAsia="Arial" w:hAnsi="Arial"/>
          <w:sz w:val="16"/>
          <w:szCs w:val="16"/>
          <w:color w:val="auto"/>
        </w:rPr>
        <w:t>,</w:t>
      </w:r>
      <w:r>
        <w:rPr>
          <w:rFonts w:ascii="Arial" w:cs="Arial" w:eastAsia="Arial" w:hAnsi="Arial"/>
          <w:sz w:val="16"/>
          <w:szCs w:val="16"/>
          <w:b w:val="1"/>
          <w:bCs w:val="1"/>
          <w:color w:val="auto"/>
        </w:rPr>
        <w:t xml:space="preserve"> A JURY TRIAL FOR THE ADJUDICATION OF ANY DISPUTE HEREUNDER OR IN CONNECTION HEREWITH OR ARISING OUT OF THIS AGREEMENT OR ANY TRANSACTION CONTEMPLATED HEREBY</w:t>
      </w:r>
      <w:r>
        <w:rPr>
          <w:rFonts w:ascii="Arial" w:cs="Arial" w:eastAsia="Arial" w:hAnsi="Arial"/>
          <w:sz w:val="16"/>
          <w:szCs w:val="16"/>
          <w:color w:val="auto"/>
        </w:rPr>
        <w:t>.</w:t>
      </w:r>
    </w:p>
    <w:p>
      <w:pPr>
        <w:spacing w:after="0" w:line="167" w:lineRule="exact"/>
        <w:rPr>
          <w:rFonts w:ascii="Arial" w:cs="Arial" w:eastAsia="Arial" w:hAnsi="Arial"/>
          <w:sz w:val="16"/>
          <w:szCs w:val="16"/>
          <w:color w:val="010000"/>
        </w:rPr>
      </w:pPr>
    </w:p>
    <w:p>
      <w:pPr>
        <w:jc w:val="both"/>
        <w:ind w:firstLine="656"/>
        <w:spacing w:after="0" w:line="259" w:lineRule="auto"/>
        <w:tabs>
          <w:tab w:leader="none" w:pos="1685" w:val="left"/>
        </w:tabs>
        <w:numPr>
          <w:ilvl w:val="1"/>
          <w:numId w:val="49"/>
        </w:numPr>
        <w:rPr>
          <w:rFonts w:ascii="Arial" w:cs="Arial" w:eastAsia="Arial" w:hAnsi="Arial"/>
          <w:sz w:val="18"/>
          <w:szCs w:val="18"/>
          <w:color w:val="010000"/>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shall be considered due execution and shall be binding upon the signatory thereto with the same force and effect as if the signature were an original signature.</w:t>
      </w:r>
    </w:p>
    <w:p>
      <w:pPr>
        <w:spacing w:after="0" w:line="186" w:lineRule="exact"/>
        <w:rPr>
          <w:rFonts w:ascii="Arial" w:cs="Arial" w:eastAsia="Arial" w:hAnsi="Arial"/>
          <w:sz w:val="18"/>
          <w:szCs w:val="18"/>
          <w:color w:val="010000"/>
        </w:rPr>
      </w:pPr>
    </w:p>
    <w:p>
      <w:pPr>
        <w:ind w:left="1620" w:hanging="964"/>
        <w:spacing w:after="0"/>
        <w:tabs>
          <w:tab w:leader="none" w:pos="1620" w:val="left"/>
        </w:tabs>
        <w:numPr>
          <w:ilvl w:val="1"/>
          <w:numId w:val="49"/>
        </w:numPr>
        <w:rPr>
          <w:rFonts w:ascii="Arial" w:cs="Arial" w:eastAsia="Arial" w:hAnsi="Arial"/>
          <w:sz w:val="16"/>
          <w:szCs w:val="16"/>
          <w:color w:val="010000"/>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010000"/>
        </w:rPr>
      </w:pPr>
    </w:p>
    <w:p>
      <w:pPr>
        <w:jc w:val="both"/>
        <w:ind w:firstLine="656"/>
        <w:spacing w:after="0" w:line="263" w:lineRule="auto"/>
        <w:tabs>
          <w:tab w:leader="none" w:pos="2104" w:val="left"/>
        </w:tabs>
        <w:numPr>
          <w:ilvl w:val="1"/>
          <w:numId w:val="49"/>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3" w:lineRule="exact"/>
        <w:rPr>
          <w:rFonts w:ascii="Arial" w:cs="Arial" w:eastAsia="Arial" w:hAnsi="Arial"/>
          <w:sz w:val="18"/>
          <w:szCs w:val="18"/>
          <w:color w:val="010000"/>
        </w:rPr>
      </w:pPr>
    </w:p>
    <w:p>
      <w:pPr>
        <w:jc w:val="both"/>
        <w:ind w:firstLine="656"/>
        <w:spacing w:after="0" w:line="271" w:lineRule="auto"/>
        <w:tabs>
          <w:tab w:leader="none" w:pos="1905" w:val="left"/>
        </w:tabs>
        <w:numPr>
          <w:ilvl w:val="1"/>
          <w:numId w:val="49"/>
        </w:numPr>
        <w:rPr>
          <w:rFonts w:ascii="Arial" w:cs="Arial" w:eastAsia="Arial" w:hAnsi="Arial"/>
          <w:sz w:val="17"/>
          <w:szCs w:val="17"/>
          <w:color w:val="010000"/>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it has not relied on, in any manner whatsoever, any representations or statements, written or oral, other than as expressly set forth in the Transaction Documents. The Investor acknowledges and agrees that it has not relied on, in any manner whatsoever, any representations or statements, written or oral, other than as expressly set forth in the Transaction Documents. No provision of this Agreement may be amended other than by a written instrument signed by both parties hereto.</w:t>
      </w:r>
    </w:p>
    <w:p>
      <w:pPr>
        <w:spacing w:after="0" w:line="178" w:lineRule="exact"/>
        <w:rPr>
          <w:rFonts w:ascii="Arial" w:cs="Arial" w:eastAsia="Arial" w:hAnsi="Arial"/>
          <w:sz w:val="17"/>
          <w:szCs w:val="17"/>
          <w:color w:val="010000"/>
        </w:rPr>
      </w:pPr>
    </w:p>
    <w:p>
      <w:pPr>
        <w:jc w:val="both"/>
        <w:ind w:firstLine="656"/>
        <w:spacing w:after="0" w:line="257" w:lineRule="auto"/>
        <w:tabs>
          <w:tab w:leader="none" w:pos="1606" w:val="left"/>
        </w:tabs>
        <w:numPr>
          <w:ilvl w:val="1"/>
          <w:numId w:val="49"/>
        </w:numPr>
        <w:rPr>
          <w:rFonts w:ascii="Arial" w:cs="Arial" w:eastAsia="Arial" w:hAnsi="Arial"/>
          <w:sz w:val="18"/>
          <w:szCs w:val="18"/>
          <w:color w:val="010000"/>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Lee Road, 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Wayne, PA 19087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(484) 324-7933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kalijackson@aclaristx.com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Kamil Ali-Jackson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Freedom Square, Reston Town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Reston, Virginia 20190-5640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(703) 456-8000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456-8100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Brian F. Leaf,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bleaf@cooley.com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Investor: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Lincoln Park Capital Fund,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(312) 822-9300</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 822-9301</w:t>
      </w:r>
    </w:p>
    <w:p>
      <w:pPr>
        <w:spacing w:after="0" w:line="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jscheinfeld@lpcfunds.com/jcope@lpcfunds.com</w:t>
      </w:r>
    </w:p>
    <w:p>
      <w:pPr>
        <w:spacing w:after="0" w:line="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Josh Scheinfeld/Jonathan Cope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S. Biscayne Blvd., Ste. 3900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Florida 33131</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(305) 539-3306</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(305) 358-7095</w:t>
      </w:r>
    </w:p>
    <w:p>
      <w:pPr>
        <w:spacing w:after="0" w:line="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clayton.parker@klgates.com</w:t>
      </w:r>
    </w:p>
    <w:p>
      <w:pPr>
        <w:spacing w:after="0" w:line="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Clayton E. Parker, Esq.</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or at such other address, email and/or facsimile number and/or to the attention of such other Person as the recipient party has specified by written notice given to each other party one (1) Business Day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email or receipt from a nationally recognized overnight delivery service in accordance with clause (i), (ii) or (iii) above,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56"/>
        <w:spacing w:after="0" w:line="286" w:lineRule="auto"/>
        <w:tabs>
          <w:tab w:leader="none" w:pos="1631"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respective successors and assigns.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165" w:lineRule="exact"/>
        <w:rPr>
          <w:rFonts w:ascii="Arial" w:cs="Arial" w:eastAsia="Arial" w:hAnsi="Arial"/>
          <w:sz w:val="17"/>
          <w:szCs w:val="17"/>
          <w:color w:val="010000"/>
        </w:rPr>
      </w:pPr>
    </w:p>
    <w:p>
      <w:pPr>
        <w:ind w:firstLine="656"/>
        <w:spacing w:after="0" w:line="342" w:lineRule="auto"/>
        <w:tabs>
          <w:tab w:leader="none" w:pos="1928"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This Agreement is intended for the benefit of the parties hereto and their respective permitted successors and assigns, and, except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is not for the benefit of, nor may any provision hereof be enforced by, any other Person.</w:t>
      </w:r>
    </w:p>
    <w:p>
      <w:pPr>
        <w:spacing w:after="0" w:line="123" w:lineRule="exact"/>
        <w:rPr>
          <w:rFonts w:ascii="Arial" w:cs="Arial" w:eastAsia="Arial" w:hAnsi="Arial"/>
          <w:sz w:val="16"/>
          <w:szCs w:val="16"/>
          <w:color w:val="010000"/>
        </w:rPr>
      </w:pPr>
    </w:p>
    <w:p>
      <w:pPr>
        <w:jc w:val="both"/>
        <w:ind w:firstLine="656"/>
        <w:spacing w:after="0" w:line="259" w:lineRule="auto"/>
        <w:tabs>
          <w:tab w:leader="none" w:pos="1677"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spacing w:after="0" w:line="186" w:lineRule="exact"/>
        <w:rPr>
          <w:rFonts w:ascii="Arial" w:cs="Arial" w:eastAsia="Arial" w:hAnsi="Arial"/>
          <w:sz w:val="18"/>
          <w:szCs w:val="18"/>
          <w:color w:val="010000"/>
        </w:rPr>
      </w:pPr>
    </w:p>
    <w:p>
      <w:pPr>
        <w:ind w:firstLine="656"/>
        <w:spacing w:after="0" w:line="277" w:lineRule="auto"/>
        <w:tabs>
          <w:tab w:leader="none" w:pos="1596"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010000"/>
        </w:rPr>
      </w:pPr>
    </w:p>
    <w:p>
      <w:pPr>
        <w:jc w:val="both"/>
        <w:ind w:firstLine="656"/>
        <w:spacing w:after="0" w:line="290" w:lineRule="auto"/>
        <w:tabs>
          <w:tab w:leader="none" w:pos="1888" w:val="left"/>
        </w:tabs>
        <w:numPr>
          <w:ilvl w:val="0"/>
          <w:numId w:val="50"/>
        </w:numPr>
        <w:rPr>
          <w:rFonts w:ascii="Arial" w:cs="Arial" w:eastAsia="Arial" w:hAnsi="Arial"/>
          <w:sz w:val="16"/>
          <w:szCs w:val="16"/>
          <w:color w:val="010000"/>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Other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Breaches and Injunctive Relief</w:t>
      </w:r>
      <w:r>
        <w:rPr>
          <w:rFonts w:ascii="Arial" w:cs="Arial" w:eastAsia="Arial" w:hAnsi="Arial"/>
          <w:sz w:val="16"/>
          <w:szCs w:val="16"/>
          <w:color w:val="auto"/>
        </w:rPr>
        <w:t xml:space="preserve">. The Investor’s remedies provided in this Agreement, including, without limitation, the Investor’s remedies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parties acknowledge that a breach by any party of its obligations hereunder will cause irreparable harm to the non-breaching party and that the remedy at law for any such breach may be inadequate. The parties therefore agree that, in the event of any such breach or threatened breach, the non-breaching party shall be entitled, in addition to all other available remedies, to an injunction restraining any breach, without the necessity of showing economic loss and without any bond or other security being required.</w:t>
      </w:r>
    </w:p>
    <w:p>
      <w:pPr>
        <w:spacing w:after="0" w:line="165" w:lineRule="exact"/>
        <w:rPr>
          <w:rFonts w:ascii="Arial" w:cs="Arial" w:eastAsia="Arial" w:hAnsi="Arial"/>
          <w:sz w:val="16"/>
          <w:szCs w:val="16"/>
          <w:color w:val="010000"/>
        </w:rPr>
      </w:pPr>
    </w:p>
    <w:p>
      <w:pPr>
        <w:jc w:val="both"/>
        <w:ind w:firstLine="656"/>
        <w:spacing w:after="0" w:line="273" w:lineRule="auto"/>
        <w:tabs>
          <w:tab w:leader="none" w:pos="1623"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Enforcement Costs</w:t>
      </w:r>
      <w:r>
        <w:rPr>
          <w:rFonts w:ascii="Arial" w:cs="Arial" w:eastAsia="Arial" w:hAnsi="Arial"/>
          <w:sz w:val="17"/>
          <w:szCs w:val="17"/>
          <w:color w:val="auto"/>
        </w:rPr>
        <w:t>. If: (i) this Agreement is placed by the Investor or the Company in the hands of an attorney for enforcement or is enforced by the Investor or the Company through any legal proceeding; (ii) an attorney is retained to represent the Investor or the Company in any bankruptcy, reorganization, receivership or other proceedings affecting creditors' rights and involving a claim under this Agreement; or (iii) an attorney is retained to represent the Investor or the Company in any other proceedings whatsoever in connection with this Agreement, then the party against which redress is sought under this section shall pay all reasonable costs and expenses including attorneys' fees incurred in connection therewith to the party incurring such costs and expenses, as incurred, in addition to all other amounts due hereunder.</w:t>
      </w:r>
    </w:p>
    <w:p>
      <w:pPr>
        <w:spacing w:after="0" w:line="177" w:lineRule="exact"/>
        <w:rPr>
          <w:rFonts w:ascii="Arial" w:cs="Arial" w:eastAsia="Arial" w:hAnsi="Arial"/>
          <w:sz w:val="17"/>
          <w:szCs w:val="17"/>
          <w:color w:val="010000"/>
        </w:rPr>
      </w:pPr>
    </w:p>
    <w:p>
      <w:pPr>
        <w:jc w:val="both"/>
        <w:ind w:firstLine="656"/>
        <w:spacing w:after="0" w:line="259" w:lineRule="auto"/>
        <w:tabs>
          <w:tab w:leader="none" w:pos="1605" w:val="left"/>
        </w:tabs>
        <w:numPr>
          <w:ilvl w:val="0"/>
          <w:numId w:val="50"/>
        </w:numPr>
        <w:rPr>
          <w:rFonts w:ascii="Arial" w:cs="Arial" w:eastAsia="Arial" w:hAnsi="Arial"/>
          <w:sz w:val="18"/>
          <w:szCs w:val="18"/>
          <w:color w:val="010000"/>
        </w:rPr>
      </w:pPr>
      <w:r>
        <w:rPr>
          <w:rFonts w:ascii="Arial" w:cs="Arial" w:eastAsia="Arial" w:hAnsi="Arial"/>
          <w:sz w:val="18"/>
          <w:szCs w:val="18"/>
          <w:u w:val="single" w:color="auto"/>
          <w:color w:val="auto"/>
        </w:rPr>
        <w:t>Waiver; Failure or Indulgence Not Waiver</w:t>
      </w:r>
      <w:r>
        <w:rPr>
          <w:rFonts w:ascii="Arial" w:cs="Arial" w:eastAsia="Arial" w:hAnsi="Arial"/>
          <w:sz w:val="18"/>
          <w:szCs w:val="18"/>
          <w:color w:val="auto"/>
        </w:rPr>
        <w:t>.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6" w:lineRule="exact"/>
        <w:rPr>
          <w:rFonts w:ascii="Arial" w:cs="Arial" w:eastAsia="Arial" w:hAnsi="Arial"/>
          <w:sz w:val="18"/>
          <w:szCs w:val="18"/>
          <w:color w:val="010000"/>
        </w:rPr>
      </w:pPr>
    </w:p>
    <w:p>
      <w:pPr>
        <w:ind w:left="4760" w:hanging="227"/>
        <w:spacing w:after="0"/>
        <w:tabs>
          <w:tab w:leader="none" w:pos="4760" w:val="left"/>
        </w:tabs>
        <w:numPr>
          <w:ilvl w:val="1"/>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Signature Page Follows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Investor and the Company have caused this Purchase Agreement to be duly executed as of the date first written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ACLARIS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Neal Walker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LINCOLN PARK CAPITAL FUND,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LINCOLN PARK CAPITAL,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 Rockledge Capital Corporation</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Joshua Scheinfeld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Officer’s Certificate</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Secretary’s Certificate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OFFICER’S CERTIFICATE</w:t>
      </w:r>
    </w:p>
    <w:p>
      <w:pPr>
        <w:spacing w:after="0" w:line="200" w:lineRule="exact"/>
        <w:rPr>
          <w:sz w:val="20"/>
          <w:szCs w:val="20"/>
          <w:color w:val="auto"/>
        </w:rPr>
      </w:pPr>
    </w:p>
    <w:p>
      <w:pPr>
        <w:spacing w:after="0" w:line="241" w:lineRule="exact"/>
        <w:rPr>
          <w:sz w:val="20"/>
          <w:szCs w:val="20"/>
          <w:color w:val="auto"/>
        </w:rPr>
      </w:pPr>
    </w:p>
    <w:p>
      <w:pPr>
        <w:jc w:val="both"/>
        <w:ind w:firstLine="907"/>
        <w:spacing w:after="0" w:line="261" w:lineRule="auto"/>
        <w:rPr>
          <w:sz w:val="20"/>
          <w:szCs w:val="20"/>
          <w:color w:val="auto"/>
        </w:rPr>
      </w:pPr>
      <w:r>
        <w:rPr>
          <w:rFonts w:ascii="Arial" w:cs="Arial" w:eastAsia="Arial" w:hAnsi="Arial"/>
          <w:sz w:val="18"/>
          <w:szCs w:val="18"/>
          <w:color w:val="auto"/>
        </w:rPr>
        <w:t>This Officer’s Certificate (“</w:t>
      </w:r>
      <w:r>
        <w:rPr>
          <w:rFonts w:ascii="Arial" w:cs="Arial" w:eastAsia="Arial" w:hAnsi="Arial"/>
          <w:sz w:val="18"/>
          <w:szCs w:val="18"/>
          <w:b w:val="1"/>
          <w:bCs w:val="1"/>
          <w:color w:val="auto"/>
        </w:rPr>
        <w:t>Certificate</w:t>
      </w:r>
      <w:r>
        <w:rPr>
          <w:rFonts w:ascii="Arial" w:cs="Arial" w:eastAsia="Arial" w:hAnsi="Arial"/>
          <w:sz w:val="18"/>
          <w:szCs w:val="18"/>
          <w:color w:val="auto"/>
        </w:rPr>
        <w:t>”) is being delivered pursuant to Section 8(c) of that certain Purchase Agreement dated as of August 13, 2020, (“</w:t>
      </w:r>
      <w:r>
        <w:rPr>
          <w:rFonts w:ascii="Arial" w:cs="Arial" w:eastAsia="Arial" w:hAnsi="Arial"/>
          <w:sz w:val="18"/>
          <w:szCs w:val="18"/>
          <w:u w:val="single" w:color="auto"/>
          <w:color w:val="auto"/>
        </w:rPr>
        <w:t>Purchase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ACLARIS THERAPEUTICS,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LINCOLN PARK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CAPITAL FUND, LLC </w:t>
      </w:r>
      <w:r>
        <w:rPr>
          <w:rFonts w:ascii="Arial" w:cs="Arial" w:eastAsia="Arial" w:hAnsi="Arial"/>
          <w:sz w:val="18"/>
          <w:szCs w:val="18"/>
          <w:color w:val="auto"/>
        </w:rPr>
        <w:t>(the “</w:t>
      </w:r>
      <w:r>
        <w:rPr>
          <w:rFonts w:ascii="Arial" w:cs="Arial" w:eastAsia="Arial" w:hAnsi="Arial"/>
          <w:sz w:val="18"/>
          <w:szCs w:val="18"/>
          <w:u w:val="single" w:color="auto"/>
          <w:color w:val="auto"/>
        </w:rPr>
        <w:t>Investor</w:t>
      </w:r>
      <w:r>
        <w:rPr>
          <w:rFonts w:ascii="Arial" w:cs="Arial" w:eastAsia="Arial" w:hAnsi="Arial"/>
          <w:sz w:val="18"/>
          <w:szCs w:val="18"/>
          <w:color w:val="auto"/>
        </w:rPr>
        <w:t>”). Capitalized terms used herein and not otherwise defined shall have the meanings ascribed to them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w:t>
      </w:r>
    </w:p>
    <w:p>
      <w:pPr>
        <w:spacing w:after="0" w:line="184"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The undersigned, Frank Ruffo, Chief Financial Officer of the Company, hereby certifies, on behalf of the Company and not in his individual capacity, as follows:</w:t>
      </w:r>
    </w:p>
    <w:p>
      <w:pPr>
        <w:spacing w:after="0" w:line="170" w:lineRule="exact"/>
        <w:rPr>
          <w:sz w:val="20"/>
          <w:szCs w:val="20"/>
          <w:color w:val="auto"/>
        </w:rPr>
      </w:pPr>
    </w:p>
    <w:p>
      <w:pPr>
        <w:ind w:left="1760" w:hanging="456"/>
        <w:spacing w:after="0"/>
        <w:tabs>
          <w:tab w:leader="none" w:pos="1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am the Chief Financial Officer of the Company and make the statements contained in this Certificate;</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8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are true and correct in all material respects (except to the extent that any of such representations and warranties is already qualified as to materiality in Section 4 of the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17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performed, satisfied and complied in all material respects with covenants, agreements and conditions required by the Transaction Documents to be performed, satisfied or complied with by the Company at or prior to the Commencement Date, to the extent not otherwise waived.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8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not taken any steps, and does not currently expect to take any steps, to seek protection pursuant to any Bankruptcy Law nor does the Company or any of its Subsidiaries currently have any knowledge or reason to believe that its creditors intend to initiate involuntary bankruptcy or insolvency proceedings. The Company is currently financially solvent and is generally able to pay its debts as they become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signed my name as of the date first written above.</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SECRETARY’S CERTIFICATE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Secretary’s Certificate (“</w:t>
      </w:r>
      <w:r>
        <w:rPr>
          <w:rFonts w:ascii="Arial" w:cs="Arial" w:eastAsia="Arial" w:hAnsi="Arial"/>
          <w:sz w:val="18"/>
          <w:szCs w:val="18"/>
          <w:b w:val="1"/>
          <w:bCs w:val="1"/>
          <w:color w:val="auto"/>
        </w:rPr>
        <w:t>Certificate</w:t>
      </w:r>
      <w:r>
        <w:rPr>
          <w:rFonts w:ascii="Arial" w:cs="Arial" w:eastAsia="Arial" w:hAnsi="Arial"/>
          <w:sz w:val="18"/>
          <w:szCs w:val="18"/>
          <w:color w:val="auto"/>
        </w:rPr>
        <w:t>”) is being delivered pursuant to Section 8(h) of that certain Purchase Agreement dated as of August 13, 2020, (“</w:t>
      </w:r>
      <w:r>
        <w:rPr>
          <w:rFonts w:ascii="Arial" w:cs="Arial" w:eastAsia="Arial" w:hAnsi="Arial"/>
          <w:sz w:val="18"/>
          <w:szCs w:val="18"/>
          <w:u w:val="single" w:color="auto"/>
          <w:color w:val="auto"/>
        </w:rPr>
        <w:t>Purchase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ACLARIS THERAPEUTICS,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LINCOLN PARK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CAPITAL FUND, LLC </w:t>
      </w:r>
      <w:r>
        <w:rPr>
          <w:rFonts w:ascii="Arial" w:cs="Arial" w:eastAsia="Arial" w:hAnsi="Arial"/>
          <w:sz w:val="18"/>
          <w:szCs w:val="18"/>
          <w:color w:val="auto"/>
        </w:rPr>
        <w:t>(the “</w:t>
      </w:r>
      <w:r>
        <w:rPr>
          <w:rFonts w:ascii="Arial" w:cs="Arial" w:eastAsia="Arial" w:hAnsi="Arial"/>
          <w:sz w:val="18"/>
          <w:szCs w:val="18"/>
          <w:u w:val="single" w:color="auto"/>
          <w:color w:val="auto"/>
        </w:rPr>
        <w:t>Investor</w:t>
      </w:r>
      <w:r>
        <w:rPr>
          <w:rFonts w:ascii="Arial" w:cs="Arial" w:eastAsia="Arial" w:hAnsi="Arial"/>
          <w:sz w:val="18"/>
          <w:szCs w:val="18"/>
          <w:color w:val="auto"/>
        </w:rPr>
        <w:t>”), pursuant to which the Company may sell to the Investor up to Fifteen Million Dollars ($15,000,000)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$0.00001 par value (the “</w:t>
      </w:r>
      <w:r>
        <w:rPr>
          <w:rFonts w:ascii="Arial" w:cs="Arial" w:eastAsia="Arial" w:hAnsi="Arial"/>
          <w:sz w:val="18"/>
          <w:szCs w:val="18"/>
          <w:u w:val="single" w:color="auto"/>
          <w:color w:val="auto"/>
        </w:rPr>
        <w:t>Common Stock</w:t>
      </w:r>
      <w:r>
        <w:rPr>
          <w:rFonts w:ascii="Arial" w:cs="Arial" w:eastAsia="Arial" w:hAnsi="Arial"/>
          <w:sz w:val="18"/>
          <w:szCs w:val="18"/>
          <w:color w:val="auto"/>
        </w:rPr>
        <w:t>”). Capitalized terms used herein and not otherwise defined shall have the meanings ascribed to them in the Purchase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Kamil Ali-Jackson, Secretary of the Company, hereby certifies, on behalf of the Company and not in her individual capacity,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760" w:hanging="456"/>
        <w:spacing w:after="0"/>
        <w:tabs>
          <w:tab w:leader="none" w:pos="1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Secretary of the Company and make the statements contained in this Secretary’s Certificate.</w:t>
      </w:r>
    </w:p>
    <w:p>
      <w:pPr>
        <w:spacing w:after="0" w:line="225" w:lineRule="exact"/>
        <w:rPr>
          <w:rFonts w:ascii="Arial" w:cs="Arial" w:eastAsia="Arial" w:hAnsi="Arial"/>
          <w:sz w:val="18"/>
          <w:szCs w:val="18"/>
          <w:color w:val="auto"/>
        </w:rPr>
      </w:pPr>
    </w:p>
    <w:p>
      <w:pPr>
        <w:jc w:val="both"/>
        <w:ind w:left="660" w:right="100" w:firstLine="644"/>
        <w:spacing w:after="0" w:line="286" w:lineRule="auto"/>
        <w:tabs>
          <w:tab w:leader="none" w:pos="1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are true, correct and complete copies of the Company’s Bylaws (“</w:t>
      </w:r>
      <w:r>
        <w:rPr>
          <w:rFonts w:ascii="Arial" w:cs="Arial" w:eastAsia="Arial" w:hAnsi="Arial"/>
          <w:sz w:val="17"/>
          <w:szCs w:val="17"/>
          <w:u w:val="single" w:color="auto"/>
          <w:color w:val="auto"/>
        </w:rPr>
        <w:t>Bylaws</w:t>
      </w:r>
      <w:r>
        <w:rPr>
          <w:rFonts w:ascii="Arial" w:cs="Arial" w:eastAsia="Arial" w:hAnsi="Arial"/>
          <w:sz w:val="17"/>
          <w:szCs w:val="17"/>
          <w:color w:val="auto"/>
        </w:rPr>
        <w:t>”) and Certificate of Incorporation (“</w:t>
      </w:r>
      <w:r>
        <w:rPr>
          <w:rFonts w:ascii="Arial" w:cs="Arial" w:eastAsia="Arial" w:hAnsi="Arial"/>
          <w:sz w:val="17"/>
          <w:szCs w:val="17"/>
          <w:u w:val="single" w:color="auto"/>
          <w:color w:val="auto"/>
        </w:rPr>
        <w:t>Charter</w:t>
      </w:r>
      <w:r>
        <w:rPr>
          <w:rFonts w:ascii="Arial" w:cs="Arial" w:eastAsia="Arial" w:hAnsi="Arial"/>
          <w:sz w:val="17"/>
          <w:szCs w:val="17"/>
          <w:color w:val="auto"/>
        </w:rPr>
        <w:t>”), in each case, as amended through the date hereof, and no action has been taken by the Company, its directors, officers or stockholders, in contemplation of the filing of any further amendment relating to or affecting the Bylaws or Charter.</w:t>
      </w:r>
    </w:p>
    <w:p>
      <w:pPr>
        <w:spacing w:after="0" w:line="165" w:lineRule="exact"/>
        <w:rPr>
          <w:rFonts w:ascii="Arial" w:cs="Arial" w:eastAsia="Arial" w:hAnsi="Arial"/>
          <w:sz w:val="17"/>
          <w:szCs w:val="17"/>
          <w:color w:val="auto"/>
        </w:rPr>
      </w:pPr>
    </w:p>
    <w:p>
      <w:pPr>
        <w:jc w:val="both"/>
        <w:ind w:left="660" w:right="80" w:firstLine="644"/>
        <w:spacing w:after="0" w:line="293" w:lineRule="auto"/>
        <w:tabs>
          <w:tab w:leader="none" w:pos="174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are true, correct and complete copies of the resolutions duly adopted by the Pricing Committee of the Board of Directors of the Company by at a meeting held on August 13, 2020 in accordance with the Delaware General Corporation Law. Such resolutions have not been amended, modified or rescinded and remain in full force and effect and such resolutions are the only resolutions adopted by the Company’s Board of Directors, or any committee thereof, or the stockholders of the Company relating to or affecting (i) the entering into and performance of the Purchase Agreement, or the issuance, offering and sale of the Purchase Shares and the Commitment Shares and (ii) and the performance of the Company of its obligation under the Transaction Documents as contemplated therein.</w:t>
      </w:r>
    </w:p>
    <w:p>
      <w:pPr>
        <w:spacing w:after="0" w:line="164" w:lineRule="exact"/>
        <w:rPr>
          <w:rFonts w:ascii="Arial" w:cs="Arial" w:eastAsia="Arial" w:hAnsi="Arial"/>
          <w:sz w:val="16"/>
          <w:szCs w:val="16"/>
          <w:color w:val="auto"/>
        </w:rPr>
      </w:pPr>
    </w:p>
    <w:p>
      <w:pPr>
        <w:ind w:left="1740" w:hanging="436"/>
        <w:spacing w:after="0"/>
        <w:tabs>
          <w:tab w:leader="none" w:pos="1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As of the date hereof, the authorized, issued and reserved capital stock of the Company is as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hereunder signed my name as of the date first written above.</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Secretary</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undersigned as Chief Financial Officer of </w:t>
      </w:r>
      <w:r>
        <w:rPr>
          <w:rFonts w:ascii="Arial" w:cs="Arial" w:eastAsia="Arial" w:hAnsi="Arial"/>
          <w:sz w:val="18"/>
          <w:szCs w:val="18"/>
          <w:b w:val="1"/>
          <w:bCs w:val="1"/>
          <w:color w:val="auto"/>
        </w:rPr>
        <w:t>ACLARIS THERAPEUTICS, INC.</w:t>
      </w:r>
      <w:r>
        <w:rPr>
          <w:rFonts w:ascii="Arial" w:cs="Arial" w:eastAsia="Arial" w:hAnsi="Arial"/>
          <w:sz w:val="18"/>
          <w:szCs w:val="18"/>
          <w:color w:val="auto"/>
        </w:rPr>
        <w:t xml:space="preserve">, a Delaware corporation, hereby certifies that Kamil Ali-Jackson is the duly elected, appointed, qualified and acting Secretary of </w:t>
      </w:r>
      <w:r>
        <w:rPr>
          <w:rFonts w:ascii="Arial" w:cs="Arial" w:eastAsia="Arial" w:hAnsi="Arial"/>
          <w:sz w:val="18"/>
          <w:szCs w:val="18"/>
          <w:b w:val="1"/>
          <w:bCs w:val="1"/>
          <w:color w:val="auto"/>
        </w:rPr>
        <w:t>ACLARIS THERAPEUTICS, INC.</w:t>
      </w:r>
      <w:r>
        <w:rPr>
          <w:rFonts w:ascii="Arial" w:cs="Arial" w:eastAsia="Arial" w:hAnsi="Arial"/>
          <w:sz w:val="18"/>
          <w:szCs w:val="18"/>
          <w:color w:val="auto"/>
        </w:rPr>
        <w:t>, and that the signature appearing above is her genuine signature.</w:t>
      </w:r>
    </w:p>
    <w:p>
      <w:pPr>
        <w:spacing w:after="0" w:line="200" w:lineRule="exact"/>
        <w:rPr>
          <w:sz w:val="20"/>
          <w:szCs w:val="20"/>
          <w:color w:val="auto"/>
        </w:rPr>
      </w:pP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August 13, 2020, by and between</w:t>
      </w:r>
      <w:r>
        <w:rPr>
          <w:rFonts w:ascii="Arial" w:cs="Arial" w:eastAsia="Arial" w:hAnsi="Arial"/>
          <w:sz w:val="18"/>
          <w:szCs w:val="18"/>
          <w:b w:val="1"/>
          <w:bCs w:val="1"/>
          <w:color w:val="auto"/>
        </w:rPr>
        <w:t xml:space="preserve"> ACLARIS THERAPEUTICS,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LINCOLN PARK CAPITAL FUND, LLC, </w:t>
      </w:r>
      <w:r>
        <w:rPr>
          <w:rFonts w:ascii="Arial" w:cs="Arial" w:eastAsia="Arial" w:hAnsi="Arial"/>
          <w:sz w:val="18"/>
          <w:szCs w:val="18"/>
          <w:color w:val="auto"/>
        </w:rPr>
        <w:t>an Illinois limited liability company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the “</w:t>
      </w:r>
      <w:r>
        <w:rPr>
          <w:rFonts w:ascii="Arial" w:cs="Arial" w:eastAsia="Arial" w:hAnsi="Arial"/>
          <w:sz w:val="18"/>
          <w:szCs w:val="18"/>
          <w:u w:val="single" w:color="auto"/>
          <w:color w:val="auto"/>
        </w:rPr>
        <w:t>Investor</w:t>
      </w:r>
      <w:r>
        <w:rPr>
          <w:rFonts w:ascii="Arial" w:cs="Arial" w:eastAsia="Arial" w:hAnsi="Arial"/>
          <w:sz w:val="18"/>
          <w:szCs w:val="18"/>
          <w:color w:val="auto"/>
        </w:rPr>
        <w:t>”). Capitalized terms used herein and not otherwise defined herein shall have the respective meanings set forth in the Purchase Agreement by and between the parties hereto, dated as of the date hereof (as amended, restated, supplemented or otherwise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8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jc w:val="both"/>
        <w:ind w:firstLine="656"/>
        <w:spacing w:after="0" w:line="257" w:lineRule="auto"/>
        <w:tabs>
          <w:tab w:leader="none" w:pos="12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the Purchase Agreement, (i) the Company has agreed to issue to the Investor, and the Investor has agreed to purchase, up to Fifteen Million Dollars ($15,000,000) of the Company's common stock, par value $0.00001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pursuant to the Purchase Agreement (such shares, the “</w:t>
      </w:r>
      <w:r>
        <w:rPr>
          <w:rFonts w:ascii="Arial" w:cs="Arial" w:eastAsia="Arial" w:hAnsi="Arial"/>
          <w:sz w:val="18"/>
          <w:szCs w:val="18"/>
          <w:u w:val="single" w:color="auto"/>
          <w:color w:val="auto"/>
        </w:rPr>
        <w:t>Purchase Shares</w:t>
      </w:r>
      <w:r>
        <w:rPr>
          <w:rFonts w:ascii="Arial" w:cs="Arial" w:eastAsia="Arial" w:hAnsi="Arial"/>
          <w:sz w:val="18"/>
          <w:szCs w:val="18"/>
          <w:color w:val="auto"/>
        </w:rPr>
        <w:t>”), and (ii) the Company has agreed to issue to the Investor upon the execution of the Purchase Agreement such number of shares of Common Stock as set forth in the Purchase Agreement (the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induce the Investor to enter into the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applicable state securities laws.</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Company and the Investor hereby agree as follows:</w:t>
      </w:r>
    </w:p>
    <w:p>
      <w:pPr>
        <w:spacing w:after="0" w:line="162"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jc w:val="both"/>
        <w:ind w:firstLine="1304"/>
        <w:spacing w:after="0" w:line="311" w:lineRule="auto"/>
        <w:tabs>
          <w:tab w:leader="none" w:pos="22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Arial" w:cs="Arial" w:eastAsia="Arial" w:hAnsi="Arial"/>
          <w:sz w:val="16"/>
          <w:szCs w:val="16"/>
          <w:u w:val="single" w:color="auto"/>
          <w:color w:val="auto"/>
        </w:rPr>
        <w:t>Rule 415</w:t>
      </w:r>
      <w:r>
        <w:rPr>
          <w:rFonts w:ascii="Arial" w:cs="Arial" w:eastAsia="Arial" w:hAnsi="Arial"/>
          <w:sz w:val="16"/>
          <w:szCs w:val="16"/>
          <w:color w:val="auto"/>
        </w:rPr>
        <w:t>”), and the declaration or ordering of effectiveness of such registration statement(s) by the SEC.</w:t>
      </w:r>
    </w:p>
    <w:p>
      <w:pPr>
        <w:spacing w:after="0" w:line="148" w:lineRule="exact"/>
        <w:rPr>
          <w:rFonts w:ascii="Arial" w:cs="Arial" w:eastAsia="Arial" w:hAnsi="Arial"/>
          <w:sz w:val="16"/>
          <w:szCs w:val="16"/>
          <w:color w:val="auto"/>
        </w:rPr>
      </w:pPr>
    </w:p>
    <w:p>
      <w:pPr>
        <w:jc w:val="both"/>
        <w:ind w:firstLine="1304"/>
        <w:spacing w:after="0" w:line="257" w:lineRule="auto"/>
        <w:tabs>
          <w:tab w:leader="none" w:pos="2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the Purchase Shares that may from time to time be issued or issuable to the Investor upon purchases of the Available Amount under the Purchase Agreement (without regard to any limitation or restriction on purchases), the Commitment Shares issued or issuable to the Investor, and any Common Stock issued or issuable with respect to the Purchase Shares, the Commitment Shares or the Purchase Agreement as a result of any stock split, stock dividend, recapitalization, exchange or similar event, without regard to any limitation on purchases under the Purchase Agreement.</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23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Shelf Registration Statement and any other registration statement of the Company that Registers Registrable Securities, including a New Registration Statement, as amended when each became effective, including all documents filed as part thereof or incorporated by reference therein, and including any information contained in a Prospectus subsequently filed with the SEC.</w:t>
      </w:r>
    </w:p>
    <w:p>
      <w:pPr>
        <w:spacing w:after="0" w:line="165" w:lineRule="exact"/>
        <w:rPr>
          <w:rFonts w:ascii="Arial" w:cs="Arial" w:eastAsia="Arial" w:hAnsi="Arial"/>
          <w:sz w:val="17"/>
          <w:szCs w:val="17"/>
          <w:color w:val="auto"/>
        </w:rPr>
      </w:pPr>
    </w:p>
    <w:p>
      <w:pPr>
        <w:ind w:left="2240" w:hanging="936"/>
        <w:spacing w:after="0"/>
        <w:tabs>
          <w:tab w:leader="none" w:pos="2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the Company’s existing registration statement on Form S-3 (File No. 333-237163).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ind w:left="980" w:hanging="32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w:t>
      </w:r>
    </w:p>
    <w:p>
      <w:pPr>
        <w:spacing w:after="0" w:line="229" w:lineRule="exact"/>
        <w:rPr>
          <w:rFonts w:ascii="Arial" w:cs="Arial" w:eastAsia="Arial" w:hAnsi="Arial"/>
          <w:sz w:val="18"/>
          <w:szCs w:val="18"/>
          <w:b w:val="1"/>
          <w:bCs w:val="1"/>
          <w:color w:val="auto"/>
        </w:rPr>
      </w:pPr>
    </w:p>
    <w:p>
      <w:pPr>
        <w:jc w:val="both"/>
        <w:ind w:firstLine="1304"/>
        <w:spacing w:after="0" w:line="268" w:lineRule="auto"/>
        <w:tabs>
          <w:tab w:leader="none" w:pos="1851"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Mandatory Registration</w:t>
      </w:r>
      <w:r>
        <w:rPr>
          <w:rFonts w:ascii="Arial" w:cs="Arial" w:eastAsia="Arial" w:hAnsi="Arial"/>
          <w:sz w:val="17"/>
          <w:szCs w:val="17"/>
          <w:color w:val="auto"/>
        </w:rPr>
        <w:t>. The Company agrees that it shall, within the time required under Rule 424(b) under the Securities Act, file with the SEC the Initial Prospectus Supplement pursuant to Rule 424(b) under the Securities Act specifically relating to the transactions contemplated by, and describing the material terms and conditions of, the Transaction Documents, containing information previously omitted at the time of effectiveness of the Registration Statement in reliance on Rule 430B under the Securities Act, and disclosing all information relating to the transactions contemplated hereby required to be disclosed in the Registration Statement and the Prospectus as of the date of the Initial Prospectus Supplement, including, without limitation, information required to be disclosed in the section captioned “Plan of Distribution” in the Prospectus. The Investor acknowledges that it will be identified in the Initial Prospectus Supplement as an underwriter within the meaning of Section 2(a)(11) of the Securities Act. The Company shall have permitted the Investor to review and comment upon the Initial Prospectus Supplement at least two (2) Business Days prior to its filing with the SEC, the Company shall have given due consideration to all such comments, and the Company shall not file the Initial Prospectus Supplement with the SEC in a form to which the Investor reasonably objects. The Investor shall furnish to the Company such information regarding itself, the Securities held by it and the intended method of distribution thereof, including any arrangement between the Investor and any other Person relating to the sale or distribution of the Securities, as shall be reasonably requested by the Company in connection with the preparation and filing of the Initial Prospectus Supplement, and shall otherwise cooperate with the Company as reasonably requested by the Company in connection with the preparation and filing of the Initial Prospectus Supplement with the SEC.</w:t>
      </w:r>
    </w:p>
    <w:p>
      <w:pPr>
        <w:spacing w:after="0" w:line="184" w:lineRule="exact"/>
        <w:rPr>
          <w:rFonts w:ascii="Arial" w:cs="Arial" w:eastAsia="Arial" w:hAnsi="Arial"/>
          <w:sz w:val="17"/>
          <w:szCs w:val="17"/>
          <w:color w:val="auto"/>
        </w:rPr>
      </w:pPr>
    </w:p>
    <w:p>
      <w:pPr>
        <w:jc w:val="both"/>
        <w:ind w:firstLine="1304"/>
        <w:spacing w:after="0" w:line="268" w:lineRule="auto"/>
        <w:tabs>
          <w:tab w:leader="none" w:pos="1834"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The Company shall use its commercially reasonable efforts to keep the Registration Statement effective pursuant to Rule 415 promulgated under the Securities Act, and to keep the Registration Statement and the Prospectus current and available for issuances and sales of all possible Registrable Securities by the Company to the Investor, and for the resale of all of the Registrable Securities by the Investor, at all times until the earlier of (i) the date on which the Investor shall have sold all the Securities and no Available Amount remains under this Agreement and (ii) 180 days following the earlier of termination of this Agreement and the Maturity Date (the "</w:t>
      </w:r>
      <w:r>
        <w:rPr>
          <w:rFonts w:ascii="Arial" w:cs="Arial" w:eastAsia="Arial" w:hAnsi="Arial"/>
          <w:sz w:val="17"/>
          <w:szCs w:val="17"/>
          <w:u w:val="single" w:color="auto"/>
          <w:color w:val="auto"/>
        </w:rPr>
        <w:t>Registration Period</w:t>
      </w:r>
      <w:r>
        <w:rPr>
          <w:rFonts w:ascii="Arial" w:cs="Arial" w:eastAsia="Arial" w:hAnsi="Arial"/>
          <w:sz w:val="17"/>
          <w:szCs w:val="17"/>
          <w:color w:val="auto"/>
        </w:rPr>
        <w:t>"). Without limiting the generality of the foregoing, during the Registration Period, the Company shall (a) take all action necessary to cause the Common Stock to continue to be Registered as a class of securities under Section 12(b) of the Exchange Act and shall not take any action or file any document (whether or not permitted by the Exchange Act) to terminate or suspend such registration and (b) file or furnish on or before their respective due dates all reports and other documents required to be filed or furnished by the Company pursuant to Sections 13(a), 13(c), 14, 15(d) or any other provision of or under the Exchange Act, and shall not take any action or file any document (whether or not permitted by the Exchange Act) to terminate or suspend its reporting and filing obligations under the Exchange Act. The Registration Statement (including any amendments or supplements thereto and prospectuses contained therein) shall not contain any untrue statement of a material fact or omit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304"/>
        <w:spacing w:after="0" w:line="268" w:lineRule="auto"/>
        <w:tabs>
          <w:tab w:leader="none" w:pos="1972"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Prospectus Amendments or Supplements</w:t>
      </w:r>
      <w:r>
        <w:rPr>
          <w:rFonts w:ascii="Arial" w:cs="Arial" w:eastAsia="Arial" w:hAnsi="Arial"/>
          <w:sz w:val="17"/>
          <w:szCs w:val="17"/>
          <w:color w:val="auto"/>
        </w:rPr>
        <w:t>. Except as provided in this Agreement and other than periodic and current reports required to be filed pursuant to the Exchange Act, the Company shall not file with the SEC any amendment to the Registration Statement or any supplement to the Base Prospectus that refers to the Investor, the Transaction Documents or the transactions contemplated thereby (including, without limitation, any Prospectus Supplement filed in connection with the transactions contemplated by the Transaction Documents), in each case with respect to which (a) the Investor shall not previously have been advised and afforded the opportunity to review and comment thereon at least two (2) Business Days prior to filing with the SEC, as the case may be, (b) the Company shall not have given due consideration to any comments thereon received from the Investor or its counsel, or (c) the Investor shall reasonably object, unless the Company reasonably has determined that it is necessary to amend the Registration Statement or make any supplement to the Prospectus to comply with the Securities Act or any other applicable law or regulation, in which case the Company shall promptly (but in no event later than 24 hours) so inform the Investor, the Investor shall be provided with a reasonable opportunity to review and comment upon any disclosure referring to the Investor, the Transaction Documents or the transactions contemplated thereby, as applicable, and the Company shall expeditiously furnish to the Investor a copy thereof. In addition, for so long as, in the reasonable opinion of counsel for the Investor, the Prospectus is required to be delivered in connection with any acquisition or sale of Securities by the Investor, the Company shall not file any Prospectus Supplement with respect to the Securities without furnishing to the Investor as many copies of such Prospectus Supplement, together with the Prospectus, as the Investor may reasonably request.</w:t>
      </w:r>
    </w:p>
    <w:p>
      <w:pPr>
        <w:spacing w:after="0" w:line="184" w:lineRule="exact"/>
        <w:rPr>
          <w:rFonts w:ascii="Arial" w:cs="Arial" w:eastAsia="Arial" w:hAnsi="Arial"/>
          <w:sz w:val="17"/>
          <w:szCs w:val="17"/>
          <w:color w:val="auto"/>
        </w:rPr>
      </w:pPr>
    </w:p>
    <w:p>
      <w:pPr>
        <w:jc w:val="both"/>
        <w:ind w:firstLine="1304"/>
        <w:spacing w:after="0" w:line="271" w:lineRule="auto"/>
        <w:tabs>
          <w:tab w:leader="none" w:pos="1902"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Sufficient Number of Shares Registered</w:t>
      </w:r>
      <w:r>
        <w:rPr>
          <w:rFonts w:ascii="Arial" w:cs="Arial" w:eastAsia="Arial" w:hAnsi="Arial"/>
          <w:sz w:val="17"/>
          <w:szCs w:val="17"/>
          <w:color w:val="auto"/>
        </w:rPr>
        <w:t>. In the event the number of shares available under the Shelf Registration Statement at any time is insufficient to cover the Registrable Securities, the Company shall, to the extent necessary and permissible, amend the Shelf Registration Statement or file a new registration statement (together with any prospectuses or prospectus supplements thereunder, a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so as to cover all of such Registrable Securities as soon as reasonably practicable, but in any event not later than ten (10) Business Days after the necessity therefor arises, subject to any limits that may be imposed by the SEC pursuant to Rule 415 promulgated under the Securities Act. The Company shall permit the Investor to review and comment upon any such New Registration Statement at least two (2) Business Days prior to its filing with the SEC, and the Company shall give due consideration to all such comments. The Company shall use its reasonable best efforts to have such amendment and/or New Registration Statement become effective as soon as reasonably practicable following the filing thereof.</w:t>
      </w:r>
    </w:p>
    <w:p>
      <w:pPr>
        <w:spacing w:after="0" w:line="178" w:lineRule="exact"/>
        <w:rPr>
          <w:rFonts w:ascii="Arial" w:cs="Arial" w:eastAsia="Arial" w:hAnsi="Arial"/>
          <w:sz w:val="17"/>
          <w:szCs w:val="17"/>
          <w:color w:val="auto"/>
        </w:rPr>
      </w:pPr>
    </w:p>
    <w:p>
      <w:pPr>
        <w:jc w:val="both"/>
        <w:ind w:firstLine="1304"/>
        <w:spacing w:after="0" w:line="289" w:lineRule="auto"/>
        <w:tabs>
          <w:tab w:leader="none" w:pos="187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If the SEC seeks to characterize any offering pursuant to a Registration Statement filed pursuant to this Agreement as constituting an offering of securities that does not permit such Registration Statement to become effective and be used by the Investor under Rule 415 at then-prevailing market prices (and not fixed prices), or if after the filing of the Initial Prospectus Supplement with the SEC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(after consultation with the Investor and its legal counsel as to the specific Registrable Securities to be removed therefrom) until such time as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until such time as all Registrable Securities have been included in Registration Statements that have been declared effective and the prospectuses contained therein is available for use by the Investor.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1100" w:hanging="444"/>
        <w:spacing w:after="0"/>
        <w:tabs>
          <w:tab w:leader="none" w:pos="11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OBLIGATIONS.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With respect to the Registration Statement and whenever any Registrable Securities are to be Registered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on the Shelf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87" w:lineRule="exact"/>
        <w:rPr>
          <w:sz w:val="20"/>
          <w:szCs w:val="20"/>
          <w:color w:val="auto"/>
        </w:rPr>
      </w:pPr>
    </w:p>
    <w:p>
      <w:pPr>
        <w:jc w:val="both"/>
        <w:ind w:firstLine="1304"/>
        <w:spacing w:after="0" w:line="301" w:lineRule="auto"/>
        <w:tabs>
          <w:tab w:leader="none" w:pos="204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Notifications</w:t>
      </w:r>
      <w:r>
        <w:rPr>
          <w:rFonts w:ascii="Arial" w:cs="Arial" w:eastAsia="Arial" w:hAnsi="Arial"/>
          <w:sz w:val="16"/>
          <w:szCs w:val="16"/>
          <w:color w:val="auto"/>
        </w:rPr>
        <w:t>. The Company will notify the Investor promptly of the time when any subsequent amendment to the Shelf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9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 Company will prepare and file with the SEC, promptly upon the Investor’s request, any amendments or supplements to the Shelf Registration Statement, any New Registration Statement or any Prospectus, as applicable, that, in the reasonable opinion of the Investor and the Company, may be necessary or advisable in connection with any acquisition or sale of Registrable Securities by the Investor (provided, however, that the failure of the Investor to make such request shall not relieve the Company of any obligation or liability hereunder).</w:t>
      </w:r>
    </w:p>
    <w:p>
      <w:pPr>
        <w:spacing w:after="0" w:line="171" w:lineRule="exact"/>
        <w:rPr>
          <w:rFonts w:ascii="Arial" w:cs="Arial" w:eastAsia="Arial" w:hAnsi="Arial"/>
          <w:sz w:val="17"/>
          <w:szCs w:val="17"/>
          <w:color w:val="auto"/>
        </w:rPr>
      </w:pPr>
    </w:p>
    <w:p>
      <w:pPr>
        <w:jc w:val="both"/>
        <w:ind w:firstLine="1304"/>
        <w:spacing w:after="0" w:line="284" w:lineRule="auto"/>
        <w:tabs>
          <w:tab w:leader="none" w:pos="185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Investor Review</w:t>
      </w:r>
      <w:r>
        <w:rPr>
          <w:rFonts w:ascii="Arial" w:cs="Arial" w:eastAsia="Arial" w:hAnsi="Arial"/>
          <w:sz w:val="16"/>
          <w:szCs w:val="16"/>
          <w:color w:val="auto"/>
        </w:rPr>
        <w:t>. The Company will not file any amendment or supplement to the Registration Statement, any New Registration Statement or any Prospectus, other than documents incorporated by reference, relating to the Investor, the Registrable Securities or the transactions contemplated hereby unless (A) the Investor shall have been advised and afforded the opportunity to review and comment thereon at least two (2) Business Days prior to filing with the SEC, (B) the Company shall have given due consideration to any comments thereon received from the Investor or its counsel, and (C) the Investor has not reasonably objected thereto, and the Company will furnish to the Investor at the time of filing thereof a copy of any document that upon filing is deemed to be incorporated by reference into the Registration Statement or any Prospectus, except for those documents available via</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EDGAR.</w:t>
      </w:r>
    </w:p>
    <w:p>
      <w:pPr>
        <w:spacing w:after="0" w:line="210" w:lineRule="exact"/>
        <w:rPr>
          <w:rFonts w:ascii="Arial" w:cs="Arial" w:eastAsia="Arial" w:hAnsi="Arial"/>
          <w:sz w:val="16"/>
          <w:szCs w:val="16"/>
          <w:color w:val="auto"/>
        </w:rPr>
      </w:pPr>
    </w:p>
    <w:p>
      <w:pPr>
        <w:ind w:firstLine="1304"/>
        <w:spacing w:after="0" w:line="277"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Form S-3</w:t>
      </w:r>
      <w:r>
        <w:rPr>
          <w:rFonts w:ascii="Arial" w:cs="Arial" w:eastAsia="Arial" w:hAnsi="Arial"/>
          <w:sz w:val="18"/>
          <w:szCs w:val="18"/>
          <w:color w:val="auto"/>
        </w:rPr>
        <w:t>. The Company will cause each amendment or supplement to the Prospectus, other than documents incorporated by reference, to be filed with the SEC as required pursuant to the rules of Form S-3.</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197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Copies Available</w:t>
      </w:r>
      <w:r>
        <w:rPr>
          <w:rFonts w:ascii="Arial" w:cs="Arial" w:eastAsia="Arial" w:hAnsi="Arial"/>
          <w:sz w:val="17"/>
          <w:szCs w:val="17"/>
          <w:color w:val="auto"/>
        </w:rPr>
        <w:t>. The Company will furnish to the Investor and its counsel (at the expense of the Company) copies of the Registration Statement, the Prospectus (including all documents incorporated by reference therein), any Prospectus Supplement, any New Registration Statement and all amendments and supplements to the Registration Statement, the Prospectus or any New Registration Statement that are filed with the SEC during the Registration Period (including all documents filed with or furnished to the SEC during such period that are deemed to be incorporated by reference therein), in each case as soon as reasonably practicable upon the Investor’s request and in such quantities as the Investor may from time to time reasonably request and, at the Investor’s request, will also furnish copies of the Prospectus to each exchange or market on which sales of the Registrable Securities may be made; provided, however, that the Company shall not be required to furnish any document (other than the Prospectus) to the Investor to the extent such document is available on EDGAR.</w:t>
      </w:r>
    </w:p>
    <w:p>
      <w:pPr>
        <w:spacing w:after="0" w:line="178" w:lineRule="exact"/>
        <w:rPr>
          <w:rFonts w:ascii="Arial" w:cs="Arial" w:eastAsia="Arial" w:hAnsi="Arial"/>
          <w:sz w:val="17"/>
          <w:szCs w:val="17"/>
          <w:color w:val="auto"/>
        </w:rPr>
      </w:pPr>
    </w:p>
    <w:p>
      <w:pPr>
        <w:jc w:val="both"/>
        <w:ind w:firstLine="1304"/>
        <w:spacing w:after="0" w:line="291" w:lineRule="auto"/>
        <w:tabs>
          <w:tab w:leader="none" w:pos="181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Qualification</w:t>
      </w:r>
      <w:r>
        <w:rPr>
          <w:rFonts w:ascii="Arial" w:cs="Arial" w:eastAsia="Arial" w:hAnsi="Arial"/>
          <w:sz w:val="16"/>
          <w:szCs w:val="16"/>
          <w:color w:val="auto"/>
        </w:rPr>
        <w:t>. The Company shall take all such action, if any, as is reasonably necessary in order to obtain an exemption for or to qualify (i)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during the Registration Period, and shall provide evidence of any such action so taken to the Investor. During the Registration Period, the Company shall promptly notify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04"/>
        <w:spacing w:after="0" w:line="284" w:lineRule="auto"/>
        <w:tabs>
          <w:tab w:leader="none" w:pos="190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Notification of Stop Orders; Material Changes</w:t>
      </w:r>
      <w:r>
        <w:rPr>
          <w:rFonts w:ascii="Arial" w:cs="Arial" w:eastAsia="Arial" w:hAnsi="Arial"/>
          <w:sz w:val="16"/>
          <w:szCs w:val="16"/>
          <w:color w:val="auto"/>
        </w:rPr>
        <w:t>. The Company shall advise the Investor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Registration Statement or prohibiting or suspending the use of the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the Registration Statement or any Prospectus untrue or which requires the making of any additions to or changes to the statements then made in the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the Registration Statement or any Prospectus to comply with the Securities Act or any other law. The Company shall not be required to disclose to the Investor the substance or specific reasons of any of the events set forth in clauses (i) through (iii) of the immediately preceding sentence, but rather, shall only be required to disclose that the event has occurred. If at any time the SEC, or any other federal or state governmental authority shall issue any stop order suspending the effectiveness of the Registration Statement or prohibiting or suspending the use of the Prospectus or Prospectus Supplement, the Company shall use its reasonable best efforts to obtain the withdrawal of such order at the earliest practicable time. The Company shall furnish to the Investor, without charge and upon request, a copy of any correspondence from the SEC or the staff of the SEC, or any other federal or state governmental authority to the Company or its representatives relating to the Shelf Registration Statement, any New Registration Statement or any Prospectus, or Prospectus Supplement as the case may be. The Company shall not deliver to the Investor any Regular Purchase Notice, Accelerated Purchase Notice or Additional Accelerated Purchase Notice, and the Investor shall not be obligated to purchase any shares of Common Stock under this Agreement, during the continuation or pendency of any of the foregoing events. If at any time the SEC shall issue any stop order suspending the effectiveness of the Registration Statement or prohibiting or suspending the use of the Prospectus or any Prospectus Supplement, the Company shall use its reasonable best efforts to obtain the withdrawal of such order at the earliest practicable time. The Company shall furnish to the Investor, without charge and upon request, a copy of any correspondence from the SEC or the staff of the SEC to the Company or its representatives relating to the Registration Statement or the Prospectus, as the case may be.</w:t>
      </w:r>
    </w:p>
    <w:p>
      <w:pPr>
        <w:spacing w:after="0" w:line="174" w:lineRule="exact"/>
        <w:rPr>
          <w:rFonts w:ascii="Arial" w:cs="Arial" w:eastAsia="Arial" w:hAnsi="Arial"/>
          <w:sz w:val="16"/>
          <w:szCs w:val="16"/>
          <w:color w:val="auto"/>
        </w:rPr>
      </w:pPr>
    </w:p>
    <w:p>
      <w:pPr>
        <w:jc w:val="both"/>
        <w:ind w:firstLine="1304"/>
        <w:spacing w:after="0" w:line="268" w:lineRule="auto"/>
        <w:tabs>
          <w:tab w:leader="none" w:pos="186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Listing on the Principal Market</w:t>
      </w:r>
      <w:r>
        <w:rPr>
          <w:rFonts w:ascii="Arial" w:cs="Arial" w:eastAsia="Arial" w:hAnsi="Arial"/>
          <w:sz w:val="17"/>
          <w:szCs w:val="17"/>
          <w:color w:val="auto"/>
        </w:rPr>
        <w:t xml:space="preserve">. The Company shall promptly secure the listing, or conditional listing as applicable, of all of the Purchase Shares and Commitment Shares to be issued to the Investor hereunder on the Principal Market (subject to standard listing conditions, if any, for transactions of this nature, official notice of issuance and the Exchange Cap) and upon each other national securities exchange or automated quotation system, if any, upon which the Common Stock are then listed, and shall maintain, so long as any Common Stock shall be so listed, such listing of all such Registrable Securities from time to time issuable hereunder. The Company shall use commercially reasonable efforts to maintain the listing of the Common Stock on the Principal Market and shall comply in all respects with the Company’s reporting, filing and other obligations under the bylaws or rules and regulations of the Principal Market. The Company shall not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provide the Investor copies of any such notice that the Company reasonably believes constitutes material non-public information and that the Company would not be required to publicly disclose such notice in any report or statement filed with the SEC under the Exchange Act (including on Form 8-K) or the Securities Act. The Company shall pay all fees and expenses in connection with satisfying its obligations under this </w:t>
      </w:r>
      <w:r>
        <w:rPr>
          <w:rFonts w:ascii="Arial" w:cs="Arial" w:eastAsia="Arial" w:hAnsi="Arial"/>
          <w:sz w:val="17"/>
          <w:szCs w:val="17"/>
          <w:u w:val="single" w:color="auto"/>
          <w:color w:val="auto"/>
        </w:rPr>
        <w:t>Section 3(h)</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304"/>
        <w:spacing w:after="0" w:line="259" w:lineRule="auto"/>
        <w:tabs>
          <w:tab w:leader="none" w:pos="188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The Company shall cooperate with the Investor to facilitate the timely preparation and delivery of DWAC Shares (not bearing any restrictive legend) representing the Registrable Securities to be offered pursuant to the Shelf Registration Statement or any New Registration Statement and enable such DWAC Shares to be in such denominations or amounts as the Investor may reasonably request and registered in such names as the Investor may request.</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Transfer Agent</w:t>
      </w:r>
      <w:r>
        <w:rPr>
          <w:rFonts w:ascii="Arial" w:cs="Arial" w:eastAsia="Arial" w:hAnsi="Arial"/>
          <w:sz w:val="17"/>
          <w:szCs w:val="17"/>
          <w:color w:val="auto"/>
        </w:rPr>
        <w:t>. The Company shall at all times maintain the services of the Transfer Agent with respect to its Common Stock.</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194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87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Confirmation of Effectiveness</w:t>
      </w:r>
      <w:r>
        <w:rPr>
          <w:rFonts w:ascii="Arial" w:cs="Arial" w:eastAsia="Arial" w:hAnsi="Arial"/>
          <w:sz w:val="18"/>
          <w:szCs w:val="18"/>
          <w:color w:val="auto"/>
        </w:rPr>
        <w:t>. If reasonably requested in writing by the Investor at any time, the Company shall deliver to the Investor a written confirmation from Company’s counsel of whether or not the effectiveness of such Registration Statement has lapsed at any time for any reason (including, without limitation, the issuance of a stop order) and whether or not the Registration Statement is currently effective and available to the Company for sale of all of the Registrable Securities.</w:t>
      </w:r>
    </w:p>
    <w:p>
      <w:pPr>
        <w:spacing w:after="0" w:line="186" w:lineRule="exact"/>
        <w:rPr>
          <w:rFonts w:ascii="Arial" w:cs="Arial" w:eastAsia="Arial" w:hAnsi="Arial"/>
          <w:sz w:val="18"/>
          <w:szCs w:val="18"/>
          <w:color w:val="auto"/>
        </w:rPr>
      </w:pPr>
    </w:p>
    <w:p>
      <w:pPr>
        <w:ind w:firstLine="1304"/>
        <w:spacing w:after="0" w:line="308" w:lineRule="auto"/>
        <w:tabs>
          <w:tab w:leader="none" w:pos="187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Company agrees to take all other reasonable actions as necessary and reasonably requested in writing by the Investor to expedite and facilitate disposition by the Investor of Registrable Securities pursuant to any Registration Statement.</w:t>
      </w:r>
    </w:p>
    <w:p>
      <w:pPr>
        <w:spacing w:after="0" w:line="146" w:lineRule="exact"/>
        <w:rPr>
          <w:rFonts w:ascii="Arial" w:cs="Arial" w:eastAsia="Arial" w:hAnsi="Arial"/>
          <w:sz w:val="17"/>
          <w:szCs w:val="17"/>
          <w:color w:val="auto"/>
        </w:rPr>
      </w:pPr>
    </w:p>
    <w:p>
      <w:pPr>
        <w:jc w:val="both"/>
        <w:ind w:firstLine="1304"/>
        <w:spacing w:after="0" w:line="291" w:lineRule="auto"/>
        <w:tabs>
          <w:tab w:leader="none" w:pos="183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Investor agrees that, upon receipt of any notice from the Company of the existence of any suspension or stop order as set forth in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3(g)</w:t>
      </w:r>
      <w:r>
        <w:rPr>
          <w:rFonts w:ascii="Arial" w:cs="Arial" w:eastAsia="Arial" w:hAnsi="Arial"/>
          <w:sz w:val="16"/>
          <w:szCs w:val="16"/>
          <w:color w:val="auto"/>
        </w:rPr>
        <w:t xml:space="preserve">, the Investor will immediately discontinue disposition of Registrable Securities pursuant to any Registration Statement covering such Registrable Securities until the Investor's receipt of the copies of a notice regarding the resolution or withdrawal of the suspension or stop order as contemplated by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3(g)</w:t>
      </w:r>
      <w:r>
        <w:rPr>
          <w:rFonts w:ascii="Arial" w:cs="Arial" w:eastAsia="Arial" w:hAnsi="Arial"/>
          <w:sz w:val="16"/>
          <w:szCs w:val="16"/>
          <w:color w:val="auto"/>
        </w:rPr>
        <w:t xml:space="preserve">. Notwithstanding anything to the contrary, the Company shall cause its transfer agent to promptly deliver to the Investor DWAC Shares without any restrictive legend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3(g)</w:t>
      </w:r>
      <w:r>
        <w:rPr>
          <w:rFonts w:ascii="Arial" w:cs="Arial" w:eastAsia="Arial" w:hAnsi="Arial"/>
          <w:sz w:val="16"/>
          <w:szCs w:val="16"/>
          <w:color w:val="auto"/>
        </w:rPr>
        <w:t xml:space="preserve"> and for which the Investor has not yet settled.</w:t>
      </w:r>
    </w:p>
    <w:p>
      <w:pPr>
        <w:spacing w:after="0" w:line="166" w:lineRule="exact"/>
        <w:rPr>
          <w:rFonts w:ascii="Arial" w:cs="Arial" w:eastAsia="Arial" w:hAnsi="Arial"/>
          <w:sz w:val="16"/>
          <w:szCs w:val="16"/>
          <w:color w:val="auto"/>
        </w:rPr>
      </w:pPr>
    </w:p>
    <w:p>
      <w:pPr>
        <w:jc w:val="both"/>
        <w:ind w:firstLine="1304"/>
        <w:spacing w:after="0" w:line="254" w:lineRule="auto"/>
        <w:tabs>
          <w:tab w:leader="none" w:pos="191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Transfer Agent Instructions</w:t>
      </w:r>
      <w:r>
        <w:rPr>
          <w:rFonts w:ascii="Arial" w:cs="Arial" w:eastAsia="Arial" w:hAnsi="Arial"/>
          <w:sz w:val="18"/>
          <w:szCs w:val="18"/>
          <w:color w:val="auto"/>
        </w:rPr>
        <w:t>. On or before the date the Initial Prospectus Supplement is filed with the SEC, the Company shall issue to the Transfer Agent the Irrevocable Transfer Agent Instructions in the form agreed to prior to the date hereof, and on the date any Registration Statement which includes the Registrable Securities is ordered effective by the SEC, the Company shall deliver, and shall cause legal counsel for the Company to deliver, to the Transfer Agent for such Registrable Securities (with copies to the Investor) confirmation that such Registration Statement has been declared effective by the SEC. Thereafter, if requested by the Investor at any time, the Company shall require its legal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1100" w:hanging="444"/>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INVESTOR.</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972"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Investor Information</w:t>
      </w:r>
      <w:r>
        <w:rPr>
          <w:rFonts w:ascii="Arial" w:cs="Arial" w:eastAsia="Arial" w:hAnsi="Arial"/>
          <w:sz w:val="18"/>
          <w:szCs w:val="18"/>
          <w:color w:val="auto"/>
        </w:rPr>
        <w:t xml:space="preserve">. The Investor has furnished to the Company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such information regarding itself, the Registrable Securities held by it, the Registrable Securities held by it and the intended method of disposition thereof, including any arrangement between the Investor and any other Person relating to the sale or distribution of the Securities, as required to effect the registration of such Registrable Securities and shall execute such documents in connection with such registration as the Company may reasonably request. The Company shall notify the Investor in writing of any other information the Company reasonably requires from the Investor in connection with any Registration Statement hereunder. The Investor will as promptly as practicable notify the Company of any material change in the information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other than changes in its ownership of Common Stock.</w:t>
      </w:r>
    </w:p>
    <w:p>
      <w:pPr>
        <w:spacing w:after="0" w:line="194" w:lineRule="exact"/>
        <w:rPr>
          <w:rFonts w:ascii="Arial" w:cs="Arial" w:eastAsia="Arial" w:hAnsi="Arial"/>
          <w:sz w:val="18"/>
          <w:szCs w:val="18"/>
          <w:color w:val="auto"/>
        </w:rPr>
      </w:pPr>
    </w:p>
    <w:p>
      <w:pPr>
        <w:ind w:firstLine="1304"/>
        <w:spacing w:after="0" w:line="342" w:lineRule="auto"/>
        <w:tabs>
          <w:tab w:leader="none" w:pos="183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Investor Cooperation</w:t>
      </w:r>
      <w:r>
        <w:rPr>
          <w:rFonts w:ascii="Arial" w:cs="Arial" w:eastAsia="Arial" w:hAnsi="Arial"/>
          <w:sz w:val="16"/>
          <w:szCs w:val="16"/>
          <w:color w:val="auto"/>
        </w:rPr>
        <w:t>. The Investor agrees to cooperate with the Company as reasonably requested by the Company in connection with the preparation and filing of any amendments and supplements to any Registration Statement or New Registration Statement hereunder.</w:t>
      </w:r>
    </w:p>
    <w:p>
      <w:pPr>
        <w:spacing w:after="0" w:line="119" w:lineRule="exact"/>
        <w:rPr>
          <w:rFonts w:ascii="Arial" w:cs="Arial" w:eastAsia="Arial" w:hAnsi="Arial"/>
          <w:sz w:val="16"/>
          <w:szCs w:val="16"/>
          <w:color w:val="auto"/>
        </w:rPr>
      </w:pPr>
    </w:p>
    <w:p>
      <w:pPr>
        <w:ind w:left="1100" w:hanging="444"/>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REGISTRATION.</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All reasonable expenses of the Company, other than sales or brokerage commissions and fees and disbursements of counsel for, and other expenses of, the Investor, incurred in connection with registrations, filings or qualifications pursuant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including, without limitation, all registration, listing and qualifications fees, printers and accounting fees, and fees and disbursements of counsel for the Company, shall be paid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1100" w:hanging="444"/>
        <w:spacing w:after="0"/>
        <w:tabs>
          <w:tab w:leader="none" w:pos="110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rFonts w:ascii="Arial" w:cs="Arial" w:eastAsia="Arial" w:hAnsi="Arial"/>
          <w:sz w:val="18"/>
          <w:szCs w:val="18"/>
          <w:b w:val="1"/>
          <w:bCs w:val="1"/>
          <w:color w:val="auto"/>
        </w:rPr>
      </w:pPr>
    </w:p>
    <w:p>
      <w:pPr>
        <w:jc w:val="both"/>
        <w:ind w:firstLine="1304"/>
        <w:spacing w:after="0" w:line="283" w:lineRule="auto"/>
        <w:tabs>
          <w:tab w:leader="none" w:pos="1814" w:val="left"/>
        </w:tabs>
        <w:numPr>
          <w:ilvl w:val="2"/>
          <w:numId w:val="63"/>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will, and hereby does, indemnify, hold harmless and defend the Investor, each Person, if any, who controls the Investor, the members, the directors, officers, partners, employees, members, managers, agents, representatives of the Investor and each Person, if any, who controls the Investor within the meaning of the Securities Act or the Exchange Act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against any losses, claims, damages, liabilities, judgments, fines, penalties, charges, costs, reasonable attorneys’ fees, amounts paid in settlement (with the consent of the Company, such consent not to be unreasonably withheld) or reasonable expenses,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Arial" w:cs="Arial" w:eastAsia="Arial" w:hAnsi="Arial"/>
          <w:sz w:val="16"/>
          <w:szCs w:val="16"/>
          <w:u w:val="single" w:color="auto"/>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the Shelf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u w:val="single" w:color="auto"/>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or the omission or alleged omission to state therein any material fact necessary to make the statements made therein, in light of the circumstances under which the statements therein were made, not misleading,</w:t>
      </w:r>
    </w:p>
    <w:p>
      <w:pPr>
        <w:spacing w:after="0" w:line="1" w:lineRule="exact"/>
        <w:rPr>
          <w:rFonts w:ascii="Arial" w:cs="Arial" w:eastAsia="Arial" w:hAnsi="Arial"/>
          <w:sz w:val="16"/>
          <w:szCs w:val="16"/>
          <w:color w:val="auto"/>
        </w:rPr>
      </w:pPr>
    </w:p>
    <w:p>
      <w:pPr>
        <w:jc w:val="both"/>
        <w:ind w:firstLine="8"/>
        <w:spacing w:after="0" w:line="266" w:lineRule="auto"/>
        <w:tabs>
          <w:tab w:leader="none" w:pos="3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violation or alleged violation by the Company of the Securities Act, the Exchange Act, any other law, including, without limitation, any state securities law, or any rule or regulation thereunder relating to the offer or sale of the Registrable Securities pursuant to the Shelf Registration Statement or any New Registration Statement or (iv) any material violation by the Company of this Agreement (the matters in the foregoing clauses (i) through (iv) being, collectively, “</w:t>
      </w:r>
      <w:r>
        <w:rPr>
          <w:rFonts w:ascii="Arial" w:cs="Arial" w:eastAsia="Arial" w:hAnsi="Arial"/>
          <w:sz w:val="17"/>
          <w:szCs w:val="17"/>
          <w:u w:val="single" w:color="auto"/>
          <w:color w:val="auto"/>
        </w:rPr>
        <w:t>Violations</w:t>
      </w:r>
      <w:r>
        <w:rPr>
          <w:rFonts w:ascii="Arial" w:cs="Arial" w:eastAsia="Arial" w:hAnsi="Arial"/>
          <w:sz w:val="17"/>
          <w:szCs w:val="17"/>
          <w:color w:val="auto"/>
        </w:rPr>
        <w:t xml:space="preserve">”). The Company shall reimburse each Indemnified Person promptly as such expenses are incurred and are due and payable, for any reasonable out-of-pocket legal fees or other reasonable expenses incurred by them in connection with investigating or defending any such Claim. Notwithstanding anything to the contrary contained herein, the indemnification agreement contained in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 shall not apply to a Claim by an Indemnified Person arising out of or based upon a Violation which occurs in reliance upon and in conformity with information furnished in writing to the Company by the Investor or such Indemnified Person expressly for use in connection with the preparation of the Registration Statement, any New Registration Statement, the Prospectus or any such amendment thereof or supplement thereto,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and the Indemnified Person was promptly advised in writing not to use the incorrect prospectus prior to the use giving rise to a violation; (C) shall not be available to the extent such Claim is based on a failure of the Investor to deliver, or to cause to be delivered, the prospectus made available by the Company, if such prospectus was theretofore made available by the Company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and (D)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jc w:val="both"/>
        <w:ind w:firstLine="1304"/>
        <w:spacing w:after="0" w:line="267" w:lineRule="auto"/>
        <w:tabs>
          <w:tab w:leader="none" w:pos="2001" w:val="left"/>
        </w:tabs>
        <w:numPr>
          <w:ilvl w:val="2"/>
          <w:numId w:val="64"/>
        </w:numPr>
        <w:rPr>
          <w:rFonts w:ascii="Arial" w:cs="Arial" w:eastAsia="Arial" w:hAnsi="Arial"/>
          <w:sz w:val="17"/>
          <w:szCs w:val="17"/>
          <w:color w:val="auto"/>
        </w:rPr>
      </w:pPr>
      <w:r>
        <w:rPr>
          <w:rFonts w:ascii="Arial" w:cs="Arial" w:eastAsia="Arial" w:hAnsi="Arial"/>
          <w:sz w:val="17"/>
          <w:szCs w:val="17"/>
          <w:color w:val="auto"/>
        </w:rPr>
        <w:t xml:space="preserve">In connection with the Shelf Registration Statement, any New Registration Statement or Prospectus, the Investor agrees to indemnify, hold harmless and defend, to the same extent and in the same manner as is set forth in </w:t>
      </w:r>
      <w:r>
        <w:rPr>
          <w:rFonts w:ascii="Arial" w:cs="Arial" w:eastAsia="Arial" w:hAnsi="Arial"/>
          <w:sz w:val="17"/>
          <w:szCs w:val="17"/>
          <w:u w:val="single" w:color="auto"/>
          <w:color w:val="auto"/>
        </w:rPr>
        <w:t>Section 6(a)</w:t>
      </w:r>
      <w:r>
        <w:rPr>
          <w:rFonts w:ascii="Arial" w:cs="Arial" w:eastAsia="Arial" w:hAnsi="Arial"/>
          <w:sz w:val="17"/>
          <w:szCs w:val="17"/>
          <w:color w:val="auto"/>
        </w:rPr>
        <w:t>, the Company, each of its directors, each of its officers who signed the Shelf Registration Statement or signs any New Registration Statement, each Person, if any, who controls the Company within the meaning of the Securities Act or the Exchange Act (collectively and together with an Indemnified Person,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updated from time to time in writing by the Investor and furnished to the Company by the Investor expressly for inclusion in the Shelf Registration Statement or Prospectus or any New Registration Statement or from the failure of the Investor to deliver or to cause to be delivered the prospectus made available by the Company, if such prospectus was timely made available by the Company pursuant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the Investor will reimburse any reasonable out-of-pocket legal or other expenses reasonably incurred by them in connection with investigating or defending any such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and the agreement with respect to contribution contained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not apply to amounts paid in settlement of any Claim if such settlement is effected without the prior written consent of the Investor, which consent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Investor shall be liable under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84" w:lineRule="auto"/>
        <w:tabs>
          <w:tab w:leader="none" w:pos="1835"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Person or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except to the extent that the indemnifying party is prejudiced in its ability to defend such action.</w:t>
      </w:r>
    </w:p>
    <w:p>
      <w:pPr>
        <w:spacing w:after="0" w:line="179" w:lineRule="exact"/>
        <w:rPr>
          <w:rFonts w:ascii="Arial" w:cs="Arial" w:eastAsia="Arial" w:hAnsi="Arial"/>
          <w:sz w:val="16"/>
          <w:szCs w:val="16"/>
          <w:color w:val="auto"/>
        </w:rPr>
      </w:pPr>
    </w:p>
    <w:p>
      <w:pPr>
        <w:jc w:val="both"/>
        <w:ind w:firstLine="1304"/>
        <w:spacing w:after="0" w:line="286" w:lineRule="auto"/>
        <w:tabs>
          <w:tab w:leader="none" w:pos="1833"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The indemnification required by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which person is later determined to not be entitled to such payment shall return such payment to the person making it.</w:t>
      </w:r>
    </w:p>
    <w:p>
      <w:pPr>
        <w:spacing w:after="0" w:line="165" w:lineRule="exact"/>
        <w:rPr>
          <w:rFonts w:ascii="Arial" w:cs="Arial" w:eastAsia="Arial" w:hAnsi="Arial"/>
          <w:sz w:val="17"/>
          <w:szCs w:val="17"/>
          <w:color w:val="auto"/>
        </w:rPr>
      </w:pPr>
    </w:p>
    <w:p>
      <w:pPr>
        <w:ind w:firstLine="1304"/>
        <w:spacing w:after="0" w:line="342" w:lineRule="auto"/>
        <w:tabs>
          <w:tab w:leader="none" w:pos="1828"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19" w:lineRule="exact"/>
        <w:rPr>
          <w:rFonts w:ascii="Arial" w:cs="Arial" w:eastAsia="Arial" w:hAnsi="Arial"/>
          <w:sz w:val="16"/>
          <w:szCs w:val="16"/>
          <w:color w:val="auto"/>
        </w:rPr>
      </w:pPr>
    </w:p>
    <w:p>
      <w:pPr>
        <w:ind w:left="1100" w:hanging="444"/>
        <w:spacing w:after="0"/>
        <w:tabs>
          <w:tab w:leader="none" w:pos="11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w:t>
      </w:r>
    </w:p>
    <w:p>
      <w:pPr>
        <w:spacing w:after="0" w:line="22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1100" w:hanging="444"/>
        <w:spacing w:after="0"/>
        <w:tabs>
          <w:tab w:leader="none" w:pos="11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REGISTRATION RIGHTS.</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Company shall not assign this Agreement or any rights or obligations hereunder without the prior written consent of the Investor; provided, however, that any transaction, whether by merger, reorganization, restructuring, consolidation, financing or otherwise, whereby the Company remains the surviving entity immediately after such transaction shall not be deemed an assignment. The Investor may not assign its rights under this Agreement without the prior written consent of the Company, other than to an affiliate of the Investor controlled by Jonathan Cope or Josh Scheinfeld, in which case the assignee must agree in writing to be bound by the terms and conditions of this Agreement.</w:t>
      </w:r>
    </w:p>
    <w:p>
      <w:pPr>
        <w:spacing w:after="0" w:line="172"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REGISTRATION RIGHTS.</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 provision of this Agreement may be amended or waived by the parties from and after the date that is one Business Day immediately preceding the initial filing of the Initial Prospectus Supplement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84"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1304"/>
        <w:spacing w:after="0" w:line="257" w:lineRule="auto"/>
        <w:tabs>
          <w:tab w:leader="none" w:pos="182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Lee Road, Suite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Wayne, PA 19087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(484) 324-7933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kalijackson@aclaristx.com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Kamil Ali-Jackson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Reston, Virginia 20190-5640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(703) 456-8000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(703) 456-8100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Brian F. Leaf,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bleaf@cooley.com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If to the Investor: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Lincoln Park Capital Fund,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(312) 822-9300</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 822-9301</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jscheinfeld@lpcfunds.com/jcope@lpcfunds.com</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Josh Scheinfeld/Jonathan Cope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S. Biscayne Blvd., Ste. 3900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Florida 33131</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(305) 539-3306</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(305) 358-7095</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clayton.parker@klgates.com</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Clayton E. Parker, Esq.</w:t>
      </w:r>
    </w:p>
    <w:p>
      <w:pPr>
        <w:spacing w:after="0" w:line="2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or at such other address, email and/or facsimile number and/or to the attention of such other Person as the recipient party has specified by written notice given to each other party one (1) Business Day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email or receipt from a nationally recognized overnight delivery service in accordance with clause (i), (ii) or (iii) above, respectively.</w:t>
      </w:r>
    </w:p>
    <w:p>
      <w:pPr>
        <w:spacing w:after="0" w:line="178" w:lineRule="exact"/>
        <w:rPr>
          <w:sz w:val="20"/>
          <w:szCs w:val="20"/>
          <w:color w:val="auto"/>
        </w:rPr>
      </w:pPr>
    </w:p>
    <w:p>
      <w:pPr>
        <w:ind w:firstLine="1304"/>
        <w:spacing w:after="0" w:line="342" w:lineRule="auto"/>
        <w:tabs>
          <w:tab w:leader="none" w:pos="190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xml:space="preserve">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23" w:lineRule="exact"/>
        <w:rPr>
          <w:rFonts w:ascii="Arial" w:cs="Arial" w:eastAsia="Arial" w:hAnsi="Arial"/>
          <w:sz w:val="16"/>
          <w:szCs w:val="16"/>
          <w:color w:val="auto"/>
        </w:rPr>
      </w:pPr>
    </w:p>
    <w:p>
      <w:pPr>
        <w:jc w:val="both"/>
        <w:ind w:firstLine="1304"/>
        <w:spacing w:after="0" w:line="283" w:lineRule="auto"/>
        <w:tabs>
          <w:tab w:leader="none" w:pos="190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and venue in the U.S. District Court for the Southern District of New York or, if that court does not have subject matter jurisdiction, in any state court located in the City and County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6"/>
          <w:szCs w:val="16"/>
          <w:b w:val="1"/>
          <w:bCs w:val="1"/>
          <w:color w:val="auto"/>
        </w:rPr>
        <w:t>EACH PARTY HEREBY IRREVOCABLY WAIVES ANY</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RIGHT IT MAY HAVE, AND AGREES NOT TO REQUEST, A JURY TRIAL FOR THE ADJUDICATION OF ANY DISPUTE HEREUNDER OR IN CONNECTION HEREWITH OR ARISING OUT OF THIS AGREEMENT OR ANY TRANSACTION CONTEMPLATED 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58" w:lineRule="auto"/>
        <w:tabs>
          <w:tab w:leader="none" w:pos="190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Purchase Agreement and the other Transaction Documents constitute the entire understanding among the parties hereto with respect to the subject matter hereof and thereof. There are no restrictions, promises, warranties or undertakings, other than those set forth or referred to herein and therein.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Purchase Agreement and the other Transaction Documents supersede all other prior oral or written agreements between the Investor, the Company, their affiliates and persons acting on their behalf with respect to the subject matter hereof and thereof.</w:t>
      </w:r>
    </w:p>
    <w:p>
      <w:pPr>
        <w:spacing w:after="0" w:line="187" w:lineRule="exact"/>
        <w:rPr>
          <w:rFonts w:ascii="Arial" w:cs="Arial" w:eastAsia="Arial" w:hAnsi="Arial"/>
          <w:sz w:val="18"/>
          <w:szCs w:val="18"/>
          <w:color w:val="auto"/>
        </w:rPr>
      </w:pPr>
    </w:p>
    <w:p>
      <w:pPr>
        <w:ind w:right="20" w:firstLine="1304"/>
        <w:spacing w:after="0" w:line="277" w:lineRule="auto"/>
        <w:tabs>
          <w:tab w:leader="none" w:pos="181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Third Party Benefits</w:t>
      </w:r>
      <w:r>
        <w:rPr>
          <w:rFonts w:ascii="Arial" w:cs="Arial" w:eastAsia="Arial" w:hAnsi="Arial"/>
          <w:sz w:val="18"/>
          <w:szCs w:val="18"/>
          <w:color w:val="auto"/>
        </w:rPr>
        <w:t xml:space="preserve">. Subject to the requirements of </w:t>
      </w:r>
      <w:r>
        <w:rPr>
          <w:rFonts w:ascii="Arial" w:cs="Arial" w:eastAsia="Arial" w:hAnsi="Arial"/>
          <w:sz w:val="18"/>
          <w:szCs w:val="18"/>
          <w:u w:val="single" w:color="auto"/>
          <w:color w:val="auto"/>
        </w:rPr>
        <w:t>Section 8</w:t>
      </w:r>
      <w:r>
        <w:rPr>
          <w:rFonts w:ascii="Arial" w:cs="Arial" w:eastAsia="Arial" w:hAnsi="Arial"/>
          <w:sz w:val="18"/>
          <w:szCs w:val="18"/>
          <w:color w:val="auto"/>
        </w:rPr>
        <w:t>,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and shall not form part of, or affect the interpretation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210" w:lineRule="exact"/>
        <w:rPr>
          <w:rFonts w:ascii="Arial" w:cs="Arial" w:eastAsia="Arial" w:hAnsi="Arial"/>
          <w:sz w:val="16"/>
          <w:szCs w:val="16"/>
          <w:color w:val="auto"/>
        </w:rPr>
      </w:pPr>
    </w:p>
    <w:p>
      <w:pPr>
        <w:jc w:val="both"/>
        <w:ind w:firstLine="1304"/>
        <w:spacing w:after="0" w:line="259" w:lineRule="auto"/>
        <w:tabs>
          <w:tab w:leader="none" w:pos="182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shall be considered due execution and shall be binding upon the signatory thereto with the same force and effect as if the signature were an original signature.</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82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5" w:lineRule="exact"/>
        <w:rPr>
          <w:rFonts w:ascii="Arial" w:cs="Arial" w:eastAsia="Arial" w:hAnsi="Arial"/>
          <w:sz w:val="17"/>
          <w:szCs w:val="17"/>
          <w:color w:val="auto"/>
        </w:rPr>
      </w:pPr>
    </w:p>
    <w:p>
      <w:pPr>
        <w:ind w:firstLine="1304"/>
        <w:spacing w:after="0" w:line="277" w:lineRule="auto"/>
        <w:tabs>
          <w:tab w:leader="none" w:pos="183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firstLine="1304"/>
        <w:spacing w:after="0" w:line="277" w:lineRule="auto"/>
        <w:tabs>
          <w:tab w:leader="none" w:pos="192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6"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right"/>
        <w:ind w:right="4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Registration Rights Agreement to be duly executed as of date first written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ACLARIS THERAPEUTICS, INC.</w:t>
      </w:r>
    </w:p>
    <w:p>
      <w:pPr>
        <w:spacing w:after="0" w:line="200" w:lineRule="exact"/>
        <w:rPr>
          <w:sz w:val="20"/>
          <w:szCs w:val="20"/>
          <w:color w:val="auto"/>
        </w:rPr>
      </w:pPr>
    </w:p>
    <w:p>
      <w:pPr>
        <w:spacing w:after="0" w:line="2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By:/s/ Neal Walker</w:t>
      </w:r>
    </w:p>
    <w:p>
      <w:pPr>
        <w:spacing w:after="0" w:line="43" w:lineRule="exact"/>
        <w:rPr>
          <w:sz w:val="20"/>
          <w:szCs w:val="20"/>
          <w:color w:val="auto"/>
        </w:rPr>
      </w:pPr>
    </w:p>
    <w:tbl>
      <w:tblPr>
        <w:tblLayout w:type="fixed"/>
        <w:tblInd w:w="552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62"/>
        </w:trPr>
        <w:tc>
          <w:tcPr>
            <w:tcW w:w="600" w:type="dxa"/>
            <w:vAlign w:val="bottom"/>
            <w:gridSpan w:val="2"/>
          </w:tcPr>
          <w:p>
            <w:pPr>
              <w:spacing w:after="0" w:line="162" w:lineRule="exact"/>
              <w:rPr>
                <w:sz w:val="20"/>
                <w:szCs w:val="20"/>
                <w:color w:val="auto"/>
              </w:rPr>
            </w:pPr>
            <w:r>
              <w:rPr>
                <w:rFonts w:ascii="Arial" w:cs="Arial" w:eastAsia="Arial" w:hAnsi="Arial"/>
                <w:sz w:val="18"/>
                <w:szCs w:val="18"/>
                <w:color w:val="auto"/>
              </w:rPr>
              <w:t>Name:</w:t>
            </w:r>
          </w:p>
        </w:tc>
        <w:tc>
          <w:tcPr>
            <w:tcW w:w="5120" w:type="dxa"/>
            <w:vAlign w:val="bottom"/>
          </w:tcPr>
          <w:p>
            <w:pPr>
              <w:ind w:left="120"/>
              <w:spacing w:after="0" w:line="162" w:lineRule="exact"/>
              <w:rPr>
                <w:sz w:val="20"/>
                <w:szCs w:val="20"/>
                <w:color w:val="auto"/>
              </w:rPr>
            </w:pPr>
            <w:r>
              <w:rPr>
                <w:rFonts w:ascii="Arial" w:cs="Arial" w:eastAsia="Arial" w:hAnsi="Arial"/>
                <w:sz w:val="18"/>
                <w:szCs w:val="18"/>
                <w:color w:val="auto"/>
              </w:rPr>
              <w:t>Neal Walker</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b w:val="1"/>
          <w:bCs w:val="1"/>
          <w:u w:val="single" w:color="auto"/>
          <w:color w:val="auto"/>
        </w:rPr>
        <w:t>INVESTOR:</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LINCOLN PARK CAPITAL FUND, LLC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BY: LINCOLN PARK CAPITAL, LLC</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BY: Rockledge Capital Corporation</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By:/s/ Joshua Scheinfeld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8"/>
          <w:szCs w:val="18"/>
          <w:color w:val="auto"/>
        </w:rPr>
        <w:t>Name:</w:t>
        <w:tab/>
        <w:t>Joshua Scheinfeld</w:t>
      </w:r>
    </w:p>
    <w:p>
      <w:pPr>
        <w:spacing w:after="0" w:line="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Investor Furnished To The Company By The Investor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Expressly For Use In Connection With Each Registration Statement and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Lincoln Park Capital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Immediately prior to the date of the Purchase Agreement, Lincoln Park Capital Fund, LLC, beneficially owned 0 shares of Common Stock. Josh Scheinfeld and Jonathan Cope, the Managing Members of Lincoln Park Capital, LLC, the manager of Lincoln Park Capital Fund, LLC, are deemed to be beneficial owners of all of the Common Stock owned by Lincoln Park Capital Fund, LLC. Messrs. Cope and Scheinfeld have shared voting and investment power over the shares being offered under the prospectus supplement filed with the SEC in connection with the transactions contemplated under the Purchase Agreement. Lincoln Park Capital, LLC is not a licensed broker dealer or an affiliate of a licensed broker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04"/>
    </w:lvl>
  </w:abstractNum>
  <w:abstractNum w:abstractNumId="7">
    <w:nsid w:val="51EAD36B"/>
    <w:multiLevelType w:val="hybridMultilevel"/>
    <w:lvl w:ilvl="0">
      <w:lvlJc w:val="left"/>
      <w:lvlText w:val="%1."/>
      <w:numFmt w:val="decimal"/>
      <w:start w:val="1"/>
    </w:lvl>
    <w:lvl w:ilvl="1">
      <w:lvlJc w:val="left"/>
      <w:lvlText w:val="(%2)"/>
      <w:numFmt w:val="lowerLetter"/>
      <w:start w:val="1"/>
    </w:lvl>
  </w:abstractNum>
  <w:abstractNum w:abstractNumId="8">
    <w:nsid w:val="2D517796"/>
    <w:multiLevelType w:val="hybridMultilevel"/>
    <w:lvl w:ilvl="0">
      <w:lvlJc w:val="left"/>
      <w:lvlText w:val="%1"/>
      <w:numFmt w:val="lowerLetter"/>
      <w:start w:val="1"/>
    </w:lvl>
    <w:lvl w:ilvl="1">
      <w:lvlJc w:val="left"/>
      <w:lvlText w:val="(%2)"/>
      <w:numFmt w:val="lowerLetter"/>
      <w:start w:val="5"/>
    </w:lvl>
  </w:abstractNum>
  <w:abstractNum w:abstractNumId="9">
    <w:nsid w:val="580BD78F"/>
    <w:multiLevelType w:val="hybridMultilevel"/>
    <w:lvl w:ilvl="0">
      <w:lvlJc w:val="left"/>
      <w:lvlText w:val="(%1)"/>
      <w:numFmt w:val="lowerLetter"/>
      <w:start w:val="9"/>
    </w:lvl>
    <w:lvl w:ilvl="1">
      <w:lvlJc w:val="left"/>
      <w:lvlText w:val="(%2)"/>
      <w:numFmt w:val="lowerLetter"/>
      <w:start w:val="12"/>
    </w:lvl>
  </w:abstractNum>
  <w:abstractNum w:abstractNumId="10">
    <w:nsid w:val="153EA438"/>
    <w:multiLevelType w:val="hybridMultilevel"/>
    <w:lvl w:ilvl="0">
      <w:lvlJc w:val="left"/>
      <w:lvlText w:val="(%1)"/>
      <w:numFmt w:val="lowerLetter"/>
      <w:start w:val="13"/>
    </w:lvl>
  </w:abstractNum>
  <w:abstractNum w:abstractNumId="11">
    <w:nsid w:val="3855585C"/>
    <w:multiLevelType w:val="hybridMultilevel"/>
    <w:lvl w:ilvl="0">
      <w:lvlJc w:val="left"/>
      <w:lvlText w:val="(%1)"/>
      <w:numFmt w:val="lowerLetter"/>
      <w:start w:val="19"/>
    </w:lvl>
  </w:abstractNum>
  <w:abstractNum w:abstractNumId="12">
    <w:nsid w:val="70A64E2A"/>
    <w:multiLevelType w:val="hybridMultilevel"/>
    <w:lvl w:ilvl="0">
      <w:lvlJc w:val="left"/>
      <w:lvlText w:val="(%1)"/>
      <w:numFmt w:val="lowerLetter"/>
      <w:start w:val="21"/>
    </w:lvl>
  </w:abstractNum>
  <w:abstractNum w:abstractNumId="13">
    <w:nsid w:val="6A2342EC"/>
    <w:multiLevelType w:val="hybridMultilevel"/>
    <w:lvl w:ilvl="0">
      <w:lvlJc w:val="left"/>
      <w:lvlText w:val="(%1)"/>
      <w:numFmt w:val="lowerLetter"/>
      <w:start w:val="27"/>
    </w:lvl>
  </w:abstractNum>
  <w:abstractNum w:abstractNumId="14">
    <w:nsid w:val="2A487CB0"/>
    <w:multiLevelType w:val="hybridMultilevel"/>
    <w:lvl w:ilvl="0">
      <w:lvlJc w:val="left"/>
      <w:lvlText w:val="%1"/>
      <w:numFmt w:val="decimal"/>
      <w:start w:val="1"/>
    </w:lvl>
    <w:lvl w:ilvl="1">
      <w:lvlJc w:val="left"/>
      <w:lvlText w:val="(%2)"/>
      <w:numFmt w:val="lowerLetter"/>
      <w:start w:val="30"/>
    </w:lvl>
  </w:abstractNum>
  <w:abstractNum w:abstractNumId="15">
    <w:nsid w:val="1D4ED43B"/>
    <w:multiLevelType w:val="hybridMultilevel"/>
    <w:lvl w:ilvl="0">
      <w:lvlJc w:val="left"/>
      <w:lvlText w:val="%1."/>
      <w:numFmt w:val="decimal"/>
      <w:start w:val="2"/>
    </w:lvl>
    <w:lvl w:ilvl="1">
      <w:lvlJc w:val="left"/>
      <w:lvlText w:val="%2"/>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lowerLetter"/>
      <w:start w:val="2"/>
    </w:lvl>
  </w:abstractNum>
  <w:abstractNum w:abstractNumId="18">
    <w:nsid w:val="57E4CCAF"/>
    <w:multiLevelType w:val="hybridMultilevel"/>
    <w:lvl w:ilvl="0">
      <w:lvlJc w:val="left"/>
      <w:lvlText w:val="(%1)"/>
      <w:numFmt w:val="lowerLetter"/>
      <w:start w:val="5"/>
    </w:lvl>
  </w:abstractNum>
  <w:abstractNum w:abstractNumId="19">
    <w:nsid w:val="7A6D8D3C"/>
    <w:multiLevelType w:val="hybridMultilevel"/>
    <w:lvl w:ilvl="0">
      <w:lvlJc w:val="left"/>
      <w:lvlText w:val="%1"/>
      <w:numFmt w:val="decimal"/>
      <w:start w:val="1"/>
    </w:lvl>
    <w:lvl w:ilvl="1">
      <w:lvlJc w:val="left"/>
      <w:lvlText w:val="(%2)"/>
      <w:numFmt w:val="lowerLetter"/>
      <w:start w:val="8"/>
    </w:lvl>
  </w:abstractNum>
  <w:abstractNum w:abstractNumId="20">
    <w:nsid w:val="4B588F54"/>
    <w:multiLevelType w:val="hybridMultilevel"/>
    <w:lvl w:ilvl="0">
      <w:lvlJc w:val="left"/>
      <w:lvlText w:val="%1."/>
      <w:numFmt w:val="decimal"/>
      <w:start w:val="3"/>
    </w:lvl>
    <w:lvl w:ilvl="1">
      <w:lvlJc w:val="left"/>
      <w:lvlText w:val="%2"/>
      <w:numFmt w:val="lowerLetter"/>
      <w:start w:val="1"/>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decimal"/>
      <w:start w:val="1"/>
    </w:lvl>
    <w:lvl w:ilvl="1">
      <w:lvlJc w:val="left"/>
      <w:lvlText w:val="(%2)"/>
      <w:numFmt w:val="lowerLetter"/>
      <w:start w:val="5"/>
    </w:lvl>
  </w:abstractNum>
  <w:abstractNum w:abstractNumId="23">
    <w:nsid w:val="38437FDB"/>
    <w:multiLevelType w:val="hybridMultilevel"/>
    <w:lvl w:ilvl="0">
      <w:lvlJc w:val="left"/>
      <w:lvlText w:val="%1."/>
      <w:numFmt w:val="decimal"/>
      <w:start w:val="4"/>
    </w:lvl>
    <w:lvl w:ilvl="1">
      <w:lvlJc w:val="left"/>
      <w:lvlText w:val="(%2)"/>
      <w:numFmt w:val="lowerLetter"/>
      <w:start w:val="1"/>
    </w:lvl>
  </w:abstractNum>
  <w:abstractNum w:abstractNumId="24">
    <w:nsid w:val="7644A45C"/>
    <w:multiLevelType w:val="hybridMultilevel"/>
    <w:lvl w:ilvl="0">
      <w:lvlJc w:val="left"/>
      <w:lvlText w:val="%1"/>
      <w:numFmt w:val="lowerLetter"/>
      <w:start w:val="1"/>
    </w:lvl>
    <w:lvl w:ilvl="1">
      <w:lvlJc w:val="left"/>
      <w:lvlText w:val="(%2)"/>
      <w:numFmt w:val="lowerLetter"/>
      <w:start w:val="2"/>
    </w:lvl>
  </w:abstractNum>
  <w:abstractNum w:abstractNumId="25">
    <w:nsid w:val="32FFF902"/>
    <w:multiLevelType w:val="hybridMultilevel"/>
    <w:lvl w:ilvl="0">
      <w:lvlJc w:val="left"/>
      <w:lvlText w:val="(%1)"/>
      <w:numFmt w:val="lowerLetter"/>
      <w:start w:val="35"/>
    </w:lvl>
    <w:lvl w:ilvl="1">
      <w:lvlJc w:val="left"/>
      <w:lvlText w:val="(%2)"/>
      <w:numFmt w:val="lowerLetter"/>
      <w:start w:val="3"/>
    </w:lvl>
  </w:abstractNum>
  <w:abstractNum w:abstractNumId="26">
    <w:nsid w:val="684A481A"/>
    <w:multiLevelType w:val="hybridMultilevel"/>
    <w:lvl w:ilvl="0">
      <w:lvlJc w:val="left"/>
      <w:lvlText w:val="(%1)"/>
      <w:numFmt w:val="lowerLetter"/>
      <w:start w:val="5"/>
    </w:lvl>
  </w:abstractNum>
  <w:abstractNum w:abstractNumId="27">
    <w:nsid w:val="579478FE"/>
    <w:multiLevelType w:val="hybridMultilevel"/>
    <w:lvl w:ilvl="0">
      <w:lvlJc w:val="left"/>
      <w:lvlText w:val="(%1)"/>
      <w:numFmt w:val="lowerLetter"/>
      <w:start w:val="6"/>
    </w:lvl>
  </w:abstractNum>
  <w:abstractNum w:abstractNumId="28">
    <w:nsid w:val="749ABB43"/>
    <w:multiLevelType w:val="hybridMultilevel"/>
    <w:lvl w:ilvl="0">
      <w:lvlJc w:val="left"/>
      <w:lvlText w:val="(%1)"/>
      <w:numFmt w:val="lowerLetter"/>
      <w:start w:val="11"/>
    </w:lvl>
  </w:abstractNum>
  <w:abstractNum w:abstractNumId="29">
    <w:nsid w:val="3DC240FB"/>
    <w:multiLevelType w:val="hybridMultilevel"/>
    <w:lvl w:ilvl="0">
      <w:lvlJc w:val="left"/>
      <w:lvlText w:val="(%1)"/>
      <w:numFmt w:val="lowerLetter"/>
      <w:start w:val="16"/>
    </w:lvl>
  </w:abstractNum>
  <w:abstractNum w:abstractNumId="30">
    <w:nsid w:val="1BA026FA"/>
    <w:multiLevelType w:val="hybridMultilevel"/>
    <w:lvl w:ilvl="0">
      <w:lvlJc w:val="left"/>
      <w:lvlText w:val="(%1)"/>
      <w:numFmt w:val="lowerLetter"/>
      <w:start w:val="21"/>
    </w:lvl>
  </w:abstractNum>
  <w:abstractNum w:abstractNumId="31">
    <w:nsid w:val="79A1DEAA"/>
    <w:multiLevelType w:val="hybridMultilevel"/>
    <w:lvl w:ilvl="0">
      <w:lvlJc w:val="left"/>
      <w:lvlText w:val="(%1)"/>
      <w:numFmt w:val="lowerLetter"/>
      <w:start w:val="23"/>
    </w:lvl>
  </w:abstractNum>
  <w:abstractNum w:abstractNumId="32">
    <w:nsid w:val="75C6C33A"/>
    <w:multiLevelType w:val="hybridMultilevel"/>
    <w:lvl w:ilvl="0">
      <w:lvlJc w:val="left"/>
      <w:lvlText w:val="(%1)"/>
      <w:numFmt w:val="lowerLetter"/>
      <w:start w:val="27"/>
    </w:lvl>
  </w:abstractNum>
  <w:abstractNum w:abstractNumId="33">
    <w:nsid w:val="12E685FB"/>
    <w:multiLevelType w:val="hybridMultilevel"/>
    <w:lvl w:ilvl="0">
      <w:lvlJc w:val="left"/>
      <w:lvlText w:val="(%1)"/>
      <w:numFmt w:val="lowerLetter"/>
      <w:start w:val="30"/>
    </w:lvl>
  </w:abstractNum>
  <w:abstractNum w:abstractNumId="34">
    <w:nsid w:val="70C6A529"/>
    <w:multiLevelType w:val="hybridMultilevel"/>
    <w:lvl w:ilvl="0">
      <w:lvlJc w:val="left"/>
      <w:lvlText w:val="%1."/>
      <w:numFmt w:val="decimal"/>
      <w:start w:val="5"/>
    </w:lvl>
    <w:lvl w:ilvl="1">
      <w:lvlJc w:val="left"/>
      <w:lvlText w:val="(%2)"/>
      <w:numFmt w:val="lowerLetter"/>
      <w:start w:val="1"/>
    </w:lvl>
  </w:abstractNum>
  <w:abstractNum w:abstractNumId="35">
    <w:nsid w:val="520EEDD1"/>
    <w:multiLevelType w:val="hybridMultilevel"/>
    <w:lvl w:ilvl="0">
      <w:lvlJc w:val="left"/>
      <w:lvlText w:val="(%1)"/>
      <w:numFmt w:val="lowerLetter"/>
      <w:start w:val="4"/>
    </w:lvl>
  </w:abstractNum>
  <w:abstractNum w:abstractNumId="36">
    <w:nsid w:val="374A3FE6"/>
    <w:multiLevelType w:val="hybridMultilevel"/>
    <w:lvl w:ilvl="0">
      <w:lvlJc w:val="left"/>
      <w:lvlText w:val="(%1)"/>
      <w:numFmt w:val="lowerLetter"/>
      <w:start w:val="7"/>
    </w:lvl>
  </w:abstractNum>
  <w:abstractNum w:abstractNumId="37">
    <w:nsid w:val="4F4EF005"/>
    <w:multiLevelType w:val="hybridMultilevel"/>
    <w:lvl w:ilvl="0">
      <w:lvlJc w:val="left"/>
      <w:lvlText w:val="%1."/>
      <w:numFmt w:val="decimal"/>
      <w:start w:val="6"/>
    </w:lvl>
  </w:abstractNum>
  <w:abstractNum w:abstractNumId="38">
    <w:nsid w:val="23F9C13C"/>
    <w:multiLevelType w:val="hybridMultilevel"/>
    <w:lvl w:ilvl="0">
      <w:lvlJc w:val="left"/>
      <w:lvlText w:val="%1."/>
      <w:numFmt w:val="decimal"/>
      <w:start w:val="7"/>
    </w:lvl>
  </w:abstractNum>
  <w:abstractNum w:abstractNumId="39">
    <w:nsid w:val="649BB77C"/>
    <w:multiLevelType w:val="hybridMultilevel"/>
    <w:lvl w:ilvl="0">
      <w:lvlJc w:val="left"/>
      <w:lvlText w:val="%1"/>
      <w:numFmt w:val="decimal"/>
      <w:start w:val="1"/>
    </w:lvl>
    <w:lvl w:ilvl="1">
      <w:lvlJc w:val="left"/>
      <w:lvlText w:val="(%2)"/>
      <w:numFmt w:val="lowerLetter"/>
      <w:start w:val="1"/>
    </w:lvl>
  </w:abstractNum>
  <w:abstractNum w:abstractNumId="40">
    <w:nsid w:val="275AC794"/>
    <w:multiLevelType w:val="hybridMultilevel"/>
    <w:lvl w:ilvl="0">
      <w:lvlJc w:val="left"/>
      <w:lvlText w:val="%1."/>
      <w:numFmt w:val="decimal"/>
      <w:start w:val="8"/>
    </w:lvl>
    <w:lvl w:ilvl="1">
      <w:lvlJc w:val="left"/>
      <w:lvlText w:val="%2"/>
      <w:numFmt w:val="lowerLetter"/>
      <w:start w:val="1"/>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2"/>
    </w:lvl>
  </w:abstractNum>
  <w:abstractNum w:abstractNumId="43">
    <w:nsid w:val="180115BE"/>
    <w:multiLevelType w:val="hybridMultilevel"/>
    <w:lvl w:ilvl="0">
      <w:lvlJc w:val="left"/>
      <w:lvlText w:val="%1"/>
      <w:numFmt w:val="decimal"/>
      <w:start w:val="1"/>
    </w:lvl>
    <w:lvl w:ilvl="1">
      <w:lvlJc w:val="left"/>
      <w:lvlText w:val="(%2)"/>
      <w:numFmt w:val="lowerLetter"/>
      <w:start w:val="10"/>
    </w:lvl>
  </w:abstractNum>
  <w:abstractNum w:abstractNumId="44">
    <w:nsid w:val="235BA861"/>
    <w:multiLevelType w:val="hybridMultilevel"/>
    <w:lvl w:ilvl="0">
      <w:lvlJc w:val="left"/>
      <w:lvlText w:val="%1."/>
      <w:numFmt w:val="decimal"/>
      <w:start w:val="9"/>
    </w:lvl>
    <w:lvl w:ilvl="1">
      <w:lvlJc w:val="left"/>
      <w:lvlText w:val="%2"/>
      <w:numFmt w:val="lowerLetter"/>
      <w:start w:val="1"/>
    </w:lvl>
  </w:abstractNum>
  <w:abstractNum w:abstractNumId="45">
    <w:nsid w:val="47398C89"/>
    <w:multiLevelType w:val="hybridMultilevel"/>
    <w:lvl w:ilvl="0">
      <w:lvlJc w:val="left"/>
      <w:lvlText w:val="%1."/>
      <w:numFmt w:val="decimal"/>
      <w:start w:val="10"/>
    </w:lvl>
    <w:lvl w:ilvl="1">
      <w:lvlJc w:val="left"/>
      <w:lvlText w:val="(%2)"/>
      <w:numFmt w:val="lowerLetter"/>
      <w:start w:val="1"/>
    </w:lvl>
  </w:abstractNum>
  <w:abstractNum w:abstractNumId="46">
    <w:nsid w:val="354FE9F9"/>
    <w:multiLevelType w:val="hybridMultilevel"/>
    <w:lvl w:ilvl="0">
      <w:lvlJc w:val="left"/>
      <w:lvlText w:val="(%1)"/>
      <w:numFmt w:val="lowerLetter"/>
      <w:start w:val="3"/>
    </w:lvl>
  </w:abstractNum>
  <w:abstractNum w:abstractNumId="47">
    <w:nsid w:val="15B5AF5C"/>
    <w:multiLevelType w:val="hybridMultilevel"/>
    <w:lvl w:ilvl="0">
      <w:lvlJc w:val="left"/>
      <w:lvlText w:val="%1."/>
      <w:numFmt w:val="decimal"/>
      <w:start w:val="11"/>
    </w:lvl>
    <w:lvl w:ilvl="1">
      <w:lvlJc w:val="left"/>
      <w:lvlText w:val="(%2)"/>
      <w:numFmt w:val="lowerLetter"/>
      <w:start w:val="1"/>
    </w:lvl>
  </w:abstractNum>
  <w:abstractNum w:abstractNumId="48">
    <w:nsid w:val="741226BB"/>
    <w:multiLevelType w:val="hybridMultilevel"/>
    <w:lvl w:ilvl="0">
      <w:lvlJc w:val="left"/>
      <w:lvlText w:val="%1."/>
      <w:numFmt w:val="decimal"/>
      <w:start w:val="12"/>
    </w:lvl>
    <w:lvl w:ilvl="1">
      <w:lvlJc w:val="left"/>
      <w:lvlText w:val="(%2)"/>
      <w:numFmt w:val="lowerLetter"/>
      <w:start w:val="1"/>
    </w:lvl>
  </w:abstractNum>
  <w:abstractNum w:abstractNumId="49">
    <w:nsid w:val="D34B6A8"/>
    <w:multiLevelType w:val="hybridMultilevel"/>
    <w:lvl w:ilvl="0">
      <w:lvlJc w:val="left"/>
      <w:lvlText w:val="(%1)"/>
      <w:numFmt w:val="lowerLetter"/>
      <w:start w:val="7"/>
    </w:lvl>
    <w:lvl w:ilvl="1">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upperLetter"/>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decimal"/>
      <w:start w:val="2"/>
    </w:lvl>
    <w:lvl w:ilvl="1">
      <w:lvlJc w:val="left"/>
      <w:lvlText w:val="(%2)"/>
      <w:numFmt w:val="lowerLetter"/>
      <w:start w:val="1"/>
    </w:lvl>
  </w:abstractNum>
  <w:abstractNum w:abstractNumId="56">
    <w:nsid w:val="310C50B3"/>
    <w:multiLevelType w:val="hybridMultilevel"/>
    <w:lvl w:ilvl="0">
      <w:lvlJc w:val="left"/>
      <w:lvlText w:val="(%1)"/>
      <w:numFmt w:val="lowerLetter"/>
      <w:start w:val="3"/>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7"/>
    </w:lvl>
  </w:abstractNum>
  <w:abstractNum w:abstractNumId="60">
    <w:nsid w:val="1DBABF00"/>
    <w:multiLevelType w:val="hybridMultilevel"/>
    <w:lvl w:ilvl="0">
      <w:lvlJc w:val="left"/>
      <w:lvlText w:val="(%1)"/>
      <w:numFmt w:val="lowerLetter"/>
      <w:start w:val="9"/>
    </w:lvl>
  </w:abstractNum>
  <w:abstractNum w:abstractNumId="61">
    <w:nsid w:val="4AD084E9"/>
    <w:multiLevelType w:val="hybridMultilevel"/>
    <w:lvl w:ilvl="0">
      <w:lvlJc w:val="left"/>
      <w:lvlText w:val="%1."/>
      <w:numFmt w:val="decimal"/>
      <w:start w:val="4"/>
    </w:lvl>
    <w:lvl w:ilvl="1">
      <w:lvlJc w:val="left"/>
      <w:lvlText w:val="(%2)"/>
      <w:numFmt w:val="lowerLetter"/>
      <w:start w:val="1"/>
    </w:lvl>
  </w:abstractNum>
  <w:abstractNum w:abstractNumId="62">
    <w:nsid w:val="1F48EAA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3">
    <w:nsid w:val="1381823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64">
    <w:nsid w:val="5DB70AE5"/>
    <w:multiLevelType w:val="hybridMultilevel"/>
    <w:lvl w:ilvl="0">
      <w:lvlJc w:val="left"/>
      <w:lvlText w:val="%1"/>
      <w:numFmt w:val="decimal"/>
      <w:start w:val="1"/>
    </w:lvl>
    <w:lvl w:ilvl="1">
      <w:lvlJc w:val="left"/>
      <w:lvlText w:val="(%2)"/>
      <w:numFmt w:val="lowerLetter"/>
      <w:start w:val="3"/>
    </w:lvl>
  </w:abstractNum>
  <w:abstractNum w:abstractNumId="65">
    <w:nsid w:val="100F8FCA"/>
    <w:multiLevelType w:val="hybridMultilevel"/>
    <w:lvl w:ilvl="0">
      <w:lvlJc w:val="left"/>
      <w:lvlText w:val="%1."/>
      <w:numFmt w:val="decimal"/>
      <w:start w:val="7"/>
    </w:lvl>
    <w:lvl w:ilvl="1">
      <w:lvlJc w:val="left"/>
      <w:lvlText w:val="%2"/>
      <w:numFmt w:val="lowerLetter"/>
      <w:start w:val="1"/>
    </w:lvl>
  </w:abstractNum>
  <w:abstractNum w:abstractNumId="66">
    <w:nsid w:val="6590700B"/>
    <w:multiLevelType w:val="hybridMultilevel"/>
    <w:lvl w:ilvl="0">
      <w:lvlJc w:val="left"/>
      <w:lvlText w:val="%1."/>
      <w:numFmt w:val="decimal"/>
      <w:start w:val="8"/>
    </w:lvl>
  </w:abstractNum>
  <w:abstractNum w:abstractNumId="67">
    <w:nsid w:val="15014ACB"/>
    <w:multiLevelType w:val="hybridMultilevel"/>
    <w:lvl w:ilvl="0">
      <w:lvlJc w:val="left"/>
      <w:lvlText w:val="%1."/>
      <w:numFmt w:val="decimal"/>
      <w:start w:val="9"/>
    </w:lvl>
  </w:abstractNum>
  <w:abstractNum w:abstractNumId="68">
    <w:nsid w:val="5F5E7FD0"/>
    <w:multiLevelType w:val="hybridMultilevel"/>
    <w:lvl w:ilvl="0">
      <w:lvlJc w:val="left"/>
      <w:lvlText w:val="%1."/>
      <w:numFmt w:val="decimal"/>
      <w:start w:val="10"/>
    </w:lvl>
    <w:lvl w:ilvl="1">
      <w:lvlJc w:val="left"/>
      <w:lvlText w:val="(%2)"/>
      <w:numFmt w:val="lowerLetter"/>
      <w:start w:val="1"/>
    </w:lvl>
  </w:abstractNum>
  <w:abstractNum w:abstractNumId="69">
    <w:nsid w:val="98A3148"/>
    <w:multiLevelType w:val="hybridMultilevel"/>
    <w:lvl w:ilvl="0">
      <w:lvlJc w:val="left"/>
      <w:lvlText w:val="(%1)"/>
      <w:numFmt w:val="lowerLetter"/>
      <w:start w:val="2"/>
    </w:lvl>
  </w:abstractNum>
  <w:abstractNum w:abstractNumId="70">
    <w:nsid w:val="799D0247"/>
    <w:multiLevelType w:val="hybridMultilevel"/>
    <w:lvl w:ilvl="0">
      <w:lvlJc w:val="left"/>
      <w:lvlText w:val="(%1)"/>
      <w:numFmt w:val="low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2020-08-13T16:30:10Z</dcterms:created>
  <dcterms:modified xsi:type="dcterms:W3CDTF">2020-08-13T16:30:10Z</dcterms:modified>
</cp:coreProperties>
</file>