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3560" w:type="dxa"/>
            <w:vAlign w:val="bottom"/>
          </w:tcPr>
          <w:p>
            <w:pPr>
              <w:spacing w:after="0"/>
              <w:rPr>
                <w:sz w:val="16"/>
                <w:szCs w:val="16"/>
                <w:color w:val="auto"/>
              </w:rPr>
            </w:pPr>
          </w:p>
        </w:tc>
      </w:tr>
      <w:tr>
        <w:trPr>
          <w:trHeight w:val="228"/>
        </w:trPr>
        <w:tc>
          <w:tcPr>
            <w:tcW w:w="3100" w:type="dxa"/>
            <w:vAlign w:val="bottom"/>
          </w:tcPr>
          <w:p>
            <w:pPr>
              <w:spacing w:after="0"/>
              <w:rPr>
                <w:sz w:val="19"/>
                <w:szCs w:val="19"/>
                <w:color w:val="auto"/>
              </w:rPr>
            </w:pPr>
          </w:p>
        </w:tc>
        <w:tc>
          <w:tcPr>
            <w:tcW w:w="7120" w:type="dxa"/>
            <w:vAlign w:val="bottom"/>
            <w:gridSpan w:val="6"/>
          </w:tcPr>
          <w:p>
            <w:pPr>
              <w:jc w:val="center"/>
              <w:ind w:right="3028"/>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w:t>
            </w:r>
          </w:p>
        </w:tc>
      </w:tr>
      <w:tr>
        <w:trPr>
          <w:trHeight w:val="190"/>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tc>
        <w:tc>
          <w:tcPr>
            <w:tcW w:w="3560" w:type="dxa"/>
            <w:vAlign w:val="bottom"/>
          </w:tcPr>
          <w:p>
            <w:pPr>
              <w:spacing w:after="0"/>
              <w:rPr>
                <w:sz w:val="16"/>
                <w:szCs w:val="16"/>
                <w:color w:val="auto"/>
              </w:rPr>
            </w:pPr>
          </w:p>
        </w:tc>
      </w:tr>
      <w:tr>
        <w:trPr>
          <w:trHeight w:val="311"/>
        </w:trPr>
        <w:tc>
          <w:tcPr>
            <w:tcW w:w="6660" w:type="dxa"/>
            <w:vAlign w:val="bottom"/>
            <w:gridSpan w:val="6"/>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tc>
        <w:tc>
          <w:tcPr>
            <w:tcW w:w="356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Commission file number 001-37581</w:t>
            </w:r>
          </w:p>
        </w:tc>
      </w:tr>
      <w:tr>
        <w:trPr>
          <w:trHeight w:val="283"/>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ACLARIS THERAPEUTICS, INC.</w:t>
            </w:r>
          </w:p>
        </w:tc>
        <w:tc>
          <w:tcPr>
            <w:tcW w:w="3560" w:type="dxa"/>
            <w:vAlign w:val="bottom"/>
          </w:tcPr>
          <w:p>
            <w:pPr>
              <w:spacing w:after="0"/>
              <w:rPr>
                <w:sz w:val="24"/>
                <w:szCs w:val="24"/>
                <w:color w:val="auto"/>
              </w:rPr>
            </w:pPr>
          </w:p>
        </w:tc>
      </w:tr>
      <w:tr>
        <w:trPr>
          <w:trHeight w:val="323"/>
        </w:trPr>
        <w:tc>
          <w:tcPr>
            <w:tcW w:w="6660" w:type="dxa"/>
            <w:vAlign w:val="bottom"/>
            <w:gridSpan w:val="6"/>
          </w:tcPr>
          <w:p>
            <w:pPr>
              <w:jc w:val="center"/>
              <w:ind w:right="1560"/>
              <w:spacing w:after="0"/>
              <w:rPr>
                <w:sz w:val="20"/>
                <w:szCs w:val="20"/>
                <w:color w:val="auto"/>
              </w:rPr>
            </w:pPr>
            <w:r>
              <w:rPr>
                <w:rFonts w:ascii="Times New Roman" w:cs="Times New Roman" w:eastAsia="Times New Roman" w:hAnsi="Times New Roman"/>
                <w:sz w:val="14"/>
                <w:szCs w:val="14"/>
                <w:color w:val="auto"/>
              </w:rPr>
              <w:t>Incorporated under the Laws of the</w:t>
            </w:r>
          </w:p>
        </w:tc>
        <w:tc>
          <w:tcPr>
            <w:tcW w:w="3560" w:type="dxa"/>
            <w:vAlign w:val="bottom"/>
          </w:tcPr>
          <w:p>
            <w:pPr>
              <w:jc w:val="center"/>
              <w:ind w:right="110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90"/>
        </w:trPr>
        <w:tc>
          <w:tcPr>
            <w:tcW w:w="3100" w:type="dxa"/>
            <w:vAlign w:val="bottom"/>
          </w:tcPr>
          <w:p>
            <w:pPr>
              <w:jc w:val="center"/>
              <w:ind w:left="1948"/>
              <w:spacing w:after="0"/>
              <w:rPr>
                <w:sz w:val="20"/>
                <w:szCs w:val="20"/>
                <w:color w:val="auto"/>
              </w:rPr>
            </w:pPr>
            <w:r>
              <w:rPr>
                <w:rFonts w:ascii="Times New Roman" w:cs="Times New Roman" w:eastAsia="Times New Roman" w:hAnsi="Times New Roman"/>
                <w:sz w:val="14"/>
                <w:szCs w:val="14"/>
                <w:b w:val="1"/>
                <w:bCs w:val="1"/>
                <w:color w:val="auto"/>
              </w:rPr>
              <w:t>State of Delaware</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6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46-0571712</w:t>
            </w:r>
          </w:p>
        </w:tc>
      </w:tr>
      <w:tr>
        <w:trPr>
          <w:trHeight w:val="242"/>
        </w:trPr>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701 Lee Road, Suite 103</w:t>
            </w:r>
          </w:p>
        </w:tc>
        <w:tc>
          <w:tcPr>
            <w:tcW w:w="3560" w:type="dxa"/>
            <w:vAlign w:val="bottom"/>
          </w:tcPr>
          <w:p>
            <w:pPr>
              <w:spacing w:after="0"/>
              <w:rPr>
                <w:sz w:val="21"/>
                <w:szCs w:val="21"/>
                <w:color w:val="auto"/>
              </w:rPr>
            </w:pPr>
          </w:p>
        </w:tc>
      </w:tr>
      <w:tr>
        <w:trPr>
          <w:trHeight w:val="148"/>
        </w:trPr>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Wayne, PA 19087</w:t>
            </w:r>
          </w:p>
        </w:tc>
        <w:tc>
          <w:tcPr>
            <w:tcW w:w="3560" w:type="dxa"/>
            <w:vAlign w:val="bottom"/>
          </w:tcPr>
          <w:p>
            <w:pPr>
              <w:spacing w:after="0"/>
              <w:rPr>
                <w:sz w:val="12"/>
                <w:szCs w:val="12"/>
                <w:color w:val="auto"/>
              </w:rPr>
            </w:pPr>
          </w:p>
        </w:tc>
      </w:tr>
      <w:tr>
        <w:trPr>
          <w:trHeight w:val="190"/>
        </w:trPr>
        <w:tc>
          <w:tcPr>
            <w:tcW w:w="3100" w:type="dxa"/>
            <w:vAlign w:val="bottom"/>
          </w:tcPr>
          <w:p>
            <w:pPr>
              <w:spacing w:after="0"/>
              <w:rPr>
                <w:sz w:val="16"/>
                <w:szCs w:val="16"/>
                <w:color w:val="auto"/>
              </w:rPr>
            </w:pPr>
          </w:p>
        </w:tc>
        <w:tc>
          <w:tcPr>
            <w:tcW w:w="2740" w:type="dxa"/>
            <w:vAlign w:val="bottom"/>
            <w:gridSpan w:val="3"/>
          </w:tcPr>
          <w:p>
            <w:pPr>
              <w:jc w:val="center"/>
              <w:ind w:left="1208"/>
              <w:spacing w:after="0"/>
              <w:rPr>
                <w:sz w:val="20"/>
                <w:szCs w:val="20"/>
                <w:color w:val="auto"/>
              </w:rPr>
            </w:pPr>
            <w:r>
              <w:rPr>
                <w:rFonts w:ascii="Times New Roman" w:cs="Times New Roman" w:eastAsia="Times New Roman" w:hAnsi="Times New Roman"/>
                <w:sz w:val="14"/>
                <w:szCs w:val="14"/>
                <w:b w:val="1"/>
                <w:bCs w:val="1"/>
                <w:color w:val="auto"/>
              </w:rPr>
              <w:t>(484) 324-7933</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270"/>
        </w:trPr>
        <w:tc>
          <w:tcPr>
            <w:tcW w:w="3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920" w:type="dxa"/>
            <w:vAlign w:val="bottom"/>
            <w:gridSpan w:val="5"/>
          </w:tcPr>
          <w:p>
            <w:pPr>
              <w:jc w:val="center"/>
              <w:ind w:right="32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361"/>
        </w:trPr>
        <w:tc>
          <w:tcPr>
            <w:tcW w:w="31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Title of Each Class: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color w:val="auto"/>
              </w:rPr>
              <w:t>Trading Symbol(s)</w:t>
            </w:r>
          </w:p>
        </w:tc>
        <w:tc>
          <w:tcPr>
            <w:tcW w:w="3560" w:type="dxa"/>
            <w:vAlign w:val="bottom"/>
          </w:tcPr>
          <w:p>
            <w:pPr>
              <w:jc w:val="center"/>
              <w:ind w:right="36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100" w:type="dxa"/>
            <w:vAlign w:val="bottom"/>
            <w:tcBorders>
              <w:top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2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ACRS</w:t>
            </w:r>
          </w:p>
        </w:tc>
        <w:tc>
          <w:tcPr>
            <w:tcW w:w="4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560" w:type="dxa"/>
            <w:vAlign w:val="bottom"/>
            <w:tcBorders>
              <w:top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10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None</w:t>
      </w:r>
    </w:p>
    <w:p>
      <w:pPr>
        <w:spacing w:after="0" w:line="91" w:lineRule="exact"/>
        <w:rPr>
          <w:sz w:val="24"/>
          <w:szCs w:val="24"/>
          <w:color w:val="auto"/>
        </w:rPr>
      </w:pPr>
    </w:p>
    <w:p>
      <w:pPr>
        <w:ind w:left="320"/>
        <w:spacing w:after="0" w:line="188" w:lineRule="exact"/>
        <w:tabs>
          <w:tab w:leader="none" w:pos="76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109" w:lineRule="exact"/>
        <w:rPr>
          <w:sz w:val="24"/>
          <w:szCs w:val="24"/>
          <w:color w:val="auto"/>
        </w:rPr>
      </w:pPr>
    </w:p>
    <w:p>
      <w:pPr>
        <w:ind w:left="320"/>
        <w:spacing w:after="0" w:line="188" w:lineRule="exact"/>
        <w:tabs>
          <w:tab w:leader="none" w:pos="79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127" w:lineRule="exact"/>
        <w:rPr>
          <w:sz w:val="24"/>
          <w:szCs w:val="24"/>
          <w:color w:val="auto"/>
        </w:rPr>
      </w:pPr>
    </w:p>
    <w:p>
      <w:pPr>
        <w:ind w:right="54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tabs>
          <w:tab w:leader="none" w:pos="1080" w:val="left"/>
        </w:tabs>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85" w:lineRule="exact"/>
        <w:rPr>
          <w:sz w:val="24"/>
          <w:szCs w:val="24"/>
          <w:color w:val="auto"/>
        </w:rPr>
      </w:pPr>
    </w:p>
    <w:p>
      <w:pPr>
        <w:ind w:right="30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74" w:lineRule="exact"/>
        <w:rPr>
          <w:sz w:val="24"/>
          <w:szCs w:val="24"/>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02" w:lineRule="exact"/>
        <w:rPr>
          <w:sz w:val="24"/>
          <w:szCs w:val="24"/>
          <w:color w:val="auto"/>
        </w:rPr>
      </w:pPr>
    </w:p>
    <w:p>
      <w:pPr>
        <w:ind w:left="340"/>
        <w:spacing w:after="0" w:line="188" w:lineRule="exact"/>
        <w:tabs>
          <w:tab w:leader="none" w:pos="2900" w:val="left"/>
          <w:tab w:leader="none" w:pos="5280" w:val="left"/>
          <w:tab w:leader="none" w:pos="80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09" w:lineRule="exact"/>
        <w:rPr>
          <w:sz w:val="24"/>
          <w:szCs w:val="24"/>
          <w:color w:val="auto"/>
        </w:rPr>
      </w:pPr>
    </w:p>
    <w:p>
      <w:pPr>
        <w:ind w:left="808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114" w:lineRule="exact"/>
        <w:rPr>
          <w:sz w:val="24"/>
          <w:szCs w:val="24"/>
          <w:color w:val="auto"/>
        </w:rPr>
      </w:pPr>
    </w:p>
    <w:p>
      <w:pPr>
        <w:ind w:right="46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01" w:lineRule="exact"/>
        <w:rPr>
          <w:sz w:val="24"/>
          <w:szCs w:val="24"/>
          <w:color w:val="auto"/>
        </w:rPr>
      </w:pPr>
    </w:p>
    <w:p>
      <w:pPr>
        <w:ind w:right="12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01" w:lineRule="exact"/>
        <w:rPr>
          <w:sz w:val="24"/>
          <w:szCs w:val="24"/>
          <w:color w:val="auto"/>
        </w:rPr>
      </w:pPr>
    </w:p>
    <w:p>
      <w:pPr>
        <w:ind w:right="20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01" w:lineRule="exact"/>
        <w:rPr>
          <w:sz w:val="24"/>
          <w:szCs w:val="24"/>
          <w:color w:val="auto"/>
        </w:rPr>
      </w:pPr>
    </w:p>
    <w:p>
      <w:pPr>
        <w:ind w:right="22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83" w:lineRule="exact"/>
        <w:rPr>
          <w:sz w:val="24"/>
          <w:szCs w:val="24"/>
          <w:color w:val="auto"/>
        </w:rPr>
      </w:pPr>
    </w:p>
    <w:p>
      <w:pPr>
        <w:ind w:left="320"/>
        <w:spacing w:after="0" w:line="188" w:lineRule="exact"/>
        <w:tabs>
          <w:tab w:leader="none" w:pos="73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127" w:lineRule="exact"/>
        <w:rPr>
          <w:sz w:val="24"/>
          <w:szCs w:val="24"/>
          <w:color w:val="auto"/>
        </w:rPr>
      </w:pPr>
    </w:p>
    <w:p>
      <w:pPr>
        <w:ind w:right="280" w:firstLine="324"/>
        <w:spacing w:after="0" w:line="241"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last completed second quarter, the aggregate market value of the registrant’s common stock held by non-affiliates of the registrant was approximately $149.2 million based on the closing price of the registrant’s common stock, as reported by the Nasdaq Global Select Market, on such date.</w:t>
      </w:r>
    </w:p>
    <w:p>
      <w:pPr>
        <w:spacing w:after="0" w:line="12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January 30, 2026, 120,595,189 shares of common stock, $0.00001 par value, were outstanding.</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632460</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255270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238125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(the “Securities Act”),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197" w:lineRule="exact"/>
        <w:rPr>
          <w:sz w:val="20"/>
          <w:szCs w:val="20"/>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product candidates;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clinical trials of our product candidates and the reporting of the results from these trials;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of our product candidates and our expectations about their properties and therapeutic effects;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expectations related to manufacturing capabilities and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coverage and reimbursement of our product candidates, if approved;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regulatory filings and approvals for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9"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identify and consummate transactions with third-party partners to further develop, obtain marketing approval for and/or commercialize our product candidates, and earn revenue from such arrangements;</w:t>
      </w: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continued reliance on third parties;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macroeconomic conditions on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use of capital;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and needs for additional financing.</w:t>
      </w:r>
    </w:p>
    <w:p>
      <w:pPr>
        <w:spacing w:after="0" w:line="20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You should refer to Part I,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All brand names or trademarks appearing in this Annual Report, including KINect and RHOFADE, are the property of their respective owners. Unless the context requires otherwise, references in this report to “Aclaris,” the “Company,” “we,” “us,” and “our” refer to Aclaris Therapeutics,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20" w:type="dxa"/>
            <w:vAlign w:val="bottom"/>
            <w:gridSpan w:val="12"/>
          </w:tcPr>
          <w:p>
            <w:pPr>
              <w:ind w:left="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34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8340" w:type="dxa"/>
            <w:vAlign w:val="bottom"/>
            <w:gridSpan w:val="31"/>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7140" w:type="dxa"/>
            <w:vAlign w:val="bottom"/>
            <w:gridSpan w:val="2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62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666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7060" w:type="dxa"/>
            <w:vAlign w:val="bottom"/>
            <w:gridSpan w:val="2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3. 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7680" w:type="dxa"/>
            <w:vAlign w:val="bottom"/>
            <w:gridSpan w:val="28"/>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68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4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[Reserved]</w:t>
            </w:r>
          </w:p>
        </w:tc>
        <w:tc>
          <w:tcPr>
            <w:tcW w:w="7000" w:type="dxa"/>
            <w:vAlign w:val="bottom"/>
            <w:gridSpan w:val="2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504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17"/>
                <w:szCs w:val="17"/>
                <w:color w:val="auto"/>
              </w:rPr>
            </w:pPr>
          </w:p>
        </w:tc>
        <w:tc>
          <w:tcPr>
            <w:tcW w:w="134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46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0"/>
          </w:tcPr>
          <w:p>
            <w:pPr>
              <w:spacing w:after="0"/>
              <w:rPr>
                <w:sz w:val="17"/>
                <w:szCs w:val="17"/>
                <w:color w:val="auto"/>
              </w:rPr>
            </w:pPr>
          </w:p>
        </w:tc>
        <w:tc>
          <w:tcPr>
            <w:tcW w:w="132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412"/>
        </w:trPr>
        <w:tc>
          <w:tcPr>
            <w:tcW w:w="7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4820" w:type="dxa"/>
            <w:vAlign w:val="bottom"/>
            <w:tcBorders>
              <w:top w:val="single" w:sz="8" w:color="0000EE"/>
            </w:tcBorders>
            <w:gridSpan w:val="20"/>
          </w:tcPr>
          <w:p>
            <w:pPr>
              <w:spacing w:after="0"/>
              <w:rPr>
                <w:sz w:val="24"/>
                <w:szCs w:val="24"/>
                <w:color w:val="auto"/>
              </w:rPr>
            </w:pPr>
          </w:p>
        </w:tc>
        <w:tc>
          <w:tcPr>
            <w:tcW w:w="278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360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590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4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 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226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7620" w:type="dxa"/>
            <w:vAlign w:val="bottom"/>
            <w:gridSpan w:val="2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454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8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1420" w:type="dxa"/>
            <w:vAlign w:val="bottom"/>
            <w:tcBorders>
              <w:top w:val="single" w:sz="8" w:color="0000EE"/>
            </w:tcBorders>
            <w:gridSpan w:val="9"/>
          </w:tcPr>
          <w:p>
            <w:pPr>
              <w:spacing w:after="0"/>
              <w:rPr>
                <w:sz w:val="17"/>
                <w:szCs w:val="17"/>
                <w:color w:val="auto"/>
              </w:rPr>
            </w:pPr>
          </w:p>
        </w:tc>
        <w:tc>
          <w:tcPr>
            <w:tcW w:w="616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discovering and developing novel small and large molecule product candidates for immuno-inflammatory diseases. Our proprietary KINect drug discovery platform coupled with our integrated discovery approach to small and large molecules enables us to identify and advance product candidates designed to have superior target affinity, specificity and potency. We are seeking to identify and consummate transactions with third-party partners to further develop, obtain marketing approval for and/or commercialize our novel product candidates.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dedicated to developing a pipeline of novel product candidates to address the needs of patients with immuno-inflammatory diseases who lack satisfactory treatment options. Our approach to achieving this goal includes the following key elements:</w:t>
      </w:r>
    </w:p>
    <w:p>
      <w:pPr>
        <w:spacing w:after="0" w:line="172" w:lineRule="exact"/>
        <w:rPr>
          <w:sz w:val="20"/>
          <w:szCs w:val="20"/>
          <w:color w:val="auto"/>
        </w:rPr>
      </w:pPr>
    </w:p>
    <w:p>
      <w:pPr>
        <w:jc w:val="both"/>
        <w:ind w:left="1040" w:right="79" w:hanging="315"/>
        <w:spacing w:after="0" w:line="254"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discovery, research and development expertise. </w:t>
      </w:r>
      <w:r>
        <w:rPr>
          <w:rFonts w:ascii="Times New Roman" w:cs="Times New Roman" w:eastAsia="Times New Roman" w:hAnsi="Times New Roman"/>
          <w:sz w:val="18"/>
          <w:szCs w:val="18"/>
          <w:color w:val="auto"/>
        </w:rPr>
        <w:t>We have state-of-the-art capabilities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small molecule and antibody development, including cell and molecular biology, biochemistry, enzymology, biomarker development, immunology, translational research, in vivo efficacy models, structure-based drug design (“SBDD”), and bioanalytical, computational, and medicinal chemistry. In addition, our team of scientists and professionals has broad experience in clinical development and strategy across atopic, respiratory, inflammatory and immunologic diseases.</w:t>
      </w:r>
    </w:p>
    <w:p>
      <w:pPr>
        <w:spacing w:after="0" w:line="3"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innovative biologic product candidates targeting validated pathways. </w:t>
      </w:r>
      <w:r>
        <w:rPr>
          <w:rFonts w:ascii="Times New Roman" w:cs="Times New Roman" w:eastAsia="Times New Roman" w:hAnsi="Times New Roman"/>
          <w:sz w:val="18"/>
          <w:szCs w:val="18"/>
          <w:color w:val="auto"/>
        </w:rPr>
        <w:t>We are advancing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biologics programs comprising monoclonal and multispecific antibodies targeting well-characterized pathways in immuno-inflammatory diseases. Our approach leverages established biological targets while incorporating novel mechanisms and dual-targeting strategies to potentially enhance therapeutic outcomes. The biologics market has grown significantly, with monoclonal and bispecific antibodies representing a major segment of U.S. Food and Drug Administration (“FDA”) approved therapeutics. Our biologics pipeline includes bosakitug (ATI-045), an anti-thymic stromal lymphopoietin (“TSLP”) monoclonal antibody which has unique differentiation demonstrated by its low dissociation rate, long residence time and high potency. TSLP, a master regulator of type 2 (“Th2”) immune responses, is a broadly active key mediator in various inflammatory conditions, making it an attractive therapeutic target. We are also advancing ATI-052, a novel bispecific antibody that simultaneously targets both TSLP and interleukin-4 receptor (“IL-4Ra”), which blocks signaling of both IL-4 and IL-13, potentially offering enhanced efficacy through dual pathway inhibition. By pursuing both traditional monoclonal antibodies and innovative multispecific approaches, we aim to develop differentiated biological therapies that address significant unmet needs in immuno-inflammatory diseases.</w:t>
      </w:r>
    </w:p>
    <w:p>
      <w:pPr>
        <w:spacing w:after="0" w:line="5" w:lineRule="exact"/>
        <w:rPr>
          <w:rFonts w:ascii="Times New Roman" w:cs="Times New Roman" w:eastAsia="Times New Roman" w:hAnsi="Times New Roman"/>
          <w:sz w:val="18"/>
          <w:szCs w:val="18"/>
          <w:color w:val="auto"/>
        </w:rPr>
      </w:pPr>
    </w:p>
    <w:p>
      <w:pPr>
        <w:jc w:val="both"/>
        <w:ind w:left="1040" w:right="79" w:hanging="315"/>
        <w:spacing w:after="0" w:line="251"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Create small molecule medicines through kinome innovation utilizing our proprietary KINect platform. </w:t>
      </w:r>
      <w:r>
        <w:rPr>
          <w:rFonts w:ascii="Times New Roman" w:cs="Times New Roman" w:eastAsia="Times New Roman" w:hAnsi="Times New Roman"/>
          <w:sz w:val="18"/>
          <w:szCs w:val="18"/>
          <w:color w:val="auto"/>
        </w:rPr>
        <w:t>We are exploring the kinome, a subset of the human genome and one of the largest of all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 families, responsible for signal transduction controlling cellular responses. Kinases are key regulators of cell function in many cell processes. By transferring phosphates to other molecules, kinases can induce a cellular response to environmental cues. Dysregulation and/or activating/blocking mutations in kinases can disrupt normal cell signaling and lead to diseases including autoimmune, cardiovascular, inflammatory, and metabolic disorders, making them important targets for drug development. There are over 80 kinase inhibitors approved by the FDA on the market; however, these drugs only target a small fraction of the kinome, with many clinically relevant kinase targets lacking validated inhibitors. In 2025, the kinase inhibitors market was valued at over $67 billion and is expected to grow to over $94 billion by 2030. Our proprietary KINect platform enables us to identify potential small molecule product candidates through a unique combination of our proprietary chemical library of kinase inhibitors, our novel approach to inhibitor modalities, our expertise in SBDD and our custom kinase assays. The KINect platform is designed with the goal of expanding the druggable kinome, solving class challenges including affinity and selectivity, and providing a faster path to high quality inhibitor assets. We are focused on novel approaches toward the design and development of kinase inhibitors that target key enzymes involved in chronic inflammation and autoimmune disease. For example, we are developing a portfolio of highly potent, oral small molecule covalent inhibitors of IL-2-inducible tyrosine kinase (“ITK”). These include ATI-2138, an ITK and Janus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kinase (“JAK”) 3 dual inhibitor, and JAK-sparing ITK inhibitors, including ATI-9494.</w:t>
      </w:r>
    </w:p>
    <w:p>
      <w:pPr>
        <w:spacing w:after="0" w:line="27" w:lineRule="exact"/>
        <w:rPr>
          <w:sz w:val="20"/>
          <w:szCs w:val="20"/>
          <w:color w:val="auto"/>
        </w:rPr>
      </w:pPr>
    </w:p>
    <w:p>
      <w:pPr>
        <w:jc w:val="both"/>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Broaden our drug development pipeline internally and externally. </w:t>
      </w:r>
      <w:r>
        <w:rPr>
          <w:rFonts w:ascii="Times New Roman" w:cs="Times New Roman" w:eastAsia="Times New Roman" w:hAnsi="Times New Roman"/>
          <w:sz w:val="18"/>
          <w:szCs w:val="18"/>
          <w:color w:val="auto"/>
        </w:rPr>
        <w:t>A key element of our strategy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 and expand our pipeline of product candidates. We may seek to in-license or acquire additional product candidates, in addition to developing assets in-house.</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and consummate transactions with third-party partners for our product candidates. </w:t>
      </w:r>
      <w:r>
        <w:rPr>
          <w:rFonts w:ascii="Times New Roman" w:cs="Times New Roman" w:eastAsia="Times New Roman" w:hAnsi="Times New Roman"/>
          <w:sz w:val="18"/>
          <w:szCs w:val="18"/>
          <w:color w:val="auto"/>
        </w:rPr>
        <w:t>We intend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identify and consummate transactions with third-party partners to further develop, obtain marketing approval for and/or commercialize our product candidates.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Key Product Candidate Pipeline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pipeline of key product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2811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Bosakitug, an Investigational, Novel Anti-TSLP Monoclonal Antibody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Bosakitug (ATI-045) is an investigational, novel, humanized anti-TSLP monoclonal antibody that specifically binds to human TSLP, blocking its interaction with the receptor complex and disrupting signal transduction. This mechanism prevents immune cells targeted by TSLP from releasing proinflammatory cytokines. Bosakitug has potential best-in-class properties, including a very high affinity to TSLP, very high potency, an extremely low dissociation rate from TSLP leading to long residence time and enhanced neutralization activity, and a half-life that can potentially support an extended dosing interval. The high affinity and low dissociation observed with bosakitug may be the result of unique biparatopic binding to both the N- and C-terminus of TSLP. Bosakitug has the potential to treat a variety of atopic, immunologic and respiratory diseases. We exclusively license global rights (excluding Mainland China, Macau, Hong Kong and Taiwan (“Greater China”)) to bosakitug from Biosion, Inc. (“Biosion”).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 Phase 2a, single-arm, proof-of-concept trial in 22 U.S. patients with moderate to severe atopic dermatitis conducted by Biosion, 94% of patients receiving bosakitug achieved at least a 75% improvement in the Eczema Area and Severity Index (“EASI”), 65% of patients achieved EASI-90, and 88% of patients achieved an Investigator’s Global Assessment (“IGA”) score of 0 or 1 (clear or almost clear skin), at week 26 (n=17). Bosakitug demonstrated a strong pharmacodynamic profile and was generally well-tolerated with no serious adverse events reported. The most common treatment-emergent adverse event was headache (22.7% of patients). Grade 1 injection site reactions, primarily tenderness, occurred in 47.6% of patients.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June 2025, we initiated a Phase 2 trial to investigate the efficacy, safety, tolerability, pharmacokinetics (“PK”) and pharmacodynamics (“PD”) of bosakitug compared to placebo in approximately 96 patients with moderate to severe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atopic dermatitis. The primary endpoint is percent change from baseline in EASI at week 24. Secondary endpoints at week 24 include EASI response (EASI-50, EASI-75, EASI-90), validated IGA response, body surface area (“BSA”) response, and Peak Pruritus Numerical Rating Scale (“PP-NRS”) score, relative to baseline. We expect to announce top-line data in the second half of 2026. Bosakitug is also currently being studied in severe asthma, chronic rhinosinusitis with nasal polyps and moderate to severe chronic obstructive pulmonary disease in China by CTTQ. CTTQ licenses bosakitug from Biosion in Greater China. Our clinical focus for bosakitug will remain on dermatological immuno-inflammatory indications and further global (excluding Greater China) development in respiratory indications will be dependent on entering into potential partnerships.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ATI-2138, an Investigational, Oral Covalent ITK/JAK3 Inhibitor</w:t>
      </w:r>
    </w:p>
    <w:p>
      <w:pPr>
        <w:spacing w:after="0" w:line="27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ATI-2138 is a highly potent and selective novel investigational dual inhibitor of ITK and JAK3 for the potential treatment of T cell-mediated autoimmune diseases. The unique dual pharmacology of ATI-2138 regulates T cell development and function both upstream (ITK) and downstream (JAK3), which may provide a more potent and complete anti-inflammatory response.</w:t>
      </w:r>
    </w:p>
    <w:p>
      <w:pPr>
        <w:spacing w:after="0" w:line="20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July 2025, we announced positive top-line results from our open-label, single-arm Phase 2a trial of ATI-2138 in patients with moderate to severe atopic dermatitis. The trial met the primary and key secondary endpoints. The trial was designed to investigate the safety, tolerability, PK, efficacy, and PD of 10 mg of ATI-2138 administered twice daily (“BID”) for 12 weeks. The trial enrolled 14 patients in the United States, with 12 patients completing treatment and up to 10 patients available for the per protocol analysis. The primary endpoints were safety related parameters and the secondary endpoints included PD and efficacy related measures. No meaningful safety findings were observed, and ATI-2138 was very well tolerated. We observed consistent and rapid improvement across the efficacy assessments, with a mean and median improvement in EASI score at week 12 of 61% and 77%, respectively. Excluding one patient determined to be a statistical molecular outlier by more than four standard deviations who demonstrated systemic findings inconsistent with atopic dermatitis alone including significant non-lesional inflammation and who was not fully compliant with study drug administration, the mean and median improvement in EASI score at week 12 was 77% and 82%, respectively. At week 12, 63% of patients experienced a greater than or equal to 4-point improvement (which is considered a clinically meaningful response) in PP-NRS. Additional clinical results presented at the European Academy of Dermatology and Venerology conference in September 2025 further clarified the rapid improvements across efficacy measures, including week 4 decreases of 64% in BSA response (p&lt;0.001), 77% in EASI score (p&lt;0.001), and 45% in PP-NRS (p&lt;0.01). These results were sustained through end of treatment at week 12. ATI-2138 demonstrated near complete and sustained inhibition and occupancy of ITK ranging from approximately 90% at peak to 60% to 70% at trough, and a high level of inhibition of JAK3. Proteome and transcriptome lesional skin tap strip analyses showed significant ATI-2138-dependent reduction of multiple inflammatory pathways associated with ITK, including strong downregulation of Th2, Th17, and T cell receptor (“TCR”) pathways, along with the Th1 pathway and fibrosis-related markers. The decreases in inflammatory and fibrosis-related markers positively and strongly correlated with improvements in clinical scores.</w:t>
      </w:r>
    </w:p>
    <w:p>
      <w:pPr>
        <w:spacing w:after="0" w:line="18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are exploring the potential of ATI-2138 in additional indications that are relevant to the dual pharmacology and mechanism of action, including certain alopecias and other inflammatory disorders.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ATI-052, an Investigational, Novel Anti-TSLP and Anti-IL-4Ra Bispecific Antibody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ATI-052 is an investigational, novel, humanized anti-TSLP and anti-IL-4Ra bispecific antibody that exhibits high binding affinity to and dual blockage of both the upstream TSLP receptor signal transduction and downstream IL-4Ra activation thereby inhibiting this central proinflammatory pathway. ATI-052 binds TSLP, which sits at the top of the inflammatory cascade; by targeting IL-4Ra, it blocks downstream signaling of both IL-4 and IL-13, two anti-inflammatory cytokines, which are critical components of Th2-mediated immunity and play a crucial role in the pathogenesis of inflammation and allergic diseases. ATI-052 utilizes the same TSLP antigen-binding fragment (“Fab”) as bosakitug but is engineered to bind more tightly to the neonatal Fc receptor (“FcRn”), potentially extending its half-life. In addition, the AQQ mutation in the Fc limits effector functionality, reducing off-target binding and potential toxicity. ATI-052 has the potential to treat a variety of atopic, immunologic and respiratory diseases. We exclusively license global rights (excluding Greater China) to ATI-052 from Biosion.</w:t>
      </w:r>
    </w:p>
    <w:p>
      <w:pPr>
        <w:spacing w:after="0" w:line="194" w:lineRule="exact"/>
        <w:rPr>
          <w:sz w:val="20"/>
          <w:szCs w:val="20"/>
          <w:color w:val="auto"/>
        </w:rPr>
      </w:pPr>
    </w:p>
    <w:p>
      <w:pPr>
        <w:jc w:val="both"/>
        <w:ind w:left="60" w:right="79" w:firstLine="762"/>
        <w:spacing w:after="0" w:line="282" w:lineRule="auto"/>
        <w:rPr>
          <w:sz w:val="20"/>
          <w:szCs w:val="20"/>
          <w:color w:val="auto"/>
        </w:rPr>
      </w:pPr>
      <w:r>
        <w:rPr>
          <w:rFonts w:ascii="Times New Roman" w:cs="Times New Roman" w:eastAsia="Times New Roman" w:hAnsi="Times New Roman"/>
          <w:sz w:val="18"/>
          <w:szCs w:val="18"/>
          <w:color w:val="auto"/>
        </w:rPr>
        <w:t>In January 2026, we announced positive interim results from our Phase 1a single ascending dose (“SAD”) and multiple ascending dose (“MAD”) portion of our first-in-human study evaluating ATI-052 in healthy volunteers. The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randomized, blinded, placebo-controlled study enrolled 48 participants across four SAD cohorts (receiving single doses of 30, 120, 360, or 720 mg or placebo) and two MAD cohorts (receiving five doses of 240 or 480 mg or placebo administered every seven days). ATI-052 demonstrated a favorable safety and tolerability profile across all dose levels, with treatment-emergent adverse events (“TEAEs”) being predominantly Grade 1 in severity. The most common TEAE was mild, self-resolving injection site redness, and notably, no conjunctivitis was observed in any cohort. No Grade 3 TEAEs related to study drug, serious adverse events, or discontinuations due to adverse events occurred. The PK profile showed dose proportionality across the pharmacologic dose range with an effective half-life of at least 26 days. PD results demonstrated robust target engagement with concentration-dependent inhibition of IL-4 and TSLP stimulated CCL17/TARC at all doses tested. At 360 mg, ATI-052 achieved complete and sustained inhibition through week three, with near complete inhibition of TSLP stimulated CCL17/TARC observed at least six weeks after administration. These combined PK and PD characteristics support the potential for dosing intervals of up to every three months. We expect to announce complete top-line results from the SAD and MAD cohorts in the second quarter of 2026.</w:t>
      </w:r>
    </w:p>
    <w:p>
      <w:pPr>
        <w:spacing w:after="0" w:line="19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Based on these positive results, we initiated a Phase 1b proof-of-concept trial in atopic dermatitis in January 2026 and a Phase 1b proof-of-concept trial in asthma in February 2026, with top-line data from both studies expected in the second half of 2026. We plan to initiate a Phase 2b program for ATI-052 with asthma and atopic dermatitis as potential first indications, in the second half of 2026.</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ATI-9494, an Investigational, Oral Covalent ITK Inhibitor, and Other JAK-Sparing ITK Inhibitors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developing ATI-9494, a highly potent, oral, covalent, investigational dual inhibitor of ITK and Resting Lymphocyte Kinase (TXK), and other covalent JAK-sparing ITK inhibitors with differentiated pharmacological properties and selectivity profiles. These inhibitors have the potential to differentially modulate T cell biology across a broad range of disease indications with extended half-lives and potential best-in-class potency, ITK occupancy, and ITK activation at low doses. We expect to file an IND application for ATI-9494 in the second half of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Discovery and Preclinical Programs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conduct small molecule drug discovery through KINect, our proprietary drug discovery platform. We also engage in discovery efforts for novel, injectable, multi-specific antibodies. Through our integrated discovery approach, we can progress product candidates from concept through lead optimization, employing robust screening cascades and protein characterization techniques to identify molecules with desired therapeutic properties.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KINect platform allows us to address challenges associated with difficult to drug kinases including selectivity and biochemical efficiency, through a unique combination of our proprietary chemical library of kinase inhibitors, our novel approaches to inhibitor modalities, our expertise in SBDD, and our custom kinase assays. Our approach involves the following mechanisms: (1) reversible and irreversible covalent inhibitors, (2) molecular glue/complex targeted inhibitors,</w:t>
      </w:r>
    </w:p>
    <w:p>
      <w:pPr>
        <w:spacing w:after="0" w:line="3" w:lineRule="exact"/>
        <w:rPr>
          <w:sz w:val="20"/>
          <w:szCs w:val="20"/>
          <w:color w:val="auto"/>
        </w:rPr>
      </w:pPr>
    </w:p>
    <w:p>
      <w:pPr>
        <w:jc w:val="both"/>
        <w:ind w:left="60" w:right="59" w:hanging="10"/>
        <w:spacing w:after="0" w:line="253" w:lineRule="auto"/>
        <w:tabs>
          <w:tab w:leader="none" w:pos="3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specific inhibitors, and (4) targeted protein degraders. These novel approaches are currently being utilized to prosecute additional validated, difficult to drug kinase targets with the goal of demonstrating broad target utility. Our small molecule discovery efforts center on targeting kinases that play pivotal roles in various inflammatory and autoimmune pathways.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Reversible and Irreversible Covalent Inhibitors </w:t>
      </w:r>
      <w:r>
        <w:rPr>
          <w:rFonts w:ascii="Times New Roman" w:cs="Times New Roman" w:eastAsia="Times New Roman" w:hAnsi="Times New Roman"/>
          <w:sz w:val="18"/>
          <w:szCs w:val="18"/>
          <w:color w:val="auto"/>
        </w:rPr>
        <w:t>(small molecules inhibiting kinases by forming irreversible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bonds with a cysteine at the active site): Central to the KINect platform is our novel chemical library of several hundred compounds specifically designed to target non-catalytic cysteine residues near the adenosine triphosphate (“ATP”) binding site of more than 300 kinases. Furthermore, using state-of-the-art drug modeling software, we are able to elaborate the structure of viable drug-like compounds culled from our library and extensive in silico libraries to optimize reversible binding to the target kinase and allow them to selectively form a covalent bond with the cysteine residue near the ATP site on the specific kinase target. This approach delivers inhibitors exhibiting enhanced potency, selectivity and biochemical efficiency thereby allowing pharmacological access to ‘hard to drug’ kinases. We then assess the function of the newly created compounds with physiologically relevant custom assays that effectively translate to human diseases.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Molecular Glue/Complex Targeted Inhibitors </w:t>
      </w:r>
      <w:r>
        <w:rPr>
          <w:rFonts w:ascii="Times New Roman" w:cs="Times New Roman" w:eastAsia="Times New Roman" w:hAnsi="Times New Roman"/>
          <w:sz w:val="18"/>
          <w:szCs w:val="18"/>
          <w:color w:val="auto"/>
        </w:rPr>
        <w:t>(small molecules that stabilize kinases in an inactive confirmation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ready them for degradation): Targeting kinase complexes with small molecule drugs designed to either stabilize (molecular glue) and/or generate inactive complexes provides several potential advantages over those designed against a single protein target including: (1) utilizing a more physiological translatable complex as the target, (2) providing novel protein interfaces devoid of competing endogenous ligands to target, and (3) identifying new chemical matter and</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modalities for difficult to drug kinase targets.</w:t>
      </w:r>
    </w:p>
    <w:p>
      <w:pPr>
        <w:spacing w:after="0" w:line="221"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Tissue Specific Inhibitors </w:t>
      </w:r>
      <w:r>
        <w:rPr>
          <w:rFonts w:ascii="Times New Roman" w:cs="Times New Roman" w:eastAsia="Times New Roman" w:hAnsi="Times New Roman"/>
          <w:sz w:val="18"/>
          <w:szCs w:val="18"/>
          <w:color w:val="auto"/>
        </w:rPr>
        <w:t>(small molecules that inhibit kinases in target tissues with minimal systemic exposure):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Target-specific inhibitors are drugs, often small molecules, designed to block specific proteins (like kinases) or pathways driving diseases including immunologic and inflammatory disorders. We believe that such inhibitors provide a unique opportunity to target certain diseases with highly specific compounds which may allow us to overcome potential systemic safety concerns and raise the efficacy ceiling.</w:t>
      </w:r>
    </w:p>
    <w:p>
      <w:pPr>
        <w:spacing w:after="0" w:line="17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Targeted Protein Degraders </w:t>
      </w:r>
      <w:r>
        <w:rPr>
          <w:rFonts w:ascii="Times New Roman" w:cs="Times New Roman" w:eastAsia="Times New Roman" w:hAnsi="Times New Roman"/>
          <w:sz w:val="18"/>
          <w:szCs w:val="18"/>
          <w:color w:val="auto"/>
        </w:rPr>
        <w:t>(small molecules that trigger the degradation of specific proteins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ubiquitin/proteasome pathway): We believe targeted protein degraders represent a powerful approach to develop drugs against biologically important but difficult to drug proteins including kinases. This approach harnesses cellular protein clearing machinery to selectively remove proteins from the cell in contrast to inhibiting their function. This approach is particularly useful for kinases that have both catalytic and scaffolding functions for which inhibitors will only partially impact biology. We are exploring selective degraders of kinase targets with multiple biological functions in addition to the catalytic activity.</w:t>
      </w:r>
    </w:p>
    <w:p>
      <w:pPr>
        <w:spacing w:after="0" w:line="187" w:lineRule="exact"/>
        <w:rPr>
          <w:sz w:val="20"/>
          <w:szCs w:val="20"/>
          <w:color w:val="auto"/>
        </w:rPr>
      </w:pPr>
    </w:p>
    <w:p>
      <w:pPr>
        <w:jc w:val="both"/>
        <w:ind w:left="60" w:right="59" w:firstLine="637"/>
        <w:spacing w:after="0" w:line="255" w:lineRule="auto"/>
        <w:rPr>
          <w:sz w:val="20"/>
          <w:szCs w:val="20"/>
          <w:color w:val="auto"/>
        </w:rPr>
      </w:pPr>
      <w:r>
        <w:rPr>
          <w:rFonts w:ascii="Times New Roman" w:cs="Times New Roman" w:eastAsia="Times New Roman" w:hAnsi="Times New Roman"/>
          <w:sz w:val="18"/>
          <w:szCs w:val="18"/>
          <w:color w:val="auto"/>
        </w:rPr>
        <w:t>Our discovery efforts to develop multi-specific antibodies are focused on generating antibodies with superior target affinity, specificity, and potency utilizing combinations of (a) two or more clinically validated targets with non-overlapping biology, (b) clinically validated targets with novel biology, and/or (c) synergistic target combinations in an effort to address shortcomings of single drug administration. This complementary approach to our small molecule programs enables us to pursue optimal therapeutic modalities for each target and indication of interest. For example, we are progressing several bispecific antibodies utilizing the bosakitug anti-TSLP binding region paired with binding fragments targeting other undisclosed cytokine signaling pathways.</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intend to evaluate both internal and external development options, including strategic partnerships, for these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assets.</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Investigational Product Candidates</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Lepzacitinib, an Investigational Topical “Soft” JAK 1/3 Inhibitor</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Lepzacitinib (ATI-1777) is an investigational topical “soft” JAK 1/3 inhibitor for the potential treatment of atopic dermatitis and potentially other dermatologic conditions. “Soft” JAK inhibitors are designed to be topically applied and active in the skin, but rapidly metabolized and inactivated when they enter the bloodstream, which may result in low systemic exposure. We are currently seeking a global development and commercialization partner for this program (excluding Greater China). In 2022, we granted Pediatrix Therapeutics, Inc. (“Pediatrix”) exclusive rights to develop and commercialize lepzacitinib in Greater China.</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manufacturing facilities. We rely on third parties for the manufacture of preclinical and clinical supplies for our product candidates.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major pharmaceutical, biotechnology and specialty pharmaceutical companies, academic institutions and governmental agencies and public and private research institutions. Our product candidates, if approved, will compete with existing treatments and new treatments that may become available in the future.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With respect to bosakitug, we are aware of a number of companies with monoclonal antibodies also targeting the TSLP ligand, and one company targeting the TSLP receptor, including Amgen and AstraZeneca (Tezepelumab, AMG-104), KeyMed Biosciences (CM326), Uniquity Bio (solrikitug), Windward Bio and Harbour BioMed and Kelun-Biotech (WIN378/HBM9378), GlaxoSmithKline (“GSK”) (GSK5784283), Generate Biomedicines (GB-0895), Qyuns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Therapeutics (QX008N), and UpStream Bio (verekutig).</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With respect to ATI-052, our primary competitors include those developing multi-specific antibodies designed to inhibit both TSLP and IL-4Rα activity, such as Innovent Biologics (IBI3002) and Pfizer (PF-07275315).</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Competitors for ATI-052 may also include those developing or commercializing multi-specific antibodies targeting two or more of TSLP, IL-4, and IL-13. For example, we are aware of Regeneron Pharmaceuticals and Sanofi (dupilumab), Sanofi (lunsekimig), Pfizer (PF-07264660), and KeyMed Biosciences (CM512).</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With respect to bosakitug and ATI-052 as a potential treatment for atopic dermatitis, there are several different types of therapies in the atopic dermatitis market, such as biologics, oral and topical corticosteroids, oral and topical calcineurin inhibitors, oral mycophenolate products, JAK inhibitors, other oral antibiotics and antihistamines and phototherapy. There are also several prescription, non-prescription and over-the-counter topical products, including PDE4 inhibitors, utilized to treat atopic dermatitis. These types of drugs are produced and sold, or are approved for marketing, by large pharmaceutical companies, including AbbVie (upadacitinib), Incyte (ruxolitinib), LEO Pharma A/S (delgocitinib, tralokinumab), Pfizer (crisaborole; abrocitinib), Eli Lilly (lebrikizumab), Dermavant Sciences (tapinarof), Galderma (nemolizumab), and Regeneron Pharmaceuticals and Sanofi (dupilumab). In addition, we are aware of a number of companies developing and conducting clinical trials for investigational product candidates that could compete with bosakitug and ATI-052 in each case if approved, for the treatment of atopic dermatitis. With respect to ATI-052 as a potential treatment for asthma, existing therapeutics for asthma include controller medications, reliever medications, as well as biologics from Genentech and Novartis (omalizumab), Sanofi and Regeneron (dupilumab), GSK (mepolizumab, depemokimab), Amgen and AstraZeneca (tezepelumab), and AstraZeneca (benralizumab), with other products in development.</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With respect to ATI-2138, there are several companies that are developing or have approved drugs that target either ITK or JAK that could compete with ATI-2138, if approved. For example, Corvus Pharmaceuticals is currently developing a selective, covalent inhibitor of ITK (soquelitinib). In addition, several companies are developing or have commercialized JAK inhibitors that may compete with ATI-2138, if approved, including Pfizer (tofacitinib, abrocitinib, and ritlecitinib), Eli Lilly (baricitinib), AbbVie (upadacitinib), and Sun Pharmaceutical (deuruxolitinib).</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commercial opportunity for our product candidates, if approved, could be reduced or eliminated if our competitors develop and commercialize drugs that are safer, more effective, have fewer or less severe side effects, are more convenient or are less expensive than any drug we may develop. Our competitors also may obtain FDA or other regulatory approval for their product candidates more rapidly than our potential third-party partners may obtain approval for our product candidates, which could result in our competitors establishing a strong market position before our product candidates are able to enter the market.</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and preclinical and clinical development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development programs.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upon our ability to obtain and maintain proprietary protection for our product candidates and to operate without infringing the proprietary rights of others. We seek to avoid the latter by monitoring patents and publications that may affect our business, and to the extent we identify such developments, evaluating and taking appropriate courses of action. Our policy is to protect our proprietary position by, among other methods, filing patent applications on inventions that are important to the development and conduct of our business with the U.S. Patent and Trademark Office (“USPTO”) and its foreign counterparts.</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With respect to our TSLP monoclonal antibody development program, we exclusively license an issued patent and pending applications in the United States, European Union, Japan and South Korea directed to TSLP monoclonal</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antibodies, including bosakitug. Our issued U.S. patent expires in 2043 with its patent term adjustment, and the pending applications in the United States and foreign countries, if issued, would naturally expire in 2040, subject to any applicable patent term adjustment or extension that may be available in a particular country. We also exclusively license a pending international patent application filed under the Patent Cooperation Treaty (“PCT”) directed to methods of using TSLP monoclonal antibodies for the treatment of atopic dermatitis, which, if issued, would naturally expire in 2045, subject to any applicable patent term adjustment or extension that may be available in a particular country.</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With respect to our ITK inhibitor development program, we own numerous issued patents and pending applications in the United States and foreign countries directed to novel inhibitors of ITK, including ATI-2138 and ATI-9494, and methods of use that expire, or would expire, between 2035 and 2046, subject to any applicable patent term adjustment or extension that may be available in a particular country. For example, we own multiple U.S. patent and pending U.S., European Union and other foreign country applications directed to ATI-2138 and analogs thereof and methods of using the same, which, if issued, would expire in 2039, subject to any applicable adjustment or extension. We also own a pending PCT application directed to methods of using ATI-2138, which if issued, would expire in 2043, subject to any applicable adjustment or extension. We also own pending PCT applications directed to crystal forms of ATI-2138 and to methods of synthesizing such ITK inhibitors, including ATI-2138, which if issued, would expire in 2044, and to methods of using ATI-2138 for treating atopic dermatitis, which if issued, would expire in 2045, in each case subject to any applicable adjustment or extension. We also own provisional applications on novel JAK-sparing inhibitors of ITK, including ATI-9494, which if issued, would expire in 2046.</w:t>
      </w:r>
    </w:p>
    <w:p>
      <w:pPr>
        <w:spacing w:after="0" w:line="19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With respect to our bispecific antibody development program, we exclusively license pending applications in the United States, Europe and other foreign countries directed to such bispecific antibodies, including ATI-052, which, if issued, would naturally expire in 2043, subject to any applicable patent term adjustment or extension that may be available in a particular country.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 In most countries in which we file, the patent term is 20 years from the earliest date of filing a non-provisional patent application. In the United States, a patent term may be shortened if a patent is terminally disclaimed over another patent or as a result of delays in patent prosecution by the patentee, and a patent’s term may be lengthened by patent term adjustment, which compensates a patentee for administrative delays by the USPTO in granting a patent or by patent term extension, which compensates a patentee for delays at the FDA. The patent term of a European patent is 20 years from its filing date; however, unlike in the United States, the European patent is not subject to patent term adjustments. The European Union does have a compensation program similar to patent term extension called supplementary protection certificate that would effectively extend patent protection for up to five years.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use other forms of protection, such as trademark, copyright, and/or trade secret protection, to protect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positions for our product candidates, where available.</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also require confidentiality or service agreements from third parties that receive our confidential information or materials.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 and License Agreements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Biosion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November 2024, we entered into an exclusive license agreement (the “Biosion Agreement”) with Biosion, pursuant to which we received exclusive rights to develop, manufacture and commercialize bosakitug and ATI-052 worldwide, excluding Greater China. In connection with the Biosion Agreement, we also entered into a collaboration agreement (the “CTTQ Agreement”, and together with the Biosion Agreement, the “Biosion Agreements”) with Biosion and CTTQ, a licensee of bosakitug in Greater China.</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Biosion Agreements, we paid, in the aggregate, $30.0 million in upfront cash consideration, $4.5 million for the reimbursement of certain development costs, plus $6.2 million for the reimbursement of certain development costs and drug product material. We also issued warrants in the aggregate to purchase 14,281,985 shares of our common stock with an exercise price of $0.00001 per share. The warrants are immediately exercisable, subject to any required overseas direct investment filings, and terminate when exercised in full. We also agreed to pay, in the aggregate (i) up to $125 million upon the achievement of specified regulatory milestones beginning with product approval, (ii) up to $795 million upon the achievement of specified sales milestones, (iii) a tiered low-to-mid single digit royalty based upon a percentage of annual net sales, subject to specified reductions, and (iv) a portion of any sublicense consideration received from granting sublicense or similar rights under any of the rights or licenses granted to us.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Confluence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2017, we entered into an Agreement and Plan of Merger (the “Confluence Agreement”) with Confluence, Aclaris Life Sciences, Inc., our wholly owned subsidiary (“Merger Sub”), and Fortis Advisors LLC, as representative of the former equity holders of Confluence. Pursuant to the terms of the Confluence Agreement, Merger Sub merged with and into Confluence, with Confluence surviving as our wholly owned subsidiary, resulting in our acquisition of 100% of the outstanding shares of Confluence. As part of the Confluence acquisition we acquired, among others, our investigational product candidates lepzacitinib and ATI-2138.</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Confluence Agreement, we agreed to pay the former Confluence equity holders aggregate remaining contingent consideration of up to $75.0 million based upon the achievement of specified regulatory and commercial milestones set forth in the Confluence Agreement. In addition, we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 In addition to the payments described above, if we sell, license or transfer any of the intellectual property acquired from Confluence pursuant to the Confluence Agreement to a third party, we will be obligated to pay the former Confluence equity holders a portion of any consideration received from such sale, license, or transfer in specified circumstances.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Governmental authorities in the United States, at the federal, state and local level, and analogous authorities in other countries extensively regulate, among other things, the research, development, testing, manufacture, safety surveillance, efficacy, quality control, labeling, packaging, distribution, record keeping, promotion, storage, advertising, distribution, marketing, sale, export and import, and the reporting of safety and other post-market information of products such as the ones we are developing. A drug or biological product candidate must be approved by the FDA before it may be legally promoted in the United States and by comparable foreign regulatory authorities before marketing in other jurisdictions. The process of obtaining regulatory approvals and the subsequent compliance with applicable federal, state, local and foreign statutes and regulations require the expenditure of substantial time and resources. Failure to comply with the applicable U.S. requirements at any time during the product development process, approval process or after approval may subject an applicant and/or sponsor to a variety of administrative or judicial sanctions, including refusal by regulatory authorities to approve applications, withdrawal of an approval, imposition of a clinical hold, import/export delays, issuance of warning letters and untitled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United States Government Regulation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NDA and BLA Approval Processes</w:t>
      </w:r>
    </w:p>
    <w:p>
      <w:pPr>
        <w:spacing w:after="0" w:line="20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United States, the FDA regulates drugs under the Federal Food, Drug, and Cosmetic Act (“FDCA”) and its implementing regulations, and biologics under the FDCA, the Public Health Service Act (“PHSA”) and their implementing regulations. </w:t>
      </w:r>
      <w:r>
        <w:rPr>
          <w:rFonts w:ascii="Times New Roman" w:cs="Times New Roman" w:eastAsia="Times New Roman" w:hAnsi="Times New Roman"/>
          <w:sz w:val="18"/>
          <w:szCs w:val="18"/>
          <w:color w:val="231F20"/>
        </w:rPr>
        <w:t>Drugs and biologics also are subject to other federal, state, local and foreign statutes and regulations.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process required by the FDA before new drug and biologic product candidates may be marketed in the United States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generally involves the following:</w:t>
      </w:r>
    </w:p>
    <w:p>
      <w:pPr>
        <w:spacing w:after="0" w:line="198" w:lineRule="exact"/>
        <w:rPr>
          <w:sz w:val="20"/>
          <w:szCs w:val="20"/>
          <w:color w:val="auto"/>
        </w:rPr>
      </w:pPr>
    </w:p>
    <w:p>
      <w:pPr>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w:t>
      </w: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take effect before clinical trials may begin;</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clinical testing may be initiated at the clinical site;</w:t>
      </w: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good clinical practice (“GCP”) regulations to establish the safety and efficacy of the proposed drug product for each indication;</w:t>
      </w:r>
    </w:p>
    <w:p>
      <w:pPr>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(“NDA”) for a drug or a Biologics License Application (“BLA”) for a biologic, after completion of all pivotal trials;</w:t>
      </w: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or BLA to file the application for review;</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NDA or BLA by an FDA advisory committee, if applicable;</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drug or biologic or its components are produced to assess compliance with current good manufacturing practices (“cGMP”) and regulations to assure that the facilities, methods and controls are adequate to preserve the product’s identity, strength, quality and purity;</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or BLA; and</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potential requirements for a risk evaluation and mitigation strategy and post-approval studies required by the FDA.</w:t>
      </w:r>
    </w:p>
    <w:p>
      <w:pPr>
        <w:spacing w:after="0" w:line="18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Once a drug or biological product candidate is identified for development, it enters the preclinical or nonclinical testing stage. Preclinical studies include laboratory evaluations of product chemistry, pharmacology, toxicity and formulation. An IND sponsor must submit the results of the preclinical studies, together with manufacturing information and analytical data, to the FDA as part of the IND. Some preclinical studies may continue even after the IND is submitted. In addition to including the results of the preclinical studies, the IND will also include a protocol detailing, among other things, the objectives of the clinical trial, the parameters to be 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clinical trials or all clinical trials conducted under the IND.</w:t>
      </w:r>
    </w:p>
    <w:p>
      <w:pPr>
        <w:spacing w:after="0" w:line="12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current GCP regulations. They must be conducted under protocols detailing the objectives of the trial, dosing procedures, research subject selection and exclusion criteria, and the safety and effectiveness criteria to be evaluated. Each protocol must be submitted to the FDA as part of the IND, and progress reports detailing the status of the clinical trials must be submitted to the FDA annually, as well as safety reporting. An IRB for each site participating in the clinical trial must review and approve the protocol before the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w:t>
      </w:r>
    </w:p>
    <w:p>
      <w:pPr>
        <w:spacing w:after="0" w:line="1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Clinical trials are typically conducted in three sequential phases that may overlap or be combined:</w:t>
      </w:r>
    </w:p>
    <w:p>
      <w:pPr>
        <w:spacing w:after="0" w:line="154" w:lineRule="exact"/>
        <w:rPr>
          <w:sz w:val="20"/>
          <w:szCs w:val="20"/>
          <w:color w:val="auto"/>
        </w:rPr>
      </w:pPr>
    </w:p>
    <w:p>
      <w:pPr>
        <w:jc w:val="both"/>
        <w:ind w:left="720" w:right="79" w:hanging="319"/>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1. </w:t>
      </w:r>
      <w:r>
        <w:rPr>
          <w:rFonts w:ascii="Times New Roman" w:cs="Times New Roman" w:eastAsia="Times New Roman" w:hAnsi="Times New Roman"/>
          <w:sz w:val="18"/>
          <w:szCs w:val="18"/>
          <w:color w:val="auto"/>
        </w:rPr>
        <w:t>The drug or biological product candidate is initially introduced into healthy human subjects and tested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safety, dosage tolerance, absorption, metabolism, distribution and elimination. In the case of some products for severe or life-threatening diseases, such as cancer, and especially when the product may be inherently too toxic to ethically administer to healthy volunteers, the initial human testing is often conducted in patients who already have the condition.</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2. </w:t>
      </w:r>
      <w:r>
        <w:rPr>
          <w:rFonts w:ascii="Times New Roman" w:cs="Times New Roman" w:eastAsia="Times New Roman" w:hAnsi="Times New Roman"/>
          <w:sz w:val="18"/>
          <w:szCs w:val="18"/>
          <w:color w:val="auto"/>
        </w:rPr>
        <w:t>Clinical trials are performed on a limited patient population intended to identify possible adverse effects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safety risks, to preliminarily evaluate the efficacy of the drug or biological product candidate for specific targeted diseases and to determine dosage tolerance and optimal dosage.</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3. </w:t>
      </w:r>
      <w:r>
        <w:rPr>
          <w:rFonts w:ascii="Times New Roman" w:cs="Times New Roman" w:eastAsia="Times New Roman" w:hAnsi="Times New Roman"/>
          <w:sz w:val="18"/>
          <w:szCs w:val="18"/>
          <w:color w:val="auto"/>
        </w:rPr>
        <w:t>If a drug or biological product candidate is found to be potentially effective and to have an acceptable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profile in Phase 2 clinical trials, the clinical trial program will be expanded to Phase 3 clinical trials to further evaluate dosage, to provide substantial evidence of efficacy, or purity and potency, and to further test for safety in an expanded patient population at geographically dispersed clinical trial sites. These trials are intended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to establish the overall risk-benefit ratio of the drug or biological product candidate and provide an adequate basis for product approval and labeling claims.</w:t>
      </w:r>
    </w:p>
    <w:p>
      <w:pPr>
        <w:spacing w:after="0" w:line="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Phase 4 clinical trials are conducted after approval to gain additional experience from the treatment of patients in the intended therapeutic indication and to document a clinical benefit in the case of drugs or biologics approved under accelerated approval regulations, or when otherwise requested by the FDA in the form of post-market requirements or commitments. Failure to promptly conduct any required Phase 4 clinical trials could result in withdrawal of approval of an NDA or BLA.</w:t>
      </w:r>
    </w:p>
    <w:p>
      <w:pPr>
        <w:spacing w:after="0" w:line="11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candidate has been associated with unexpected serious harm to patients. In some cases, clinical trials are overseen by an independent group of qualified experts organized by the trial sponsor, which is called the clinical monitoring board or data safety monitoring board. This group provides authorization for whether or not a trial may move forward at designated check points. These decisions are based on the limited access to data from the ongoing trial.</w:t>
      </w:r>
    </w:p>
    <w:p>
      <w:pPr>
        <w:spacing w:after="0" w:line="12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During the development of a new drug or biologic, sponsors are given opportunities to meet with the FDA at certain points. These points may be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trial results and present their plans for the pivotal Phase 3 clinical trial or trials that they believe will support the approval of the new drug or biologic.</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sponsors usually complete additional animal safety studies and also develop additional information about the chemistry and physical characteristics of the drug or biologic and finalize a process for manufacturing commercial quantities of the product in accordance with cGMP requirements. The manufacturing process must be capable of consistently producing quality batches of the drug or biologic and the manufacturer must develop methods for testing the quality, purity and potency of the drug or biologic. Additionally, appropriate packaging must be selected and tested, and stability studies must be conducted to demonstrate that the drug or biological product candidate does not undergo unacceptable deterioration over its proposed shelf-life.</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and other control mechanisms, proposed labeling and other relevant information are submitted to the FDA as part of an NDA or BLA requesting approval to market the product. The submission of an NDA or BLA is subject to the payment of user fees, but a waiver of such fees may be obtained under specified circumstances. The FDA reviews all NDAs and BLAs submitted for a period of 60 days to ensure that they are sufficiently complete for substantive review before it accepts them for filing. It may request additional information rather than accept an NDA or BLA for filing. In this event, the NDA or BLA must be resubmitted with the additional information. The resubmitted application also is subject to review before the FDA accepts it for filing.</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the approval process, the FDA also will determine whether a risk evaluation and mitigation strategy (“REMS”) is necessary to assure the safe use of the product. If the FDA concludes a REMS is needed, the sponsor of the NDA or BLA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Once the submission is accepted for filing, the FDA begins an in-depth review. The FDA reviews an NDA to determine, among other things, whether a product is safe and effective for its intended use, and a BLA to determine, among other things, whether the product is safe, pure and potent for its intended use. As part of the NDA and BLA review, the FDA also evaluates whether the manufacturing of the drug or biologic product candidate is cGMP-compliant to assure and preserve the product’s identity, strength, quality, and purity. The FDA may refer the NDA or BLA to an advisory committee for review and recommendation as to whether the application should be approved and under what conditions. The FDA is not bound by the recommendation of an advisory committee, but it generally follows such recommendations. NDAs and BLAs receive either standard or priority review. A drug or biological product candidate representing a significant improvement in treatment, prevention or diagnosis of disease may receive priority review. A priority review</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designation is intended to direct overall attention and resources to the evaluation of such applications, and to shorten the FDA’s goal for taking action on the NDA or BLA from ten months to six months from filing of the NDA or BLA. After the FDA evaluates the NDA or BLA and conducts inspections of manufacturing facilities where the drug or biological product candidate and/or its active pharmaceutical ingredient will be produced, it may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data and information are submitted, the FDA may ultimately decide that the NDA or BLA does not satisfy the criteria for approval.</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and other governmental agencies, including, among other things, requirements relating to recordkeeping, periodic reporting, product sampling and distribution, advertising and promotion, and reporting of adverse experiences with the product. Once an approval is granted, the FDA may withdraw the approval if compliance with regulatory requirements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manufacturing changes and additional labeling claims, are subject to further FDA review and approval. There are also continuing annual user fee requirements for products, as well as new application fees for certain supplemental applications.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Drug and biologic manufacturers and other entities involved in the manufacture and distribution of approved products are required to register their establishments with the FDA and certain state agencies and are subject to periodic unannounced inspections by the FDA and some state agencies for compliance with GMP regulations and other laws. The FDA has promulgated specific requirements for drug and biologic cGMPs.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Failure to comply with the applicable U.S. requirements at any time during the product development process or approval process, or after approval, may subject us to administrative or judicial sanctions, any of which could have a material adverse effect on us. These sanctions could include:</w:t>
      </w:r>
    </w:p>
    <w:p>
      <w:pPr>
        <w:spacing w:after="0" w:line="176"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 approval;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or detention, or refusal to permit the import or export of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 or product recalls; or</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disgorgement, or civil or criminal penalties.</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biological products that are placed on the market. Drugs and biologics may be promoted only for the approved indications and in accordance with the provisions of the approved label.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prescribe legally available products for off-label uses. The FDA does not regulate the behavior of physicians in their choice of treatments, but the FDA does restrict sponsor communications on the subject of off-label use.</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FDA regulations and guidance are often issued revised or reinterpreted by the agency in ways that may significantly affect our business and our product candidates. It is impossible to predict whether legislative changes will be enacted, or whether FDA regulations, guidance or interpretations will be issued or changed or what the impact of such changes, if any, may be.</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Non-patent Exclusivity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FDCA provides a five-year period of non-patent marketing exclusivity within the United States to the first applicant to obtain approval of an NDA for a new chemical entity (“NCE”). A drug is an NCE if the FDA has not previously approved any other new drug containing the same active moiety, which is the molecule or ion responsible for the action of the drug substance. If market exclusivity is granted for an NCE, during the exclusivity period, the FDA may not accept for review or approve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prohibits the FDA from approving an ANDA or a 505(b)(2) NDA submitted by another company with overlapping conditions associated with the new clinical investigations for the three-year period. Clinical investigation exclusivity does not prohibit the FDA from approving ANDAs for drugs containing the original active agent. Five-year and three-year exclusivity will not delay the submission or approval of an NDA for the same drug. However, an applicant submitting an NDA would be required to conduct or obtain a right of reference to all of the preclinical studies and adequate and well-controlled clinical trials necessary to demonstrate safety and effectiveness.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Biosimilars and Exclusivity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in the PHSA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as applicable, analytical studies, animal studies, and a clinical study or studies. Interchangeability means that a product is biosimilar to the reference product and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established an exclusivity period for biosimilars approved as interchangeable products. Substitution at the pharmacy level of biosimilar products deemed to be interchangeable is governed by state pharmacy law.</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protection. This six-month exclusivity, which runs from the end of other exclusivity protection, may be granted based on the voluntary completion of a pediatric study in accordance with an FDA-issued “Written Request” for such a study.</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Regulation Outside of the United States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Even if we obtain FDA approval for a drug or biological product candidate, we must obtain approval by the comparable regulatory authorities of countries outside of the United States before we can commence clinical trials in such countries, and our potential third-party partners must obtain approval of the regulators of such countries or economic areas, such as the European Union, before they may market any of our product candidates in those countries or areas. The approval process and requirements governing the conduct of clinical trials, product licensing and promotion, pricing and reimbursement vary greatly by geographic region, and the time may be longer or shorter than that required for FDA approval.</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European Economic Area (“EEA”) which is composed of the Member States of the European Union plus Norway, Iceland and Liechtenstein, medicinal products can only be commercialized after obtaining a Marketing Authorization (“MA”).</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are two types of MAs:</w:t>
      </w:r>
    </w:p>
    <w:p>
      <w:pPr>
        <w:spacing w:after="0" w:line="225" w:lineRule="exact"/>
        <w:rPr>
          <w:sz w:val="20"/>
          <w:szCs w:val="20"/>
          <w:color w:val="auto"/>
        </w:rPr>
      </w:pPr>
    </w:p>
    <w:p>
      <w:pPr>
        <w:jc w:val="both"/>
        <w:ind w:left="720" w:right="79" w:hanging="319"/>
        <w:spacing w:after="0" w:line="25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which is issued by the European Commission through the Centralized Procedure, based on the opinion of the Committee for Medicinal Products for Human Use (“CHMP”) of the European Medicines Agency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1"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EEA, upon receiving marketing authorization, NCEs generally receive eight years of data exclusivity and an additional two years of market exclusivity. If granted, data exclusivity prevents regulatory authorities in the EEA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EEA’s regulatory authorities to be an NCE, and products may not qualify for data exclusivity.</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Other Health Care Laws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current and future activities, as well as our potential third-party partners’ activities, may, directly or indirectly, expose us and them to broadly applicable fraud and abuse and other health care laws and regulations, including, without limitation, the federal Anti-Kickback Statute and the federal civil False Claims Act, that may constrain the business or financial arrangements and relationships through which any products for which marketing approval is obtained is sold, marketed and distributed. In addition, we and our potential third-party partners may be subject to transparency laws and patient privacy regulation by the federal government and by the U.S. states and foreign jurisdictions in which we or they conduct business.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or lease of any</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good, facility, item or service for which payment may be made under a federal health 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 care covered business, the Anti-Kickback Statute has been violated.</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activities relating to the sale and marketing of products are subject to scrutiny under such laws.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prohibits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Like the Anti-Kickback Statute, the Affordable Care Act amended the intent standard for the health care fraud statute under HIPAA such that a person or entity no longer needs to have actual knowledge of the statute or specific intent to violate it in order to have committed a violation.</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may be broader in scope and may apply regardless of payor, in addition to items and services reimbursed under Medicaid and other state programs. Additionally, to the extent that a product is sold in a foreign country, the seller may be subject to similar foreign laws.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legislation imposing marketing restrictions and transparency requirements on pharmaceutical manufacturers has been enacted at the state and federal levels. For example, the Affordable Care Act imposed, among other things, annual reporting requirements to the Centers for Medicare &amp; Medicaid Services (“CMS”) for covered manufacturers for certain payments and other transfers of value provided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Certain states also mandate implementation of compliance programs, impose restrictions on drug manufacturer marketing practices, require registration of certain employees engaged in marketing activities in the location, and/or require the tracking and reporting of gifts, compensation and other remuneration to health care professionals, including physicians.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(“HITECH”) and their implementing regulations, among other things, imposes standards relating to the privacy and security of individually identifiable health information on HIPAA covered entities, which include certain healthcare providers, healthcare clearing houses and health plans, and individuals and entities that provide services on their behalf that involve individually identifiable health information, known as business associates, as well as their covered subcontractors.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Failure to comply with these laws, where applicable, can result in the imposition of significant penalties, including, without limitation, administrative, civil, and criminal penalties, damages, fines, disgorgement, imprisonment, contractual damages, reputational harm, diminished profits and future earnings, the curtailment or restructuring of our operations, exclusion from participation in federal and state health care programs, additional reporting requirements and oversight if we become subject to a corporate integrity agreement or similar agreement to resolve allegations of non-compliance with these laws and individual imprisonment.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Health Care Reform</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significant legislative initiatives to contain health care costs. For example, in March 2010, the Affordable Care Act was passed, which has had, and is expected to continue to have, a significant impact on the health care industry. The Affordable Care Act was designed to, among other things, expand coverage for the uninsured and at the same time contain overall health care costs.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have been executive branch, judicial and Congressional challenges and amendments to certain aspects of the Affordable Care Act. For example, on July 4, 2025, the One Big Beautiful Bill Act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We expect that additional United States federal healthcare reform measures will be adopted in the future, any of which could limit the amounts that the federal government will pay for healthcare products and services.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For example, in August 2011, the Budget Control Act of 2011, among other things, included aggregate reductions in Medicare payments to providers of 2% per fiscal year, which began in 2013 and will stay in effect through 2032 unless additional Congressional action is taken.</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payment methodologies, among other things. These actions and policies may significantly reduce U.S. drug prices, potentially impacting manufacturers’ global pricing strategies and profitability, while increasing their operational costs and compliance risks. In June 2024,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the United States Supreme Court greatly reduced judicial deference to regulatory agencies, which could increase successful legal challenges to federal regulations affecting our or our potential partners’ operations. Congress may introduce and ultimately pass health care related legislation that could impact the drug approval process and make changes to the Medicare Drug Price Negotiation Program.</w:t>
      </w:r>
    </w:p>
    <w:p>
      <w:pPr>
        <w:spacing w:after="0" w:line="200" w:lineRule="exact"/>
        <w:rPr>
          <w:sz w:val="20"/>
          <w:szCs w:val="20"/>
          <w:color w:val="auto"/>
        </w:rPr>
      </w:pPr>
    </w:p>
    <w:p>
      <w:pPr>
        <w:spacing w:after="0" w:line="20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Any such importation plans, if implemented, may result in lower drug prices for products covered by those programs.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Existing and future federal and state health care reform measures could harm our future revenue. Additional legislative actions may be taken in the future which may change current regulations, guidance and interpretations. The impact of such actions on our business, if any, cannot presently be determined.</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The Hatch Waxman Amendments to the FDCA</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Orange Book Listing</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seeking approval for a drug through an NDA, applicants are required to list with the FDA each patent whose claims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an application covered by Section 505(b)(2) of the FDCA. An ANDA provides for marketing of a drug product that has the same active ingredients, generally in the same strengths and dosage form, as the listed drug and has been shown through PK testing to be bioequivalent to the listed drug. Drugs approved in this way are commonly referred to as “generic equivalents” to the listed drug and can often be substituted by pharmacists under prescriptions written for the original listed drug. Other than the requirement for bioequivalence testing, ANDA applicants are generally not required to conduct, or submit results of, preclinical studies or clinical tests to prove the safety or effectiveness of their drug product. Section 505(b)(2) applications provide for marketing of a drug product that may have the same active ingredients as the listed drug and contains full safety and effectiveness data as an NDA, but at least some of this information comes from studies not conducted by or for the applicant. This alternate regulatory pathway enables the applicant to rely, in part, on the FDA’s findings of safety and efficacy for an existing product, or published literature, in support of its application. The FDA may then approve the new product candidate for all or some of the labeled indications for which the referenced product has been approved, as well as for any new indication sought by the 505(b)(2) applicant.</w:t>
      </w:r>
    </w:p>
    <w:p>
      <w:pPr>
        <w:spacing w:after="0" w:line="12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ANDA or Section 505(b)(2)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or Section 505(b)(2) applicant may also elect to submit a statement certifying that its proposed ANDA label does not contain, or carves out, any language regarding a patented method of use rather than certify to such listed method of use patent. If the applicant does not challenge the listed patents by filing a certification that the listed patent is invalid or will not be infringed by the new product, the ANDA or Section 505(b)(2) application will not be approved until all the listed patents claiming the referenced product have expired.</w:t>
      </w:r>
    </w:p>
    <w:p>
      <w:pPr>
        <w:spacing w:after="0" w:line="12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is called a Paragraph IV certification. If the ANDA or Section 505(b)(2) applicant has provided a Paragraph IV certification to the FDA, the applicant must also send notice of the Paragraph IV certification to the NDA and patent holders once the ANDA or Section 505(b)(2) application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Section 505(b)(2) application until the earliest of 30 months, expiration of the patent, settlement of the lawsuit, and a decision in the infringement case that is favorable to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ANDA or Section 505(b)(2) applicant. This prohibition is generally referred to as the 30-month stay. Thus, approval of an ANDA or 505(b)(2) NDA could be delayed for a significant period of time depending on the patent certification the applicant makes and the reference drug sponsor’s decision to initiate patent litigation.</w:t>
      </w:r>
    </w:p>
    <w:p>
      <w:pPr>
        <w:spacing w:after="0" w:line="10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ANDA or Section 505(b)(2) application also will not be approved until any applicable non-patent exclusivity listed in the Orange Book for the referenced product has expired.</w:t>
      </w:r>
    </w:p>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after NDA approval or BLA licensure, owners of relevant drug patents may apply for up to a five-year patent extension, which provides patent term restoration as compensation for the patent term lost during the FDA regulatory review process for the first permitted commercial marketing of a drug product. The Drug Price Competition and Patent Term Restoration Act of 1984 (the “Hatch-Waxman Act”), permits a patent term extension of up to five years beyond the expiration of the patent. The allowable patent term extension is calculated as half of the drug’s testing phase, which is the time between the IND submission becoming effective and the NDA or BLA submission, and all of the review phase, which is the time between NDA or BLA submission and approval, up to a maximum extension of five years. The time can be shortened if the FDA determines that the applicant did not pursue approval with due diligence. Patent extension cannot extend the remaining term of a patent beyond a total of 14 years from the date of product approval and only one patent applicable to an approved drug may be extended.</w:t>
      </w:r>
    </w:p>
    <w:p>
      <w:pPr>
        <w:spacing w:after="0" w:line="1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other foreign jurisdictions to extend the term of a patent that covers an approved drug. For example, in Japan, it may be possible to extend the patent term for up to five years and in the European Union, it may be possible to obtain a supplementary protection certificate that would effectively extend patent protection for up to five years.</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the success of our product candidates, if approved, will depend on obtaining and maintaining coverage and adequate reimbursement as a prescription treatment or in the absence of coverage and adequate reimbursement, on the extent to which patients will be willing to pay out of pocket for our prescription drug products.</w:t>
      </w:r>
    </w:p>
    <w:p>
      <w:pPr>
        <w:spacing w:after="0" w:line="10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Third-party payors determine which prescription drug products they will cover and establish reimbursement levels. Reimbursement by a third-party payor may depend upon a number of factors, including: the third-party payor’s determination that a product is safe, effective, and medically necessary; appropriate for the specific patient; cost-effective; supported by peer-reviewed medical journals or current clinical practice guidelines; and whether there are competitive products, either branded or generic, and the pricing of those products. Many private third-party payors, such as managed care plans, manage access to drug products’ coverage partly to control costs for their plans, and may use drug formularies and medical policies to limit their exposure. Obtaining and maintaining favorable reimbursement can be a time-consuming and expensive process, and our potential third-party partners may not be able to negotiate or continue to negotiate reimbursement or pricing terms for our product candidates, if approved, with third-party payors at levels that are profitable to us, or at all. Further coverage policies and third-party reimbursement rates may change at any time. Even if favorable coverage and reimbursement status is attained for one or more products which receive regulatory approval, less favorable coverage policies and reimbursement rates may be implemented in the future.</w:t>
      </w:r>
    </w:p>
    <w:p>
      <w:pPr>
        <w:spacing w:after="0" w:line="10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to uncertainties surrounding coverage policies, there are periodic changes to reimbursement. Third-party payors regularly update reimbursement amounts and also from time to time revise the methodologies used to determine reimbursement amounts. Accordingly, these updates could impact the demand for our product candidates, if approved. Our product candidates, if approved, may not be considered cost effective, and government and third-party private health insurance coverage and reimbursement may not be available to patients or sufficient to allow our potential third-party partners to sell our product candidates, if approved, on a competitive and profitable basis. Further, the containment of healthcare costs also has become a priority of federal, state and foreign governments and the prices of drugs have been a focus in this effort.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 addition, increasing emphasis on managed care in the United States will continue to put pressure on the pricing of pharmaceutical products. Cost control initiatives could decrease the price that our potential third-party partners could receive for any of</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product candidates, if approved, and could adversely affect our profitability. We cannot predict how pending and future health care legislation will impact our business, and any changes in coverage and reimbursement that further restricts coverage of our product candidates could harm our business.</w:t>
      </w:r>
    </w:p>
    <w:p>
      <w:pPr>
        <w:spacing w:after="0" w:line="10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Foreign governments also have their own health care reimbursement systems, which vary significantly by country and region, and we cannot be sure that coverage and adequate reimbursement will be made available with respect to our product candidates, if approved, under any foreign reimbursement system. In some foreign countries, including major markets in the European Union and Japan, the pricing of prescription pharmaceuticals is subject to governmental control. In these countries, pricing negotiations with governmental authorities can take up to 12 months or longer after the receipt of regulatory marketing approval for a product. To obtain reimbursement or pricing approval in some countries, we may be required to conduct a pharmacoeconomic study that compares the cost-effectiveness of our product to other available therapies. Such pharmacoeconomic studies can be costly and the results uncertain. Our business could be harmed if reimbursement of our product candidates, if approved, is unavailable or limited in scope or amount or if pricing is set at unsatisfactory levels.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73 total employees, of which 69 were full-time employees. None of our employees are represented by a labor union or covered by a collective bargaining agreement. We consider our relationship with our employees to be good. In addition to our employees, we engage consultants and independent contractors to provide flexibility in support of our business execution and objectives.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July 2012. Our principal executive offices are located at 701 Lee Road, Suite 103, Wayne, PA 19087. Our telephone number is (484) 324-7933. Our common stock is listed on the Nasdaq Global Select Market under the symbol “ACRS.”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internet website address is www.aclaristx.com. In addition to the information contained in this Annual Report, information about us can be found on our website. Our website and information included in or linked to our website are not part of this Annual Report.</w:t>
      </w:r>
    </w:p>
    <w:p>
      <w:pPr>
        <w:spacing w:after="0" w:line="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 (“SEC”). The SEC also maintains a website that contains our reports, proxy and information statements and other information. The address of the SEC’s website is www.sec.gov.</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You should carefully consider the following risks and all other information contained in this Annual Report, as well as general economic and business risks, together with any other documents we file with the SEC. If any of the following events actually occur or risks actually materialize, it could have a material adverse effect on our business, operating results and financial condition and cause the trading price of our common stock to decline.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1040" w:right="79" w:hanging="315"/>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jc w:val="both"/>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history as a clinical-stage biopharmaceutical company developing and partnering our product candidates, which may make it difficult to evaluate the success of our business to date and to assess our future viability.</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our product candidates and identify and consummate transactions with third-party partners to further develop, obtain marketing approval for and/or commercialize our product candidates, or experience significant delays in doing so, our business will be harmed.</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third parties for clinical trials, manufacturing, and development support. Their performance impacts our timelines and success.</w:t>
      </w:r>
    </w:p>
    <w:p>
      <w:pPr>
        <w:jc w:val="both"/>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product candidates, or if the scope of the patent protection obtained is not sufficiently broad, our competitors could develop and commercialize technology and drugs similar or identical to ours, and our ability to successfully identify and consummate transactions with potential third-party partners, to commercialize our technology and product candidates may be impaired.</w:t>
      </w:r>
    </w:p>
    <w:p>
      <w:pPr>
        <w:spacing w:after="0" w:line="1"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drugs before or more successfully than we do.</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Our Financial Position and Capital Needs</w:t>
      </w:r>
    </w:p>
    <w:p>
      <w:pPr>
        <w:spacing w:after="0" w:line="225" w:lineRule="exact"/>
        <w:rPr>
          <w:sz w:val="20"/>
          <w:szCs w:val="20"/>
          <w:color w:val="auto"/>
        </w:rPr>
      </w:pPr>
    </w:p>
    <w:p>
      <w:pPr>
        <w:ind w:left="60" w:right="29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net losses. We incurred net losses of $64.9 million and $132.1 million for the years ended December 31, 2025 and 2024, respectively. As of December 31, 2025, we had an accumulated deficit of $967.8 million. We have financed our operations over the last several years primarily from sales of equity securities and non-dilutive financing.</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the development of our product candidates, including preclinical studies and clinical trials. Our net losses may fluctuate significantly from quarter to quarter and year to year. We expect to continue to incur significant expenses and operating losses in the near term as we:</w:t>
      </w:r>
    </w:p>
    <w:p>
      <w:pPr>
        <w:spacing w:after="0" w:line="176" w:lineRule="exact"/>
        <w:rPr>
          <w:sz w:val="20"/>
          <w:szCs w:val="20"/>
          <w:color w:val="auto"/>
        </w:rPr>
      </w:pPr>
    </w:p>
    <w:p>
      <w:pPr>
        <w:ind w:left="1040" w:right="79" w:hanging="315"/>
        <w:spacing w:after="0" w:line="26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consummate transactions with third-party partners to further develop, obtain marketing approval for and/or commercialize our product candidates;</w:t>
      </w: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product candidates;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and develop additional product candidates;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legal, accounting, investor relations and other administrative expenses in operating as a public company.</w:t>
      </w:r>
    </w:p>
    <w:p>
      <w:pPr>
        <w:spacing w:after="0" w:line="181"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To become and remain profitable, we must succeed in a range of challenging activities, including completing preclinical testing and clinical trials of our product candidates and identifying and consummating transactions with third-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party partners for the further development and/or commercialization of our product candidates, as well as discovering and developing additional product candidates. We are in the early stages of most of these activities. We may never succeed in these activities and, even if we do, may never earn revenue from our product candidates that is significant enough to achieve profitability.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any of our product candidates, our revenue will be dependent, in part, upon our ability to identify and consummate transactions with third-party partners to further develop, obtain marketing approval for and/or commercialize those product candidates. Further, we will be dependent on our potential third-party partners’ ability to obtain marketing approval and successfully commercialize the product, upon the size of the markets in the territories where marketing approval is obtained, the accepted price for the product, and the ability to obtain coverage and reimbursement, if any. If we fail to identify and enter into partnerships with third parties to further develop, obtain marketing approval for and/or commercialize our product candidates, any partnerships we enter into do not result in the successful development, marketing approval for and commercialization of our product candidates, the number of addressable patients is not as significant as estimated by our potential third-party partners, the indication approved by regulatory authorities is narrower than expected, or the treatment population is narrowed by competition, physician choice or treatment guidelines, we may not earn significant revenue from agreements with potential third-party partners for such product candidates, even if the product candidates are approved for marketing.</w:t>
      </w:r>
    </w:p>
    <w:p>
      <w:pPr>
        <w:spacing w:after="0" w:line="19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expected, or if there are any delays in the initiation and completion of our clinical trials, the development of any of our product candidates or the identification and consummation of transactions with third-party partners to further develop, obtain marketing approval for and/or commercialize our product candidates, our expenses could increase.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or continue our operations. A decline in the value of our company could also cause you to lose all or part of your investment.</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identify and consummate transactions with third-party partners to further develop, obtain marketing approval for and/or commercialize our product candidates. We expect to incur significant expenses and operating losses for the foreseeable future as we advance our product candidates from discovery through preclinical and clinical development. In addition, we may not be able to identify and consummate transactions with third-party partners to further develop, obtain marketing approval for and/or commercialize our product candidates, and our product candidates, if approved, may not achieve commercial success. Furthermore, we incur and expect to continue to incur significant costs associated with operating as a public company, including legal, accounting, investor relations and other expenses.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$151.4 million. We believe that our existing cash, cash equivalents and marketable securities as of the date of this Annual Report will enable us to fund our operating expenses and capital expenditure requirements for a period greater than 12 months from the date of this report based on our current operating assumptions. These assumptions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products or product candidates, and changes in regulation. Our future capital requirements will depend on many factors, including:</w:t>
      </w:r>
    </w:p>
    <w:p>
      <w:pPr>
        <w:spacing w:after="0" w:line="192"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product candidates that we may pursue;</w:t>
      </w:r>
    </w:p>
    <w:p>
      <w:pPr>
        <w:spacing w:after="0" w:line="27"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conducting preclinical and clinical studies for our product candidates;</w:t>
      </w: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product candidates and technologies;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right="79" w:hanging="315"/>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ind w:left="1040" w:right="7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consummate transactions with third-party partners to further develop, obtain marketing approval for and/or commercialize our product candidates; and</w:t>
      </w: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earn revenue from licenses to, or partnerships or other arrangements with, third parties.</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develop our product candidates and to support our discovery efforts. Additional funds may not be available on a timely basis, on commercially acceptable terms, or at all, and such funds, if raised, may not be sufficient to enable us to continue to implement our long-term business strategy. Our ability to raise additional capital may be adversely impacted by potential worsening global economic conditions caused by a variety of factors including geopolitical tensions, tariff policies, and inflationary pressures. If we are unable to raise sufficient additional capital or generate revenue from transactions with potential third-party partners for the development and/or commercialization of our product candidates, we could be forced to curtail our planned operations.</w:t>
      </w:r>
    </w:p>
    <w:p>
      <w:pPr>
        <w:spacing w:after="0" w:line="185"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intellectual property, potential future revenue streams or product candidates.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earn substantial revenue, we expect to finance our cash needs through a combination of equity offerings, debt financings and license and partnership agreements or other non-dilutive financing. To the extent that we raise additional capital through the sale of equity securities or convertible debt securities, our stockholders’ ownership interest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partnerships, strategic alliances or marketing, distribution or licensing arrangements with potential third-party partners, we may be required to relinquish valuable rights to our technologies, intellectual property, potential future revenue streams, or product candidates or grant licenses on terms that may not be favorable to us. If we are unable to raise additional funds through equity or debt financings or other arrangements with third parties when needed, we may be required to delay, limit, reduce or terminate our drug development efforts or grant rights to third parties to develop technologies, intellectual property, or product candidates that we would otherwise prefer to develop ourselves.</w:t>
      </w:r>
    </w:p>
    <w:p>
      <w:pPr>
        <w:spacing w:after="0" w:line="18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history as a clinical-stage biopharmaceutical company developing and partnering our product candidates, which may make it difficult to evaluate the success of our business to date and to assess our future viability.</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operations over the last several years have been largely focused on undertaking preclinical studies and conducting clinical trials, drug discovery, acquiring new product candidates and related intellectual property, and raising capital. We have had limited time to demonstrate our ability to successfully develop, manufacture and identify and consummate transactions with third-party partners to further develop, obtain marketing approval for and/or commercialize our product candidates. Consequently, any predictions you make about our future success or viability may not be as accurate as they could be if we had a longer history of being a clinical-stage biopharmaceutical company focused on developing and partnering product candidates. We may also encounter unforeseen expenses, difficulties, complications, delays and other known or unknown factors in achieving our business objectives.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estimates of market opportunity and forecasts may prove to be smaller than we believe.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projections of addressable patient populations within the indications we pursue are based on our estimates and independent market research, industry and general publications obtained from third parties. Market opportunity estimates and growth forecasts included in this Annual Report and the other documents that we file with the SEC are subject to significant uncertainty and are based on assumptions and estimates. These estimates, which have been derived from a variety of sources, including scientific literature and market research, may prove to be incorrect. Further, new studies may change the estimated incidence or prevalence of these indications. Additionally, the potentially addressable patient population may not ultimately be amenable to treatment with</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product candidates. Our market opportunity may also be limited by current and future 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Potential Commercialization of Our Product Candidates</w:t>
      </w:r>
    </w:p>
    <w:p>
      <w:pPr>
        <w:spacing w:after="0" w:line="225" w:lineRule="exact"/>
        <w:rPr>
          <w:sz w:val="20"/>
          <w:szCs w:val="20"/>
          <w:color w:val="auto"/>
        </w:rPr>
      </w:pPr>
    </w:p>
    <w:p>
      <w:pPr>
        <w:jc w:val="both"/>
        <w:ind w:left="60" w:right="79"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Biologics carry unique risks and uncertainties, which could have a negative impact on future results of operations.</w:t>
      </w:r>
    </w:p>
    <w:p>
      <w:pPr>
        <w:spacing w:after="0" w:line="159" w:lineRule="exact"/>
        <w:rPr>
          <w:sz w:val="20"/>
          <w:szCs w:val="20"/>
          <w:color w:val="auto"/>
        </w:rPr>
      </w:pPr>
    </w:p>
    <w:p>
      <w:pPr>
        <w:jc w:val="both"/>
        <w:ind w:left="60" w:right="59" w:firstLine="551"/>
        <w:spacing w:after="0" w:line="252" w:lineRule="auto"/>
        <w:rPr>
          <w:sz w:val="20"/>
          <w:szCs w:val="20"/>
          <w:color w:val="auto"/>
        </w:rPr>
      </w:pPr>
      <w:r>
        <w:rPr>
          <w:rFonts w:ascii="Times New Roman" w:cs="Times New Roman" w:eastAsia="Times New Roman" w:hAnsi="Times New Roman"/>
          <w:sz w:val="18"/>
          <w:szCs w:val="18"/>
          <w:color w:val="auto"/>
        </w:rPr>
        <w:t>The successful discovery, development, manufacturing and sale of biologics is a long, expensive and uncertain process subject to more complex regulatory requirements than small molecule drugs.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The types of analytical development data necessary for verifying structural biocomparability when changing manufacturing sites is also more difficult and complex to generate for biologics than for other pharmaceutical products.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In addition, the regulatory scrutiny of and landscape for the chemistry, manufacturing and analytical controls information is also considered to be more complex for biologics than other pharmaceutical products. Failure to successfully discover, develop and manufacture our biological product candidates would adversely impact our business and future results of operations.</w:t>
      </w:r>
    </w:p>
    <w:p>
      <w:pPr>
        <w:spacing w:after="0" w:line="192" w:lineRule="exact"/>
        <w:rPr>
          <w:sz w:val="20"/>
          <w:szCs w:val="20"/>
          <w:color w:val="auto"/>
        </w:rPr>
      </w:pPr>
    </w:p>
    <w:p>
      <w:pPr>
        <w:jc w:val="both"/>
        <w:ind w:left="60" w:right="59"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develop additional product candidates, including through leveraging our KINect drug discovery platform.</w:t>
      </w:r>
    </w:p>
    <w:p>
      <w:pPr>
        <w:spacing w:after="0" w:line="159" w:lineRule="exact"/>
        <w:rPr>
          <w:sz w:val="20"/>
          <w:szCs w:val="20"/>
          <w:color w:val="auto"/>
        </w:rPr>
      </w:pPr>
    </w:p>
    <w:p>
      <w:pPr>
        <w:jc w:val="both"/>
        <w:ind w:left="60" w:right="59" w:firstLine="551"/>
        <w:spacing w:after="0" w:line="261" w:lineRule="auto"/>
        <w:rPr>
          <w:sz w:val="20"/>
          <w:szCs w:val="20"/>
          <w:color w:val="auto"/>
        </w:rPr>
      </w:pPr>
      <w:r>
        <w:rPr>
          <w:rFonts w:ascii="Times New Roman" w:cs="Times New Roman" w:eastAsia="Times New Roman" w:hAnsi="Times New Roman"/>
          <w:sz w:val="18"/>
          <w:szCs w:val="18"/>
          <w:color w:val="auto"/>
        </w:rPr>
        <w:t>A key element of our approach is to identify and develop additional novel product candidates, including through leveraging our KINect drug discovery engine. Our platform is powered by a unique combination of our proprietary chemical library of kinase inhibitors, our novel approaches to inhibitor modalities, our expertise in SBDD, and our custom kinase assays. Our ability to identify and develop additional product candidates is subject to numerous risks, including that:</w:t>
      </w:r>
    </w:p>
    <w:p>
      <w:pPr>
        <w:spacing w:after="0" w:line="180" w:lineRule="exact"/>
        <w:rPr>
          <w:sz w:val="20"/>
          <w:szCs w:val="20"/>
          <w:color w:val="auto"/>
        </w:rPr>
      </w:pPr>
    </w:p>
    <w:p>
      <w:pPr>
        <w:ind w:left="720" w:right="7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discovery methods and our KINect platform may not be successful in identifying additional product candidates;</w:t>
      </w:r>
    </w:p>
    <w:p>
      <w:pPr>
        <w:ind w:left="720" w:right="79" w:hanging="319"/>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programs may initially show promise in identifying potential product candidates, yet fail to yield product candidates for clinical development; and</w:t>
      </w:r>
    </w:p>
    <w:p>
      <w:pPr>
        <w:jc w:val="both"/>
        <w:ind w:left="720" w:right="79" w:hanging="319"/>
        <w:spacing w:after="0" w:line="255"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8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discovery programs require substantial technical, financial and human resources. We may not be able to maintain sufficient resources and expertise to discover additional product candidates. It could take years to identify a viable product candidate, and there is a risk that we may never do so. If we are unable to identify successful product candidates for preclinical and clinical development and regulatory approval in a timely matter or at all, we could experience significant delays or an inability to successfully identify and consummate transactions with third-party partners to further develop, obtain marketing approval for and/or commercialize our product candidates,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rapid advancement of artificial intelligence and computational drug discovery technologies could make our KINect platform and discovery approaches less competitive or obsolete, and our failure to successfully adopt and integrate artificial intelligence technologies could put us at a competitive disadvantage.</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are experiencing rapid transformation through artificial intelligence (“AI”), machine learning (“ML”), and computational approaches to drug discovery and development. Large pharmaceutical companies and well-funded biotechnology companies are making substantial investments in AI-driven drug discovery platforms that may:</w:t>
      </w:r>
    </w:p>
    <w:p>
      <w:pPr>
        <w:spacing w:after="0" w:line="180"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 faster and more efficiently than our KINect platform;</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time and cost required to progress from target identification to clinical candidate;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competitors to explore larger areas of chemical and biological space; or</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more accurate predictions of clinical outcomes, reducing development risk.</w:t>
      </w:r>
    </w:p>
    <w:p>
      <w:pPr>
        <w:spacing w:after="0" w:line="207"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Our KINect drug discovery platform, while innovative, may become less competitive if we fail to successfully integrate advanced AI and ML capabilities. Specifically:</w:t>
      </w:r>
    </w:p>
    <w:p>
      <w:pPr>
        <w:spacing w:after="0" w:line="162" w:lineRule="exact"/>
        <w:rPr>
          <w:sz w:val="20"/>
          <w:szCs w:val="20"/>
          <w:color w:val="auto"/>
        </w:rPr>
      </w:pPr>
    </w:p>
    <w:p>
      <w:pPr>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chemical library and SBDD approaches may be replicated or surpassed by AI-driven generative chemistry platforms;</w:t>
      </w: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using AI may identify superior kinase inhibitors targeting the same pathways we are pursuing;</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AI-enabled clinical trial design and patient selection may allow competitors to achieve proof-of-concept more rapidly and efficiently; and</w:t>
      </w: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expertise and resources for AI/ML integration are limited compared to larger competitors.</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Furthermore, the use of AI in drug discovery and development raises new regulatory uncertainties. Regulatory agencies including the FDA are still developing frameworks for evaluating AI-generated data and AI-assisted drug development processes. If we utilize AI technologies, we may face uncertainty about what data and documentation regulators will require regarding AI-generated discoveries, potential challenges to the patentability of AI-discovered compounds or methods, questions about data integrity, bias, or validity of AI-generated predictions, and/or additional regulatory scrutiny or requirements that could delay our development timelines.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remain competitive will depend on our capacity to adopt and integrate appropriate AI and computational technologies, which will require significant investment in technology infrastructure, data systems, and personnel with specialized expertise. If we are unable to successfully leverage these technologies, or if we make substantial investments in AI approaches that do not yield productive results, our competitive position and financial condition could be materially harmed.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Additionally, the potential use of AI by contract research organizations, clinical trial sites, or regulatory agencies could change the standards and expectations for drug development, requiring us to adapt our processes and potentially increasing our costs and development timelines.</w:t>
      </w:r>
    </w:p>
    <w:p>
      <w:pPr>
        <w:spacing w:after="0" w:line="1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our product candidates and identify and consummate transactions with third-party partners to further develop, obtain marketing approval for and/or commercialize our product candidates, or experience significant delays in doing so, our business will be harmed.</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invested significant efforts and financial resources in the development of our product candidates and the identification of potential product candidates. Our ability to earn substantial revenue from our product candidates will depend heavily on our ability to successfully develop and identify and consummate transactions with third-party partners to further develop, obtain marketing approval for and/or commercialize these product candidates. The success of any product candidates that we develop will depend on several factors, including:</w:t>
      </w:r>
    </w:p>
    <w:p>
      <w:pPr>
        <w:spacing w:after="0" w:line="183"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our clinical trials;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manufacturing processes;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approvals from applicable regulatory authorities;</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and consummation of transactions with third-party partners to further develop, obtain marketing approval for and/or commercialize our product candidates;</w:t>
      </w:r>
    </w:p>
    <w:p>
      <w:pPr>
        <w:sectPr>
          <w:pgSz w:w="11900" w:h="16838" w:orient="portrait"/>
          <w:cols w:equalWidth="0" w:num="1">
            <w:col w:w="9019"/>
          </w:cols>
          <w:pgMar w:left="1440" w:top="607"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launch of our product candidates, if approved, by a potential third-party partner;</w:t>
      </w:r>
    </w:p>
    <w:p>
      <w:pPr>
        <w:spacing w:after="0" w:line="27"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third-party partners’ ability to achieve acceptance of our product candidates, if approved, by patients, the medical community and third-party payors, and willingness of patients to pay out of pocket for our product candidates when third-party payor coverage and reimbursement is limited or unavailable;</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third-party partners’ ability to achieve success in educating physicians and patients about the benefits, administration and use of our product candidates, if approved;</w:t>
      </w: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our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treatments for the proposed indications of our product candidates;</w:t>
      </w:r>
    </w:p>
    <w:p>
      <w:pPr>
        <w:ind w:left="1040" w:right="79" w:hanging="315"/>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 and otherwise protecting the intellectual property portfolio;</w:t>
      </w: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cGMPs;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third-party partners’ ability to compete effectively with other treatments;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third-party partners’ ability to maintain a continued acceptable safety, tolerability and efficacy profile of our product candidates following marketing approval.</w:t>
      </w:r>
    </w:p>
    <w:p>
      <w:pPr>
        <w:spacing w:after="0" w:line="18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Whether marketing approval will be granted is unpredictable and depends upon numerous factors, including the substantial discretion of the regulatory authorities. Our product candidates’ success in clinical trials will not guarantee marketing approval. Following submission, the NDA or BLA for any product candidate may not be accepted for substantive review, or even if it is accepted for substantive review the FDA or other comparable foreign regulatory authorities may require additional studies or clinical trials, additional data, or additional manufacturing steps, or require other conditions before they will reconsider or approve the application, which could increase costs and cause delays in the marketing approval process and which may require the expenditure of additional resources. These delays would also impact our ability to identify and consummate transactions with third-party partners to further develop, obtain marketing approval for and/or commercialize our product candidates.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It is possible that our product candidates currently in development will never obtain marketing approval. If we do not achieve one or more of these factors in a timely manner or at all, we could experience significant delays or an inability to successfully identify and consummate transactions with third-party partners to further develop, obtain marketing approval for and/or commercialize our product candidates, which would harm our business.</w:t>
      </w:r>
    </w:p>
    <w:p>
      <w:pPr>
        <w:spacing w:after="0" w:line="176"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of our product candidates or the identification and consummation of transactions with third-party partners to further develop, obtain marketing approval for and/or commercialize our product candidates.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risk of failure for our product candidates is high. It is impossible to predict when or if any of our product candidates will prove effective or safe in humans or will receive marketing approval. Before obtaining regulatory approval for the sale of any product candidate, we must complete preclinical development and then conduct extensive clinical trials to demonstrate the safety and efficacy of our product candidates in humans for use in the target indication. Clinical testing is expensive, difficult to design and implement, can take many years to complete and is inherently uncertain as to outcome.</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we may utilize an “open-label” clinical trial design. For example, our Phase 2a trial of ATI-2138 in patients with atopic dermatitis was an “open label” trial.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identify and consummate transactions with third-party partners to further develop, obtain marketing approval for and/or commercialize our product candidates, including:</w:t>
      </w:r>
    </w:p>
    <w:p>
      <w:pPr>
        <w:spacing w:after="0" w:line="176" w:lineRule="exact"/>
        <w:rPr>
          <w:sz w:val="20"/>
          <w:szCs w:val="20"/>
          <w:color w:val="auto"/>
        </w:rPr>
      </w:pPr>
    </w:p>
    <w:p>
      <w:pPr>
        <w:ind w:left="1040" w:right="7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w:t>
      </w:r>
    </w:p>
    <w:p>
      <w:pPr>
        <w:jc w:val="both"/>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or prospective contract research organizations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early-stage clinical trial results may be subject to variability due to small sample size and may not be indicative of results from future clinical trials;</w:t>
      </w:r>
    </w:p>
    <w:p>
      <w:pPr>
        <w:jc w:val="both"/>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or clinical trial investigators may not comply with or may deviate from the clinical trial protocol, including failing to follow specified testing procedures, schedules, or other protocol requirements, which could impact the integrity of clinical trial data and potentially jeopardize the trial;</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a product candidate may show evidence of clinical activity, we may experience a high placebo effect which will make it difficult to show a statistically significant effect of the product candidate as compared to the control arm;</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jc w:val="both"/>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conducting clinical trials using our product candidates may produce issues such as poor data integrity, safety concerns, protocol violations, or failure to meet endpoints in these third-party trials, which could adversely impact the development timeline and regulatory approval process for those product candidates in other indications or territories, require additional studies, create negative market perception affecting future commercial potential, result in increased regulatory scrutiny, or impact our ability to identify and consummate transactions with third-party partners to further develop, obtain marketing approval for and/or commercialize such product candidates;</w:t>
      </w:r>
    </w:p>
    <w:p>
      <w:pPr>
        <w:spacing w:after="0" w:line="2"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jc w:val="both"/>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development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our costs will increase, our product candidate development process will be slowed, the commercial prospects of our product candidates will be harmed, and our ability to identify and consummate transactions with third-party partners to further develop, obtain marketing approval for and/or commercialize our product candidates will be delayed. Any of these occurrences may harm our business, financial condition and prospects significantly. In addition, many of the factors that cause, or lead to, a delay in the commencement or completion of clinical trials may also ultimately lead to the denial of marketing approval of our product candidates. 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if there are safety concerns, we may not be able to identify and consummate transactions with third-party partners to further develop, obtain marketing approval for and/or commercialize our product candidates, and our potential third-party partners may:</w:t>
      </w:r>
    </w:p>
    <w:p>
      <w:pPr>
        <w:spacing w:after="0" w:line="192"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w:t>
      </w: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We do not know whether any of our preclinical studies or clinical trials will begin as planned, will need to be restructured or will be completed on schedule, or at all. Significant preclinical study or clinical trial delays also could shorten any periods during which our potential third-party partners may have the exclusive right to commercialize our product candidates or allow competitors to bring drugs to market before such third-party partners do, which would impact our ability to successfully identify and consummate transactions with third-party partners to further develop, obtain marketing approval for and/or commercialize our product candidates.</w:t>
      </w:r>
    </w:p>
    <w:p>
      <w:pPr>
        <w:spacing w:after="0" w:line="185"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subjects in clinical trials, our ability to identify and consummate transactions with third-party partners to further develop, obtain marketing approval for and/or commercialize our product candidates could be delayed or prevented.</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subjects. Recruiting and retaining patients for clinical trials has become increasingly difficult and expensive, which could delay or prevent completion of our trials. Subject enrollment, a significant factor in the timing of clinical trials, is affected by many factors including the size and nature of the patient population. Trials may be subject to delays as a result of subject enrollment taking longer than anticipated or subject withdrawal, including as a result of factors beyond our control.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cannot predict how successful we will be at enrolling subjects in future clinical trials. Subject enrollment is affected by other factors including:</w:t>
      </w:r>
    </w:p>
    <w:p>
      <w:pPr>
        <w:spacing w:after="0" w:line="188"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drugs approved to treat the disease in the trial;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subjects adequately during and after treatment;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subjects.</w:t>
      </w:r>
    </w:p>
    <w:p>
      <w:pPr>
        <w:spacing w:after="0" w:line="20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subjects for clinical trials would result in significant delays and could require us or them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their performance. Any delays in completing clinical trials would delay or prevent our ability to identify and consummate transactions with third-party partners to further develop, obtain marketing approval for and/or commercialize our product candidates.</w:t>
      </w:r>
    </w:p>
    <w:p>
      <w:pPr>
        <w:spacing w:after="0" w:line="172"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the safety and efficacy of our product candidates, or serious adverse or unacceptable side effects or other unfavorable safety findings may be identified during the nonclinical or clinical development of our product candidates, which could increase our costs or necessitate the abandonment or limitation of the development of our product candidates or prevent or delay our ability identify and consummate transactions with third-party partners to further develop, obtain marketing approval for and/or commercialize our product candidates.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our product candidates are associated with side effects in clinical trials, </w:t>
      </w:r>
      <w:r>
        <w:rPr>
          <w:rFonts w:ascii="Times New Roman" w:cs="Times New Roman" w:eastAsia="Times New Roman" w:hAnsi="Times New Roman"/>
          <w:sz w:val="18"/>
          <w:szCs w:val="18"/>
          <w:color w:val="0A0A0A"/>
        </w:rPr>
        <w:t>exhibit adverse toxicological findings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nonclinical studies </w:t>
      </w:r>
      <w:r>
        <w:rPr>
          <w:rFonts w:ascii="Times New Roman" w:cs="Times New Roman" w:eastAsia="Times New Roman" w:hAnsi="Times New Roman"/>
          <w:sz w:val="18"/>
          <w:szCs w:val="18"/>
          <w:color w:val="000000"/>
        </w:rPr>
        <w:t>or have characteristics that are unexpected, our costs could increase or we may need to abandon their</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 xml:space="preserve">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nonclinical or clinical safety information. Such findings could further result in regulatory authorities failing to provide marketing authorization for our product candidates. Many product candidates that initially showed promise in early-stage testing have later been found to cause side effects or </w:t>
      </w:r>
      <w:r>
        <w:rPr>
          <w:rFonts w:ascii="Times New Roman" w:cs="Times New Roman" w:eastAsia="Times New Roman" w:hAnsi="Times New Roman"/>
          <w:sz w:val="18"/>
          <w:szCs w:val="18"/>
          <w:color w:val="0A0A0A"/>
        </w:rPr>
        <w:t>exhibit toxicological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A0A0A"/>
        </w:rPr>
        <w:t xml:space="preserve">profiles in animal models </w:t>
      </w:r>
      <w:r>
        <w:rPr>
          <w:rFonts w:ascii="Times New Roman" w:cs="Times New Roman" w:eastAsia="Times New Roman" w:hAnsi="Times New Roman"/>
          <w:sz w:val="18"/>
          <w:szCs w:val="18"/>
          <w:color w:val="000000"/>
        </w:rPr>
        <w:t>that prevented further development of the product candidate.</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Before any potential third-party partners can obtain marketing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w:t>
      </w:r>
      <w:r>
        <w:rPr>
          <w:rFonts w:ascii="Times New Roman" w:cs="Times New Roman" w:eastAsia="Times New Roman" w:hAnsi="Times New Roman"/>
          <w:sz w:val="18"/>
          <w:szCs w:val="18"/>
          <w:color w:val="0A0A0A"/>
        </w:rPr>
        <w:t>Our nonclinical studies may yield results that are not predictive of future clinical results or that reveal safety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concerns that preclude further development. </w:t>
      </w:r>
      <w:r>
        <w:rPr>
          <w:rFonts w:ascii="Times New Roman" w:cs="Times New Roman" w:eastAsia="Times New Roman" w:hAnsi="Times New Roman"/>
          <w:sz w:val="18"/>
          <w:szCs w:val="18"/>
          <w:color w:val="000000"/>
        </w:rPr>
        <w:t>Clinical trials often fail to demonstrate safety and efficacy of the product</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candidate studied for the target indication.</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Additionally, if we or others identify undesirable side effects or </w:t>
      </w:r>
      <w:r>
        <w:rPr>
          <w:rFonts w:ascii="Times New Roman" w:cs="Times New Roman" w:eastAsia="Times New Roman" w:hAnsi="Times New Roman"/>
          <w:sz w:val="18"/>
          <w:szCs w:val="18"/>
          <w:color w:val="0A0A0A"/>
        </w:rPr>
        <w:t>unfavorable nonclinical safety findings</w:t>
      </w:r>
      <w:r>
        <w:rPr>
          <w:rFonts w:ascii="Times New Roman" w:cs="Times New Roman" w:eastAsia="Times New Roman" w:hAnsi="Times New Roman"/>
          <w:sz w:val="18"/>
          <w:szCs w:val="18"/>
          <w:color w:val="auto"/>
        </w:rPr>
        <w:t xml:space="preserve"> caused by our product candidates, a number of potentially significant negative consequences could result, including:</w:t>
      </w:r>
    </w:p>
    <w:p>
      <w:pPr>
        <w:spacing w:after="0" w:line="162" w:lineRule="exact"/>
        <w:rPr>
          <w:sz w:val="20"/>
          <w:szCs w:val="20"/>
          <w:color w:val="auto"/>
        </w:rPr>
      </w:pPr>
    </w:p>
    <w:p>
      <w:pPr>
        <w:ind w:left="1040" w:right="79" w:hanging="315"/>
        <w:spacing w:after="0" w:line="261"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abandon the development or limit the further development of our product candidates, including in various populations and for certain indications;</w:t>
      </w: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to market such product;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medication guide outlining the risks of such side effects for distribution to patients may be required;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 candidates, if approved, may suffer;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consummate with third-party partners to further develop, obtain marketing approval for and/or commercialize our product candidates would be harmed.</w:t>
      </w:r>
    </w:p>
    <w:p>
      <w:pPr>
        <w:spacing w:after="0" w:line="18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identifying and consummating transactions with third-party partners to further develop, obtain marketing approval for and/or commercialize the particular product candidate and could significantly harm our business, results of operations and prospects.</w:t>
      </w:r>
    </w:p>
    <w:p>
      <w:pPr>
        <w:spacing w:after="0" w:line="172" w:lineRule="exact"/>
        <w:rPr>
          <w:sz w:val="20"/>
          <w:szCs w:val="20"/>
          <w:color w:val="auto"/>
        </w:rPr>
      </w:pPr>
    </w:p>
    <w:p>
      <w:pPr>
        <w:jc w:val="both"/>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are based on a preliminary analysis of then-available data, and the results and related findings and conclusions are subject to change following a full analysis of all data related to the particular trial. For example, we recently announced interim Phase 1a data for ATI-052. We also make assumptions, estimations, calculations and conclusions as part of our analyses of data, and we may not have received or had the opportunity to fully and carefully evaluate all data. In addition, we may report preliminary analyses of only certain endpoints rather than all endpoints.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preliminary data we previously published. As a result, interim, topline and preliminary data should be viewed with caution until the final data are available. Interim data from clinical trials that we may complete are subject to the risk that one or more of the clinical outcomes may materially change as subject enrollment continues and more subject data become available. Adverse differences between interim, topline or preliminary data and final data could significantly harm our reputation and business prospects. Further, disclosure of interim, topline or preliminary data by us or by our competitors could result in volatility in the price of our common stock.</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program, product candidate or our business.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identify and consummate transactions with third-party partners to further develop, obtain marketing approval for and/or commercialize our product candidates may be harmed, which could harm our business, operating results, prospects or financial condition.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delay.</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and may also require additional testing, FDA notification or FDA approval.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identify and consummate transactions with third-party partners to further develop, obtain marketing approval for and/or commercialize our product candidates.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or nonclinical studies for our product candidates outside the United States. The FDA, EMA or comparable foreign regulatory authorities may not accept data from such studies.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conducted and may in the future conduct clinical and nonclinical studies for our product candidates outside the United States. In addition, our partners may conduct clinical and nonclinical studies for our product candidates outside of the United States that we or our potential third-party partners may try to leverage to seek marketing approval in the United States. The acceptance of data from clinical and nonclinical studies conducted outside the United States or another jurisdiction by the FDA or comparable foreign regulatory authorities may be subject to certain conditions or may not be accepted at all. In cases where data from foreign clinical and nonclinical studies are intended to serve as the basis for marketing approval in the United States, the FDA will generally not approve the application on the basis of foreign data alone unless the data are applicable to the U.S. population and U.S. medical practice, the studies were performed by clinical investigators of recognized competence and pursuant to GCP regulations, and the FDA can validate the data through on-site inspections or other appropriate means. Additionally, the FDA’s clinical trial requirements, including sufficient size of patient populations and statistical powering, must be met. Such foreign trials would be subject to the applicable local laws of the foreign jurisdictions where the trials are conducted. There can be no assurance that the FDA, EMA or any comparable foreign regulatory authority will accept data from studies conducted outside of the United States or the applicable jurisdiction. If the FDA, EMA or any comparable regulatory authority does not accept such data, it would result in the need for additional studies, which would be costly and time-consuming and delay aspects of our business plan, and which may result in our product candidates not receiving approval or clearance for commercialization in the applicable jurisdiction.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any escalation of political tensions, economic instability, military activity or civil hostilities outside the United States could disrupt our ability to conduct studies outside of the United States, or delay or adversely affect the timeliness of such studies. This could result in the need for alternative trial sites, which could be costly and time-consuming and delay the clinical development of our product candidates.</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increase our pipeline of product candidates, including by in-licensing or acquiring additional product candidates.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build and expand our pipeline of product candidates. To build our pipeline, we may seek to in-license or acquire additional product candidates, in addition to our in-house capabilities. We may not be able to identify or develop product candidates that are safe, tolerable and effective. Even if we are successful in continuing to build our pipeline, the potential product candidates that we develop, in-license or acquire may not be suitable for clinical development, including as a result of being shown to have harmful side effects or other characteristics that indicate that they are unlikely to receive marketing approval and achieve market acceptance.</w:t>
      </w:r>
    </w:p>
    <w:p>
      <w:pPr>
        <w:spacing w:after="0" w:line="183"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development programs and product candidates that we identify for specific indications or therapeutic areas. As a result, we may forego or delay pursuit of opportunities with other product candidates or for other indications or therapeutic areas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or therapeutics areas may not yield any commercially viable products. If we do not accurately evaluate the commercial potential or target market for a particular product candidate, we may relinquish valuable rights to that product candidate through partnerships, licensing or other arrangements in cases in which it would have been more advantageous for us to retain sole development and commercialization rights to such product candidate.</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any of our product candidates that receive marketing approval, our potential third-party partners may fail to achieve the degree of market acceptance by physicians, patients, third-party payors and others in the medical community necessary for commercial success.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any of our product candidates that receive marketing approval, our potential third-party partners may fail to gain sufficient market acceptance by physicians, patients, third-party payors and others in the medical community. If such third-party partners fail to obtain an adequate level of acceptance for our product candidates, we may not earn significant revenue and we may not become profitable. The degree of market acceptance of any product candidate, if approved, will depend on a number of factors, including:</w:t>
      </w:r>
    </w:p>
    <w:p>
      <w:pPr>
        <w:spacing w:after="0" w:line="183"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third-party partners’ ability to offer the products for sale at competitive prices;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potential third-party partners to retain a sales force;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potential third-party partners’ marketing and distribution support;</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 or the willingness of patients to pay for these products;</w:t>
      </w: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3"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will face competition with respect to any product candidates that we may seek to develop or through our potential third-party partners, commercialize,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future, from many different sources, including major pharmaceutical, biotechnology and specialty pharmaceutical companies, academic institutions and governmental agencies and public and private research institutions.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commercial opportunity for our product candidates, if approved, could be reduced or eliminated if our competitors develop and commercialize drugs that are safer, more effective, have fewer or less severe side effects, are more convenient or are less expensive than a product that we may develop. Our competitors also may obtain FDA or other regulatory approval for their drugs more rapidly than our potential third-party partners may obtain approval for our product candidates, which could result in our competitors establishing a strong market position before our product candidates are able to enter the market.</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and preclinical and clinical development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development programs.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1. Business—Competition” above for additional information regarding the competition we face.</w:t>
      </w:r>
    </w:p>
    <w:p>
      <w:pPr>
        <w:spacing w:after="0" w:line="221"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if approved, will depend significantly on coverage and adequate reimbursement or the willingness of patients to pay for these products.</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the success of our product candidates, if approved, will depend on obtaining and maintaining coverage and adequate reimbursement as a prescription treatment or, in the absence of coverage and adequate reimbursement, on the extent to which patients will be willing to pay out of pocket for these prescription drug products.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Third-party payors determine which prescription drug products they will cover and establish reimbursement levels. Reimbursement by a third-party payor may depend upon a number of factors, including: the third-party payor’s determination that a product is safe, effective, and medically necessary; appropriate for the specific patient; cost-effective; supported by peer-reviewed medical journals or current clinical practice guidelines; and whether there are competitive products, either branded or generic, and the pricing of those products. Many private third-party payors, such as managed care plans, manage access to drug products’ coverage partly to control costs for their plans, and may use drug formularies and medical policies to limit their exposure. Obtaining and maintaining favorable reimbursement can be a time-consuming and expensive process, and our potential third-party partners may not be able to negotiate or continue to negotiate reimbursement or pricing terms for our products which receive commercial approval, with third-party payors at levels that are profitable to us, or at all. Further, coverage policies and third-party reimbursement rates may change at any time. Even if favorable coverage and reimbursement status is attained for one or more products which receive regulatory approval, less favorable coverage policies and reimbursement rates may be implemented in the future.</w:t>
      </w:r>
    </w:p>
    <w:p>
      <w:pPr>
        <w:spacing w:after="0" w:line="18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uncertainties surrounding coverage policies, there are periodic changes to reimbursement. Third-party payors regularly update reimbursement amounts and also from time to time revise the methodologies used to determine reimbursement amounts. Accordingly, these updates could impact the demand for our product candidates, if approved. Our product candidates, if approved, may not be considered cost effective, and government and third-party private health insurance coverage and reimbursement may not be available to patients or sufficient to allow our potential third-party partners to sell our product candidates, if approved, on a competitive and profitable basis. Further, the containment of healthcare costs also has become a priority of federal, state and foreign governments and the prices of drugs have been a focus in this effort.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Cost control initiatives could decrease the price that our potential third-party partners could receive for any of our product candidates, if approved, and could adversely affect our profitability. We cannot predict how pending and future health care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legislation will impact our business, and any changes in coverage and reimbursement that further restricts coverage of our product candidates could harm our business.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our product candidates, if approved, under any foreign reimbursement system. In some foreign countries, including major markets in the European Union and Japan, the pricing of prescription pharmaceuticals is subject to governmental control. In these countries, pricing negotiations with governmental authorities can take up to 12 months or longer after the receipt of regulatory marketing approval for a product. To obtain reimbursement or pricing approval in some countries, we may be required to conduct a pharmacoeconomic study that compares the cost-effectiveness of our product candidate to other available therapies. Such pharmacoeconomic studies can be costly and the results uncertain. Our business could be harmed if reimbursement of our product candidates, if approved, is unavailable or limited in scope or amount or if pricing is set at unsatisfactory levels.</w:t>
      </w:r>
    </w:p>
    <w:p>
      <w:pPr>
        <w:spacing w:after="0" w:line="190"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of our product candidates that we may develop and are commercialized by our potential third-party partners or impact any commercial products that we have previously sold or are being sold by third-party partners.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relating to any of our commercial products that we have previously sold or are being sold by third-party partners. If we cannot successfully defend ourselves against claims that our commercial products that we have previously sold or are being sold by third-party partners, or product candidates, caused injuries, we will incur substantial liabilities. Regardless of merit or eventual outcome, product liability claims may result in:</w:t>
      </w:r>
    </w:p>
    <w:p>
      <w:pPr>
        <w:spacing w:after="0" w:line="183" w:lineRule="exact"/>
        <w:rPr>
          <w:sz w:val="20"/>
          <w:szCs w:val="20"/>
          <w:color w:val="auto"/>
        </w:rPr>
      </w:pPr>
    </w:p>
    <w:p>
      <w:pPr>
        <w:ind w:left="1040" w:right="7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 and, if approved, are commercialized by our potential third-party partners;</w:t>
      </w: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identify and consummate transactions with third-party partners to further develop, obtain marketing approval for and/or commercialize our product candidates.</w:t>
      </w:r>
    </w:p>
    <w:p>
      <w:pPr>
        <w:spacing w:after="0" w:line="18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currently hold $10 million in product liability insurance coverage in the aggregate, with a per incident limit of $10 million, which may not be adequate to cover all liabilities that we may incur. Insurance coverage is increasingly expensive. We may need to increase our insurance coverage and we may not be able to maintain insurance coverage at a reasonable cost or in an amount adequate to satisfy any liability that may arise.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clinical trials for our product candidates, and those third parties may not perform satisfactorily, including failing to meet deadlines for the completion of such trials.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engage CROs to conduct clinical trials of our product candidates. We expect to continue to rely on third parties, such as clinical data management organizations, medical institutions and clinical investigators, to conduct those clinical trials. If any of our relationships with these third parties terminate, we may not be able to timely enter into arrangements with alternative third parties or to do so on commercially reasonable terms, if at all.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identify and consummate transactions with third-party partners to further develop, obtain marketing approval for and/or commercialize our product candidates. Consequently, our results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operations and the commercial prospects for our product candidates would be harmed, our costs could increase substantially and our ability to earn revenue from those partnerships could be delayed significantly.</w:t>
      </w:r>
    </w:p>
    <w:p>
      <w:pPr>
        <w:spacing w:after="0" w:line="162"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fail to comply with applicable GCPs, the clinical data generated in our clinical trials may be deemed unreliable and the FDA or comparable foreign regulatory authorities may require us to perform additional clinical trials before approving marketing applications. We cannot assure you that upon inspection by a given regulatory authority, such regulatory authority will determine that any of our clinical trials complies with GCP regulations. In addition, our clinical trials must be conducted with drug product produced under cGMP regulations. Our failure to comply with these regulations may require us to repeat clinical trials, which would delay the marketing approval process for our potential third-party partners.</w:t>
      </w:r>
    </w:p>
    <w:p>
      <w:pPr>
        <w:spacing w:after="0" w:line="19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marketing approval of our product candidates or commercialization of our product candidates, if approved, producing additional losses and depriving us of potential revenue.</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and supply of our product candidates for preclinical and clinical testing. This reliance on third parties increases the risk that we will not have sufficient quantities of our product candidates or such quantities at an acceptable cost, which could delay, prevent or impair our development efforts.</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do not have any manufacturing facilities. We have not developed the ability to manufacture drug product ourselves, nor have we developed the capabilities to manufacture biologics. We currently rely, and expect to continue to rely, on third parties for the manufacture and supply of our product candidates for preclinical and clinical testing. This reliance on third parties increases the risk that we will not have sufficient quantities of our product candidates at an acceptable cost and/or quality, which could delay, prevent or impair our ability to timely conduct our clinical trials or our other development efforts.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currently use manufacturers in China to manufacture certain product candidates for use in our clinical trials. For example, we currently rely on WuXi Biologics (Hong Kong) Limited (“WuXi Biologics”) for the production of product necessary to complete our upcoming clinical trial for bosakitug. We also rely on WuXi AppTec (HongKong) Limited (“WuXi AppTec”, and together with WuXi Biologics, “WuXi”) to conduct toxicology studies. The BIOSECURE Act, which prohibits, among other things, U.S. federal funding in connection with biotechnology equipment or services produced or provided by certain named Chinese “biotechnology companies of concern” (“BCCs”) and loans and grants to, and federal contracts with, any entity that uses biotechnology equipment or services from one of these entities in performance of the government contract, grant, or loan. </w:t>
      </w:r>
      <w:r>
        <w:rPr>
          <w:rFonts w:ascii="Times New Roman" w:cs="Times New Roman" w:eastAsia="Times New Roman" w:hAnsi="Times New Roman"/>
          <w:sz w:val="18"/>
          <w:szCs w:val="18"/>
          <w:color w:val="0A0A0A"/>
        </w:rPr>
        <w:t>While the enacted version of the BIOSECURE Act does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specifically name companies, it establishes a process for the Office of Management and Budget (“OMB”) to publish a list of BCCs by December 18, 2026</w:t>
      </w:r>
      <w:r>
        <w:rPr>
          <w:rFonts w:ascii="Times New Roman" w:cs="Times New Roman" w:eastAsia="Times New Roman" w:hAnsi="Times New Roman"/>
          <w:sz w:val="18"/>
          <w:szCs w:val="18"/>
          <w:b w:val="1"/>
          <w:bCs w:val="1"/>
          <w:color w:val="0A0A0A"/>
        </w:rPr>
        <w:t>.</w:t>
      </w:r>
      <w:r>
        <w:rPr>
          <w:rFonts w:ascii="Times New Roman" w:cs="Times New Roman" w:eastAsia="Times New Roman" w:hAnsi="Times New Roman"/>
          <w:sz w:val="18"/>
          <w:szCs w:val="18"/>
          <w:color w:val="0A0A0A"/>
        </w:rPr>
        <w:t xml:space="preserve"> Such BCCs will include entities on the U.S. Department of Defense’s annual List of Chinese Military Companies (“1260H List”) and also entities so designated by OMB through a separate designation process. Companies previously identified in legislative drafts, such as WuXi, remain at risk of being designated as BCCs through this process or by inclusion on the 1260H list. The Act includes a five-year grandfathering provision for existing commercial agreements executed prior to the implementation of the Federal Acquisition Regulation (“FAR”) revisions, which are expected by mid-2028. The implementation of the BIOSECURE Act could materially impact our current and future agreements with WuXi or other Chinese manufacturers. If WuXi or our other partners are designated as BCCs, we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0A0A0A"/>
        </w:rPr>
        <w:t>may be required to transition to alternative manufacturers and service providers to maintain eligibility for federal contracts, grants, or clinical trial reimbursements. Such a transition could be time-consuming, resource-intensive, and may require FDA supplemental approvals, potentially causing significant delays or impairments to our clinical development timelines and business operations.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Additionally, export controls or restrictions on the transfer of certain technologies, materials, or data could disrupt our collaborations, particularly our agreement with CTTQ in Greater China. Changes in the trade relations between the United States and China could:</w:t>
      </w:r>
    </w:p>
    <w:p>
      <w:pPr>
        <w:spacing w:after="0" w:line="176"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receive clinical data from CTTQ’s ongoing trials in China;</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data sharing under our license agreements;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accessing drug product manufactured in China for our clinical trials;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collaboration agreements and milestone payments.</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quickly identify alternative suppliers or manufacturers and any such transitions would require regulatory approval, validation studies, and significant time and expense. Any significant disruption in our supply chain or increase in costs due to tariffs or trade restrictions could delay our clinical programs, increase our operating expenses, and materially harm our business and financial condition.</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or comparable foreign regulatory authorities pursuant to inspections that will be conducted after the NDA, BLA or comparable marketing application is submitted to the FDA or other regulatory authority. We do not have control over a supplier’s or manufacturer’s compliance with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and identify and consummate transactions with third-party partners to further develop, obtain marketing approval for and/or commercialize, our product candidates.</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be unable to establish any agreements with future third-party manufacturers or do so on acceptable terms. Even if we are able to establish agreements with third-party manufacturers, reliance on third-party manufacturers entails additional risks, including:</w:t>
      </w:r>
    </w:p>
    <w:p>
      <w:pPr>
        <w:spacing w:after="0" w:line="176"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increase in costs by our third-party suppliers for the active pharmaceutical ingredients for our product candidates; and</w:t>
      </w:r>
    </w:p>
    <w:p>
      <w:pPr>
        <w:ind w:left="1040" w:right="79" w:hanging="315"/>
        <w:spacing w:after="0" w:line="26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8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operating restrictions and criminal prosecutions, any of which could significantly and adversely affect supplies of our product candidates.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product candidates may compete with other products and product candidates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of our product candidates. Additionally, the loss of or damage to our cell banks maintained at these third-party manufacturers could significantly delay our development efforts, as establishing and qualifying new cell banks would require substantial time and resources.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our current contract manufacturers cannot perform as agreed, we may be required to replace such manufacturers. We may incur added costs and delays in identifying and qualifying any such replacement. We do not currently have arrangements in place for redundant supply or a second source for the active pharmaceutical ingredients and/or drug product for our product candidates.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expect to continue to depend on third-party contract manufacturers for the foreseeable future. Our current and anticipated future dependence upon others for the manufacture of our product candidates may adversely affect our future profit margins and our ability to identify and consummate transactions with third-party partners to further develop, obtain marketing approval for and/or commercialize our product candidates on a timely and competitive basis.</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identify and consummate transactions with third-party partners to further develop, obtain marketing approval for and/or commercialize our product candidates. If those arrangements are not successful, we may not be able to capitalize on the market potential of these product candidates.</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intend to identify and consummate transactions with third-party partners to further develop, obtain marketing approval for and/or commercialize our product candidates. Our likely partners for any such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partners dedicate to the development or commercialization of our product candidates. Our ability to earn revenue from these arrangements will depend on our partners’ abilities to successfully perform the functions assigned to them in these arrangements.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Partnerships involving our product candidates would pose the following risks to us:</w:t>
      </w:r>
    </w:p>
    <w:p>
      <w:pPr>
        <w:spacing w:after="0" w:line="225" w:lineRule="exact"/>
        <w:rPr>
          <w:sz w:val="20"/>
          <w:szCs w:val="20"/>
          <w:color w:val="auto"/>
        </w:rPr>
      </w:pPr>
    </w:p>
    <w:p>
      <w:pPr>
        <w:ind w:left="1040" w:right="7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have significant discretion in determining the efforts and resources that they will apply to these arrangements;</w:t>
      </w: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not perform their obligations as expected;</w:t>
      </w:r>
    </w:p>
    <w:p>
      <w:pPr>
        <w:spacing w:after="0" w:line="9"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not pursue development, marketing approval or commercialization of any product candidates that achieve marketing approval or may elect not to continue or renew development or commercialization programs based on clinical trial results, changes in the partners’ strategic focus or available funding, or external factors, such as an acquisition, that divert resources or create competing priorities;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could independently develop, or develop with third parties, products that compete directly or indirectly with our product candidates if the partners believe that competitive products are more likely to be successfully developed or can be commercialized under terms that are more economically attractive than ours;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products or product candidates, which may cause our partners to cease to devote resources to the development and/or commercialization of our product candidates, if approved;</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with marketing and distribution rights to one or more of our product candidates that achieve marketing approval may not commit sufficient resources to the marketing and distribution of such product candidates;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partners, including disagreements over proprietary rights, contract interpretation or the preferred course of development or commercialization,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infringe the intellectual property rights of third parties, which may expose us to litigation and potential liability; and</w:t>
      </w:r>
    </w:p>
    <w:p>
      <w:pPr>
        <w:sectPr>
          <w:pgSz w:w="11900" w:h="16838" w:orient="portrait"/>
          <w:cols w:equalWidth="0" w:num="1">
            <w:col w:w="9019"/>
          </w:cols>
          <w:pgMar w:left="1440" w:top="607"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040" w:right="79" w:hanging="315"/>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may be terminated for the convenience of the partner and, if terminated, we could be required to raise additional capital to pursue further development and/or commercialization of the applicable product candidates.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Partnership agreements may not lead to development, marketing approval or commercialization of product candidates in the most efficient manner or at all. If a present or future partner of ours were to be involved in a business combination, the continued pursuit and emphasis on our drug development or commercialization program could be delayed, diminished or terminated.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partnerships, we may have to alter our development and commercialization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plans.</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development programs for our product candidates will require substantial additional capital. We intend to partner with pharmaceutical and biotechnology companies for the further development and/or commercialization of our product candidates.</w:t>
      </w:r>
    </w:p>
    <w:p>
      <w:pPr>
        <w:spacing w:after="0" w:line="10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partners. Whether we reach a definitive agreement for a partnership will depend, among other things, upon our assessment of the partner’s resources and expertise, the terms and conditions of the proposed arrangement and the proposed partner’s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partner may also consider alternative product candidates or technologies for similar indications that may be available to partner on and whether such a partnership could be more attractive than the one with us for our product candidate. Partnerships are complex and time-consuming to negotiate and document. In addition, there have been a significant number of recent business combinations among large pharmaceutical companies that have resulted in a reduced number of potential future partners.</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partnerships on a timely basis, on acceptable terms, or at all. If we are unable to do so, we may have to curtail the development of such product candidate, reduce or delay its development program or one or more of our other development programs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185" w:lineRule="exact"/>
        <w:rPr>
          <w:sz w:val="20"/>
          <w:szCs w:val="20"/>
          <w:color w:val="auto"/>
        </w:rPr>
      </w:pPr>
    </w:p>
    <w:p>
      <w:pPr>
        <w:jc w:val="both"/>
        <w:ind w:left="60" w:right="59"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access to all information regarding our product candidates that are subject to partnership agreements. Consequently, our ability to inform our stockholders about the status of our product candidates that are subject to these agreements, and our ability to make business and operational decisions, may be limited.</w:t>
      </w:r>
    </w:p>
    <w:p>
      <w:pPr>
        <w:spacing w:after="0" w:line="175"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We may not have access to all information regarding our product candidates that are or may in the future become subject to agreements with partners, including potentially material information about clinical trial design, execution and timing, safety and efficacy, clinical trial results, regulatory affairs, manufacturing, marketing, sales and other areas known by our partners or potential partners. In addition, we have and may in the future have confidentiality obligations under our agreements with such partners. Therefore, our ability to keep our stockholders informed about the status of our product candidates will be limited by the degree to which our partners keep us informed and by the degree to which our partners allow us to disclose information to the public or provide such information to the public themselves. For example, we are relying on CTTQ, our partner in China, to share information about its trials of bosakitug in respiratory diseases. If our partners do not timely inform us about the status of our product candidates that are the subject of the partnership, we may make operational and investment decisions that we would not have made had we been fully informed, which may have an adverse impact on our business, prospects, financial condition and results of operations.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accurately generating and reporting data related to our product candidates, and their conduct could adversely affect our business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and may in the future acquire or in-license our product candidates at various stages of development. For example, we in-licensed bosakitug and ATI-052 from Biosion. Our assumptions about the potential of such product candidates are partially based on data generated from preclinical studies and clinical trials conducted by Biosion. We are dependent on Biosion having conducted its research and development in accordance with the applicable protocols, informed consent, legal and regulatory requirements, and scientific standards, having accurately reported the results of all studies conducted, and having correctly collected the data from these studies. If these activities were not compliant, accurate or correct, the clinical development, regulatory approval or commercialization of such product candidates will be adversely affected.</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Additionally, in cases where third parties conduct clinical trials using our product candidates through partnership or licensing agreements, we face additional risks related to the conduct and outcome of those trials that are outside of our direct control. For example, issues such as poor data integrity, safety concerns, protocol violations, or failure to meet endpoints in these third-party trials could adversely impact the development timeline and regulatory approval process for those product candidates in other indications or territories, require additional studies, create negative market perception affecting future commercial potential, impact our ability to identify and consummate transactions for such product candidates, or result in increased regulatory scrutiny across our programs.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technology and drugs similar or identical to ours, and ability to successfully identify a potential third-party partner to commercialize our technology and product candidates may be impaired.</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 candidates. We seek to protect our proprietary position by filing patent applications in the United States and abroad related to our product candidates.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however, and we may not be able to file and prosecute all necessary or desirable patent applications at a reasonable cost or in a timely manner. It is also possible that we will fail to identify patentable aspects of our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vice versa. For example, European patent law restricts the patentability of methods of treatment of the human body more than U.S.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Moreover, we may be subject to a third-party preissuance submission of prior art to the USPTO or other foreign patent office, or become involved in opposition, central revocation,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us, or result in the inability of our potential third-party partners to manufacture or commercialize our product candidates without infringing third-party patent rights. In addition, if the breadth or strength of protection provided by our patents and patent applications that we own or license is threatened, it could dissuade companies from partnering with us to license, develop and/or commercialize our product candidates.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from competing with us or our potential third-party partners or otherwise provide us or our potential third-party partners with any competitive advantage. Competitors may be able to circumvent our patents by developing similar or alternative technologies or drugs in a non-infringing manner.</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the ability to stop others from using or commercializing similar or identical technology and product candidates, or limit the duration of the patent protection of our technology and product candidates. Our issued U.S. patent covering bosakitug and methods of use expires in 2043 and our pending U.S. application covering ATI-052, if issued, would also expire in 2043. Our issued U.S. patents directed to ATI-2138 and methods of use expire in 2039. We are pursuing additional patent protection for our product candidates, such as additional methods of use, polymorphs and methods of manufacture, that may extend the term of patent protection in select countries. Given the amount of time required for the development, testing and regulatory review of new product candidates, patents protecting such candidates might expire before or shortly after such candidates are commercialized. As a result, our patent portfolio may not provide us or our potential third-party partners with sufficient rights to exclude others from commercializing drugs similar or identical to ours.</w:t>
      </w:r>
    </w:p>
    <w:p>
      <w:pPr>
        <w:spacing w:after="0" w:line="183"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Further, our issued patents could be found invalid or unenforceable if challenged in court.</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Competitors may infringe our issued patents or other intellectual property. Our pending applications cannot be enforced against third parties practicing the technology claimed in such applications unless and until a patent issues from such applications.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Grounds for a validity challenge could be an alleged failure to meet any of several statutory requirements, including lack of novelty, obviousness, non-enablement or insufficient written description, or similar requirements outside of the United States. Grounds for an unenforceability assertion could be an allegation that someone connected with prosecution of the patent withheld relevant information from the USPTO or made a misleading statement during prosecution. Third parties may also raise similar claims before the USPTO, in post-grant proceedings such as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or oppositions or similar administrative proceedings outside the United States, in parallel with litigation or,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harm our business.</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such a proceeding, a court or administrative board may decide that a patent of ours is invalid or unenforceable, in whole or in part, construe the patent’s claims narrowly or refuse to stop the other party from using the technology at issue on the grounds that our patents do not cover the technology. An adverse result in any such proceeding could put one or more of our patents at risk of being invalidated or interpreted narrowly. We may find it impractical or undesirable to enforce our intellectual property against some third parties.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For example, we only have issued patents and pending applications in the United States, Europe, Japan and South Korea for our TSLP monoclonal antibodies, including bosakitug. We have issued U.S. patents directed to ATI-2138, and pending applications in foreign markets directed to ATI-2138. We currently have pending applications in the United States, Europe, Japan, South Korea and other major markets directed to ATI-052 and other TSLP and IL-4R bispecific antibodies.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1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countries, including European Union countries, India, Japan and China, have compulsory licensing laws under which a patent owner may be compelled under specified circumstances to grant licenses to third parties. In those countries, we may have limited remedies if patents are infringed or if we are compelled to grant a license to a third party, which could materially diminish the value of those patents. This could limit our ability to identify and consummate transactions with potential third-party partners to further develop, obtain marketing approval for and/or commercialize our product candidates, and consequently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and/or commercialization of our product candidates. It may be necessary for us or our potential third-party partners to use the patented or proprietary technology of third parties to further develop and/or commercialize our product candidates. If we or our potential third-party partners are not able to obtain a license from these third parties on commercially reasonable terms, our business could be harmed, possibly materially, and even if we or they are able to, it may result in the reduction of revenue we earn from such partner as a result of payment obligations to the licensor.</w:t>
      </w:r>
    </w:p>
    <w:p>
      <w:pPr>
        <w:spacing w:after="0" w:line="183"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upon our ability to identify and consummate transactions with potential third-party partners, to develop, obtain marketing approval for and/or commercialize our product candidates and earn revenue from those partnerships, and for our proprietary technologies to be used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 candidates and technologies, including interference or derivation proceedings before the USPTO.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or our potential third-party partners are found to infringe a third party’s intellectual property rights, we or such partners could be required to obtain a license from such third party to continue developing or commercializing our product candidates and technology. However, we or our potential third-party partners may not be able to obtain any</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required license on commercially reasonable terms or at all. Even if we or our potential third-party partner were able to obtain a license, it could be non-exclusive, thereby giving competitors access to the same technologies licensed to us or our partner. Consequently, we or our potential third-party partner could be forced, including by court order, to cease developing or commercializing the infringing technology or product candidate. In addition, we or our potential third-party partner could be found liable for monetary damages, including treble damages and attorneys’ fees if we or such partner are found to have willfully infringed a patent. A finding of infringement could prevent our potential third-party partners from commercializing our product candidates, if approved, or force such partners to cease some of their business operations. In the event of a successful claim of infringement against us or our potential third-party partners, we or our potential third-party partners may have to pay substantial damages, including treble damages and attorneys’ fees for willful infringement, pay royalties,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8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our employees or our licensors have misappropriated their intellectual property, or claiming ownership of what we regard as our own intellectual property.</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Some of our competitors are larger than we are and have substantially greater resources. They are, therefore, likely to be able to sustain the costs of complex patent litigation longer than we could. Accordingly, despite our efforts, we may not be able to prevent third parties from infringing upon or misappropriating our intellectual property. Litigation could result in substantial costs and diversion of management resources, which could harm our business. In addition, the uncertainties associated with litigation could compromise our ability to compete in the marketplace, including compromising our ability to raise the funds necessary to continue our clinical trials, continue our internal research programs, or identify and consummate transactions with third-party partners to further develop, obtain marketing approval for and/or commercialize our product candidates.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to seeking and maintaining patents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3"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of our patents that cover any of our product candidates can be challenged by competitors.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any of our product candidates advance through development or are approved by the FDA or foreign regulatory authority, one or more third parties may challenge the current patents, or patents that may issue in the future, within our portfolio covering these product candidates. The challenge may come in the form of a patent office proceeding, such as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challenging the validity of the patents, or a district court proceeding such as a paragraph IV litigation arising out of the filing of an ANDA or a patent infringement suit arising out of the filing of an abbreviated biologics license application (“aBLA”). Litigation or other proceedings to enforce or defend intellectual property rights are often very complex in nature, may be expensive and time-consuming, may divert our management's attention from our core business, and may result in unfavorable results that could limit our ability to prevent third parties from competing with our product candidates, if approved. Any such challenge could result in the invalidation of, or render unenforceable, some or all of the relevant patent claims or a finding of non-infringement, which would harm our ability to identify and consummate transactions with third-party partners to further develop, obtain marketing approval for and/or commercialize our product candidates, and earn revenue from such arrangements. In addition, any such challenge on any divested product could harm our ability to earn revenue from the arrangements for such product.</w:t>
      </w:r>
    </w:p>
    <w:p>
      <w:pPr>
        <w:spacing w:after="0" w:line="183"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Act by extending the patent term and obtaining data exclusivity for our product candidates, our business may be materially harmed.</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success will largely depend on our ability to obtain and maintain patent and other intellectual property in the United States and other countries with respect to our proprietary technology, product candidates and our target indications. Our issued U.S. patent covering bosakitug expires in 2043. Our issued U.S. patent directed to ATI-2138 expires in 2039. Our pending PCT application covering ATI-052, if issued, would expire in 2043.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extension under the Hatch-Waxman Act for a product candidate. The Hatch-Waxman Act permits a patent extension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However, the total patent term including the period of extension cannot exceed 14 years from the product’s approval date. Furthermore, this extension is limited to only one patent per regulatory review period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protection afforded could be less than we request. Similar provisions are available in certain foreign countries, such as the European Union and Japan.</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products, services or technologies from those of our competitors. Once we select new trademarks and apply to register them, our trademark applications may not be approved. Third parties may oppose or attempt to cancel our trademark applications or trademarks, or otherwise challenge our use of the trademarks. In such an event, we may need to negotiate a settlement agreement with such third party over the use of our trademarks, which we may not be able to do on commercially reasonable terms, if at all. In the event that our trademarks are successfully challenged, our products, services or technologies may need to be rebranded, which could result in loss of brand recognition and could require us to devote resources to advertising and marketing new brands. Our competitors may infringe our trademarks and we may not have adequate resources to enforce our trademarks.</w:t>
      </w:r>
    </w:p>
    <w:p>
      <w:pPr>
        <w:spacing w:after="0" w:line="188"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or trademark protection. For example, we may elect not to seek patent protection in some jurisdictions or for some product candidates in order to save costs. We may be forced to abandon or return the rights to specific patents due to a lack of financial resources.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example, following the result of a referendum in 2016, the United Kingdom left the European Union on January 31, 2020, commonly referred to as Brexit. The impact of the withdrawal of the United Kingdom from the European Union will not be known for some time, which could lead to a period of uncertainty relating to our ability to obtain and maintain patents and trademarks in the United Kingdom. In 2012, the European Patent Package (“EU Patent Package”) regulations were passed with the goal of providing for a single pan-European Unitary Patent, and a new European Unified Patent Court (“UPC”) for litigation of European patents, which was implemented in 2023. All European patents, including those issued prior to ratification, would by default automatically fall under the jurisdiction of the UPC and allow for the possibility of obtaining pan-European injunctions, unless the patent holder “opts out” of the UPC on a patent-by-patent basis during an initial seven-year period. Owners of traditional European patent applications who receive notice of grant after the EU Patent Package ratification can either accept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6" w:lineRule="exact"/>
        <w:rPr>
          <w:sz w:val="20"/>
          <w:szCs w:val="20"/>
          <w:color w:val="auto"/>
        </w:rPr>
      </w:pPr>
    </w:p>
    <w:p>
      <w:pPr>
        <w:ind w:left="1040" w:right="79" w:hanging="315"/>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any potential third-party partners might not have been the first to make the inventions covered by the issued patents or pending patent applications that we own;</w:t>
      </w:r>
    </w:p>
    <w:p>
      <w:pPr>
        <w:ind w:left="1040" w:right="7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any potential third-party partners might not have been the first to file patent applications covering certain of our inventions;</w:t>
      </w:r>
    </w:p>
    <w:p>
      <w:pPr>
        <w:ind w:left="1040" w:right="7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right="7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exclusively license may not provide us with any competitive advantages, or may be held invalid or unenforceable as a result of legal challenges;</w:t>
      </w:r>
    </w:p>
    <w:p>
      <w:pPr>
        <w:jc w:val="both"/>
        <w:ind w:left="1040" w:right="7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major commercial markets; and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not patentable.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potential third-party partners are not able to obtain, or if there are delays in obtaining, required regulatory approvals, our product candidates will not be able to be commercialized, and our ability to earn revenue from arrangements with such third-party partners will be materially impaired.</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other regulatory agencies in the United States and similar regulatory authorities outside the United States. Failure to obtain marketing approval for a product candidate will prevent our potential third-party partners from commercializing the product candidate. We have only limited experience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drug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potential third-party partners from obtaining marketing approval or prevent or limit commercial use. If any of our product candidates receive marketing approval, the accompanying label may limit the approved use of our product in this way, which could limit sales of the product.</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and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drug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our potential third-party partners ultimately obtain may be limited or subject to restrictions or post-approval commitments that render the approved drug not commercially viable.</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our potential third-party partners experience delays in obtaining approval or if they fail to obtain approval of our product candidates, the commercial prospects for our product candidates may be harmed and our ability to earn revenue from arrangements with such third-party partners will be materially impaired.</w:t>
      </w:r>
    </w:p>
    <w:p>
      <w:pPr>
        <w:spacing w:after="0" w:line="172"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 candidates in the European Union and any other jurisdictions outside the United States, our potential third-party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drug be approved for reimbursement before the drug can be approved for sale in that country. Our potential third-party partners may not obtain approvals from regulatory authorities outside the United States on a timely basis, if at all. Approval by the FDA does not ensure approval by regulatory authorities in other countries or jurisdictions, and approval by one regulatory authority outside the United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States does not ensure approval by regulatory authorities in other countries or jurisdictions or by the FDA. However, failure to obtain approval in one jurisdiction may impact our potential third-party partners’ ability to obtain approval elsewhere. Our potential third-party partners may not be able to file for marketing approvals and may not receive necessary approvals to commercialize our product candidates in any market.</w:t>
      </w:r>
    </w:p>
    <w:p>
      <w:pPr>
        <w:spacing w:after="0" w:line="176"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by our potential third-party partners internationally could harm our business.</w:t>
      </w:r>
    </w:p>
    <w:p>
      <w:pPr>
        <w:spacing w:after="0" w:line="15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If our product candidates, if approved, are marketed internationally by our potential third-party partners, our potential third-party partners would be subject to additional risks related to operating in foreign countries, including:</w:t>
      </w:r>
    </w:p>
    <w:p>
      <w:pPr>
        <w:spacing w:after="0" w:line="162"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27"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of 1977, as amended (the “FCPA”), or comparable foreign regulations;</w:t>
      </w:r>
    </w:p>
    <w:p>
      <w:pPr>
        <w:ind w:left="1040" w:right="79" w:hanging="315"/>
        <w:spacing w:after="0" w:line="25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contractual and intellectual property rights, especially in those foreign countries that do not respect and protect intellectual property rights to the same extent as the United States;</w:t>
      </w:r>
    </w:p>
    <w:p>
      <w:pPr>
        <w:ind w:left="1040" w:right="79" w:hanging="315"/>
        <w:spacing w:after="0" w:line="25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challenges resulting from distributing our product candidates to foreign countries;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0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compromise our ability to earn revenue from arrangements with potential third-party partners for our product candidates.</w:t>
      </w:r>
    </w:p>
    <w:p>
      <w:pPr>
        <w:spacing w:after="0" w:line="158"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our potential third-party partners obtain marketing approval could be subject to post-marketing restrictions or recall or withdrawal from the market, and our potential third-party partners may be subject to penalties if they fail to comply with regulatory requirements or if they experience unanticipated problems with our product candidates, when and if any of them are approved.</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product candidate for which our potential third-party partners obtain marketing approval, along with the manufacturing processes, post-approval clinical data, labeling, advertising and promotional activities for such product candidate,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candidate may be marketed or to the conditions of approval, including the requirement to implement a risk evaluation and mitigation strategy. If any of our product candidates receives marketing approval, the accompanying label may limit the approved use of our drug, which could limit sales of the drug by our potential third-party partners.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drug. The FDA closely regulates the post-approval marketing and promotion of drugs to ensure drugs are marketed only for the approved indications and in accordance with the provisions of the approved</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labeling. The FDA imposes stringent restrictions on manufacturers’ communications regarding off-label use and if our potential third-party partners do not market our drugs for their approved indications, they may be subject to enforcement action for off-label marketing.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Violations of the FDCA relating to the promotion of prescription drugs may lead to investigations alleging violations of federal and state health care fraud and abuse laws, as well as state consumer protection laws.</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have negative consequences, including:</w:t>
      </w:r>
    </w:p>
    <w:p>
      <w:pPr>
        <w:spacing w:after="0" w:line="176"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withdrawal of the products from the market;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Non-compliance with the European Union’s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These and other risks associated with the failure by our potential third-party partners to comply with regulatory requirements may compromise our ability to earn revenue from arrangements with such third-party partners for our product candidates.</w:t>
      </w:r>
    </w:p>
    <w:p>
      <w:pPr>
        <w:spacing w:after="0" w:line="183"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and our potential third-party partners’ operations may subject us and such partners, directly or indirectly, to broadly applicable anti-kickback, fraud and abuse, false claims, physician payment transparency, health information privacy and security and other health care laws and regulations, and any failure to comply with such laws and regulations could have a material adverse effect on our profitability.</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and our potential third-party partners’ activities may expose us and them, directly or indirectly, to broadly applicable fraud and abuse and other health care laws and regulations, including, without limitation, the federal Anti-Kickback Statute and the federal civil False Claims Act, that may constrain the business or financial arrangements and relationships through which any product candidates for which marketing approval is obtained is sold, marketed and distributed. In addition, we and our potential third-party partners may be subject to transparency laws and patient privacy regulation by the federal government and by the U.S. states and foreign jurisdictions in which we or they conduct business. The applicable federal, state and foreign health care laws and regulations that may affect our or our potential third-party partners’ ability to operate include the following:</w:t>
      </w:r>
    </w:p>
    <w:p>
      <w:pPr>
        <w:spacing w:after="0" w:line="192" w:lineRule="exact"/>
        <w:rPr>
          <w:sz w:val="20"/>
          <w:szCs w:val="20"/>
          <w:color w:val="auto"/>
        </w:rPr>
      </w:pPr>
    </w:p>
    <w:p>
      <w:pPr>
        <w:jc w:val="both"/>
        <w:ind w:left="1040" w:right="79" w:hanging="315"/>
        <w:spacing w:after="0" w:line="255"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 care programs such as Medicare and Medicaid. Further, several courts have interpreted the statute’s intent requirement to mean that if any one purpose of an arrangement involving remuneration is to induce referrals of federal health care covered business, the Anti-Kickback Statute has been violated. The intent standard was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040" w:right="79"/>
        <w:spacing w:after="0" w:line="254" w:lineRule="auto"/>
        <w:rPr>
          <w:sz w:val="20"/>
          <w:szCs w:val="20"/>
          <w:color w:val="auto"/>
        </w:rPr>
      </w:pPr>
      <w:r>
        <w:rPr>
          <w:rFonts w:ascii="Times New Roman" w:cs="Times New Roman" w:eastAsia="Times New Roman" w:hAnsi="Times New Roman"/>
          <w:sz w:val="18"/>
          <w:szCs w:val="18"/>
          <w:color w:val="auto"/>
        </w:rPr>
        <w:t>further amended by the Affordable Care Act, to a stricter standard such that a person or entity no longer needs to have actual knowledge of the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False Claims Act;</w:t>
      </w:r>
    </w:p>
    <w:p>
      <w:pPr>
        <w:spacing w:after="0" w:line="3" w:lineRule="exact"/>
        <w:rPr>
          <w:sz w:val="20"/>
          <w:szCs w:val="20"/>
          <w:color w:val="auto"/>
        </w:rPr>
      </w:pPr>
    </w:p>
    <w:p>
      <w:pPr>
        <w:jc w:val="both"/>
        <w:ind w:left="1040" w:right="7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federal civil False Claims Act (that can be enforced through civil whistleblower or qui tam actions), and the civil monetary penalties law, which impose criminal and civil penalties,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2"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health care providers, health plans, and health care clearinghouses, as well as their business associates that create, receive, maintain or transmit individually identifiable health information for or on behalf of a covered entity and their subcontractors that use, disclose, access, or otherwise process protected health information, with respect to safeguarding the privacy, security and transmission of individually identifiable health information;</w:t>
      </w:r>
    </w:p>
    <w:p>
      <w:pPr>
        <w:spacing w:after="0" w:line="2"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created under Section 6002 of the Affordable Care Act (commonly known as the Physician Payments Sunshine Act) and its implementing regulations, which requires specified manufacturers of drugs, devices, biologics or medical supplies for which payment is available under Medicare, Medicaid or the Children’s Health Insurance Program, with specific exceptions, to report annually to CMS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for applicable manufacturers to report annually to CMS information regarding ownership and investment interests held by physicians and their immediate family members; and</w:t>
      </w:r>
    </w:p>
    <w:p>
      <w:pPr>
        <w:spacing w:after="0" w:line="3" w:lineRule="exact"/>
        <w:rPr>
          <w:rFonts w:ascii="Times New Roman" w:cs="Times New Roman" w:eastAsia="Times New Roman" w:hAnsi="Times New Roman"/>
          <w:sz w:val="18"/>
          <w:szCs w:val="18"/>
          <w:color w:val="auto"/>
        </w:rPr>
      </w:pPr>
    </w:p>
    <w:p>
      <w:pPr>
        <w:jc w:val="both"/>
        <w:ind w:left="1040" w:right="79" w:hanging="315"/>
        <w:spacing w:after="0" w:line="25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 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 care providers; state, local and foreign laws that require drug manufacturers to report information related to payments and other transfers of value to physicians and other health care providers or marketing expenditures; state laws that require drug manufacturers to report pricing information regarding certain drugs; and/or that require registration of certain employees engaged in marketing activities in the location;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Efforts to ensure that our or our potential third-party partners’ business arrangements with third parties will comply with applicable health care laws and regulations may involve substantial costs. It is possible that governmental authorities will conclude that our or our potential third-party partners’ business practices, including relationships with physicians and other health care providers, some of whom may recommend, purchase and/or prescribe our product candidates, if approved, may not comply with current or future statutes, regulations or case law involving applicable fraud and abuse or other health care laws and regulations.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our or our potential third-party partners’ operations are found to be in violation of any of these laws or any other governmental regulations that may apply to us or them, we or our potential third-party partners may be subject to significant civil, criminal and administrative penalties, including, without limitation, damages, fines, disgorgement, imprisonment, exclusion from participation in government health care programs, such as Medicare and Medicaid, additional reporting requirements and oversight if we or they become subject to a corporate integrity agreement or similar agreement to resolve allegations of non-compliance with these laws and the curtailment or restructuring of our or their operations, which could have a material adverse effect on our ability to earn revenue from arrangements with such third-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party partners for our product candidates. If any physician or other health care provider or entity with whom we or our potential third-party partners expect to do business is found not to be in compliance with applicable laws, it may be subject to significant criminal, civil or administrative sanctions, including exclusions from participation in government health care programs, which could also materially affect our ability to earn revenue from arrangements with such third-party partners for our product candidates.</w:t>
      </w:r>
    </w:p>
    <w:p>
      <w:pPr>
        <w:spacing w:after="0" w:line="17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our potential third-party partners to obtain marketing approval of our product candidates and commercialize our product candidates, if approved, and affect the prices our potential third-party partners may obtain.</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 care system that could prevent or delay marketing approval of our product candidates, restrict or regulate post-approval activities and affect our potential third-party partners’ ability to profitably sell any of our product candidates for which our potential third-party partners obtain marketing approval, and consequently affect our ability to earn revenue from arrangements with such third-party partners for our product candidates.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 care systems with the stated goals of containing health care costs, improving quality and/or expanding access. In the United States, the pharmaceutical industry has been a particular focus of these efforts and has been significantly affected by major legislative initiatives. The Affordable Care Act, which was signed into law in 2010, is a sweeping law intended to broaden access to health insurance, reduce or constrain the growth of health care spending, enhance remedies against fraud and abuse, add new transparency requirements for the health care and health insurance industries, impose new taxes and fees on the health industry and impose additional health policy reforms.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have been executive branch, judicial and Congressional challenges and amendments to certain aspects of the Affordable Care Act. For example, on July 4, 2025,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that receive marketing approval or additional pricing pressures. It is possible that the Affordable Care Act will be subject to additional challenges and amendments in the future. It is unclear how such challenges and any additional health care reform measures will impact the Affordable Care Act and our business.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These changes included aggregate reductions to Medicare payments to providers of 2% per fiscal year that became effective on April 1, 2013 and, due to subsequent legislative amendments to the statute, including the Bipartisan Budget Act of 2018 and the Infrastructure Investment and Jobs Act, will stay in effect through 2032 unless additional Congressional action is taken. Any similar new laws may result in additional reductions in Medicare and other health care funding, which could have a material adverse effect on our ability to earn revenue from arrangements with our potential third-party partners for our product candidates that receive marketing approval.</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that the Affordable Care Act, as well as other health care reform measures that may be adopted in the future, may result in more rigorous coverage criteria and in additional downward pressure on the price that our potential third-party partners receive for any approved product candidate. Any reduction in reimbursement from Medicare or other government programs may result in a similar reduction in payments from private payors. The implementation of cost containment measures or other health care reforms may prevent our potential third-party partners from being able to generate revenue, attain profitability, or commercialize our product candidates, if approved, which in turn may impact our ability to earn revenue from arrangements with such third-party partners for our product candidates.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the United States Supreme Court greatly reduced judicial deference to regulatory agencies, which could increase successful legal challenges to federal regulations affecting our or our potential partners’ operations. Congress may introduce and ultimately pass health care related legislation that could impact the drug approval process and make changes to the Medicare Drug Price Negotiation Program.</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judicial action in the United States or any other jurisdiction. If we or any of our potential partners are slow or unable to adapt to changes in existing requirements or the adoption of new requirements or policies, we may not achieve or sustain profitability.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biological product candidates may face competition sooner than anticipated.</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Bosakitug and ATI-052, if approved, may not qualify for the 12-year period of exclusivity, which allows the FDA to approve a biosimilar product any time after the reference product was first licensed by the FDA. Even if the reference product exclusivity is awarded upon licensure by FDA, there is a risk that this exclusivity could be shortened due to Congressional action or otherwise, or that the FDA will not consider bosakitug or ATI-052 to be reference products for competing products, potentially creating the opportunity for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 If we cannot obtain exclusivity for bosakitug and ATI-052 under the BPCIA, we could face competition sooner than anticipated, which could harm our business.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our potential third-party partners may be required to conduct a clinical trial that compares the cost-effectiveness of our product candidate to other available procedures. If reimbursement of our product candidates is unavailable or limited in scope or amount, or if pricing is set at unsatisfactory levels, our potential third-party partners may not able to generate revenue, which in turn may adversely affect our ability to earn revenue from arrangements with such third-party partners for our product candidates.</w:t>
      </w:r>
    </w:p>
    <w:p>
      <w:pPr>
        <w:spacing w:after="0" w:line="120"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development or manufacturing efforts. Our failure to comply with these laws and regulations also may result in substantial fines, penalties or other sanctions.</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about our personnel, data about participants in our clinical trials, and other sensitive third-party data (collectively, “sensitive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operations. Certain states also impose stricter requirements for processing certain personal data, including</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laws in other states, like the CCPA, exempt some data processed in the context of clinical trials, these developments may further complicate compliance efforts, and increase legal risk and compliance costs for us and the third parties with whom we work.</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“comprehensive” state privacy laws like CCPA, we are currently or may become in the future subject to state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and the United Kingdom’s GDPR (“UK GDPR”)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China, Iran, Russia)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The rule also applies regardless of whether data is anonymized, key-coded, pseudonymized, de-identified or encrypted, which presents particular challenges for companies like ours and may impact our ability to engage in transactions or agreements with certain third parties in the future. Violations of the rule could lead to significant civil and criminal fines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and penalties. If notwithstanding our efforts to comply with these laws, regulations and standards, we fail to comply, regulatory authorities may initiate legal proceedings against us and our business may be harmed.</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may in the future become subject to additional such obligations. We are also bound by other contractual obligations related to data privacy and security, and our efforts to comply with such obligations may not be successful.</w:t>
      </w:r>
    </w:p>
    <w:p>
      <w:pPr>
        <w:spacing w:after="0" w:line="18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publish privacy policies and make other statements concerning data privacy and security. Regulators in the United States are increasingly scrutinizing these statements, and if these policies or statements are found to be deficient, lacking in transparency, deceptive, unfair, misleading, or misrepresentative of our practices, we may be subject to investigation, enforcement actions by regulators, or other adverse consequences.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or stoppages in our business operations (including clinical trials); inability to process personal data or to operate in certain jurisdictions; limited ability to develop our product candidates; expenditure of time and resources to defend any claim or inquiry; adverse publicity; or substantial changes to our business model or operations.</w:t>
      </w:r>
    </w:p>
    <w:p>
      <w:pPr>
        <w:spacing w:after="0" w:line="19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economic sanctions laws and export and import controls that could impair our potential third-party partners’ ability to compete in international markets or subject us or our potential third-party partners to liability if we or they are not in compliance with applicable laws.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 U.S. company, we are subject to U.S. import and export controls and economic sanctions laws and regulations, and we are required to import and export our product candidates, technology and services in compliance with those laws and regulations, including the U.S. Export Administration Regulations, U.S. Customs regulations, the International Traffic in Arms Regulations, and economic embargo and trade sanction programs administered by the U.S. Treasury Department’s Office of Foreign Assets Control.</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U.S. economic sanctions and export control laws and regulations prohibit the shipment of certain products and services to countries, governments and persons targeted by U.S. sanctions. While we are currently taking precautions to prevent doing any business, directly or indirectly, with countries, governments and persons targeted by U.S. sanctions and to ensure that our product candidates are not exported or used by countries, governments and persons targeted by U.S. sanctions, such measures may be circumvented.</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if we or our potential third-party partners export our product candidates, the exports may require authorizations, including a license, a license exception or other appropriate government authorization. Complying with export control and sanctions regulations may be time-consuming and may result in the delay or loss of sales opportunities. Failure to comply with export control and sanctions regulations may expose us or our potential third-party partners to government investigations and penalties.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are found to be in violation of U.S. sanctions or import or export control laws, it could result in civil and criminal, monetary and non-monetary penalties, including possible incarceration for those individuals responsible for the violations, the loss of export or import privileges and reputational harm.</w:t>
      </w:r>
    </w:p>
    <w:p>
      <w:pPr>
        <w:spacing w:after="0" w:line="1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potential third-party partners are subject to anti-corruption and anti-money laundering laws with respect to our and their operations and non-compliance with such laws can subject us to criminal and/or civil liability and harm our business.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and our potential third-party partners are subject to the FCPA, the U.S. domestic bribery statute contained in 18 U.S.C. § 201, the U.S. Travel Act, the USA PATRIOT Act and possibly other anti-bribery and anti-money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We or our potential third-party partners may engage third-party intermediaries in connection with the development or commercialization of our product candidates, if approved, and to obtain necessary permits, licenses and other regulatory approvals. We, our potential third-party partners or the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Responding to any action will likely result in a materially significant diversion of management’s attention and resources and significant defense costs and other professional fees.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Dr. Neal Walker, our Chief Executive Officer, Hugh Davis, Ph.D., our Chief Operating Officer and President, Kevin Balthaser, our Chief Financial Officer, Dr. Jesse Hall, our Chief Medical Officer, Roland Kolbeck, Ph.D., our Chief Scientific Officer, and James Loerop, our Chief Business Officer, as well as the other members of our scientific and clinical teams. Although we have entered into employment agreements with our executive officers, each of them may currently terminate their employment with us or resign at any time. We do not maintain “key person” insurance for any of our key executives.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manufacturing and clinical personnel will also be critical to our success. The loss of the services of our executive officers or other key employees could impede the achievement of our development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partner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strategy. Our consultants and advisors may have commitments under employment, consulting or advisory contracts with other entities that may limit their availability to us. If we are unable to continue to attract and retain high quality personnel, our ability to pursue our growth strategy will be limited.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third-party partners, principal investigators, CROs and vendors may engage in misconduct or other improper activities, including non-compliance with regulatory standards and requirements.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third-party partners, principal investigators, CROs and vendors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 care laws and regulations, and laws that require the true, complete and accurate reporting of financial information or data. In particular, sales, marketing and business arrangements by our potential third-party partners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 care programs, such as Medicare and Medicaid, additional reporting obligations and oversight if we are subject to a corporate integrity agreement or other agreement to resolve allegations of non-compliance with these laws, and the curtailment or restructuring of our operations.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a hybrid work model of remote and in-person operations for our employees that enables us to continue to develop our product candidates and provide contract research services to our clients. The effects of our hybrid work model may negatively impact productivity, disrupt our business and delay our preclinical drug development and clinical trials and timelines. These and similar, and perhaps more severe, disruptions in our operations could negatively impact our business, operating results and financial condition.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83" w:lineRule="exact"/>
        <w:rPr>
          <w:sz w:val="20"/>
          <w:szCs w:val="20"/>
          <w:color w:val="auto"/>
        </w:rPr>
      </w:pPr>
    </w:p>
    <w:p>
      <w:pPr>
        <w:ind w:left="1040" w:right="79" w:hanging="315"/>
        <w:spacing w:after="0" w:line="26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and/or results of any preclinical studies and clinical trials we may conduct, or changes in the development status of our product candidates;</w:t>
      </w:r>
    </w:p>
    <w:p>
      <w:pPr>
        <w:jc w:val="both"/>
        <w:ind w:left="1040" w:right="79" w:hanging="315"/>
        <w:spacing w:after="0" w:line="250"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any of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or termination of clinical trials;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of any of our product candidates to receive marketing approval;</w:t>
      </w:r>
    </w:p>
    <w:p>
      <w:pPr>
        <w:ind w:left="1040" w:right="79" w:hanging="315"/>
        <w:spacing w:after="0" w:line="250"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any product candidate or previously sold commercial product;</w:t>
      </w: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7"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biotechnology industry;</w:t>
      </w:r>
    </w:p>
    <w:p>
      <w:pPr>
        <w:ind w:left="1040" w:right="79" w:hanging="315"/>
        <w:spacing w:after="0" w:line="250"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past, stockholders have initiated class action lawsuits against us and other pharmaceutical companies following periods of volatility in the market prices of these companies’ stock. We have entered into indemnification agreements with our executive officers and directors which provide, among other things, that we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officer or other agent, and otherwise to the fullest extent permitted under Delaware law and our bylaws. Such additional litigation, if instituted against us, could cause us to incur substantial costs and divert management’s attention and resources from our business.</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listing requirements of the Nasdaq Global Select Market, we may be delisted and the price of our common stock and our ability to access the capital markets could be negatively impacted.</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common stock is currently listed on the Nasdaq Global Select Market. To maintain the listing of our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fail to satisfy one or more of the Nasdaq Global Select Market’s requirements for continued listing of our common stock in the future. There can be no assurance that we will be successful in maintaining the listing of our common stock on the Nasdaq Global Select Market, or, if transferred, on the Nasdaq Capital Market. This could impair the liquidity and market price of our common stock. In addition, the delisting of our common stock from a national exchange could have a material adverse effect on our access to capital markets, and any limitation on market liquidity or reduction in the price of our common stock as a result of that delisting could adversely affect our ability to raise capital on terms acceptable to us, or at all.</w:t>
      </w:r>
    </w:p>
    <w:p>
      <w:pPr>
        <w:spacing w:after="0" w:line="185"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into the market could cause the market price of our common stock to drop significantly, even if our business is doing well.</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registering the issuance of shares of common stock subject to options or other equity awards issued or reserved for future issuance under our equity incentive plans. Shares registered under these registration statements are available for sale in the public market subject to vesting arrangements and exercise of options.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Further, we have in the past and may in the future issue equity securities in connection with financings, acquisitions or other strategic investments. Any such issuances of additional capital stock may cause stockholders to experience significant dilution of their ownership interests and the per share value of our common stock to decline.</w:t>
      </w:r>
    </w:p>
    <w:p>
      <w:pPr>
        <w:spacing w:after="0" w:line="17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some or all of our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is elected each year;</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entitled to remove directors other than by a 66 2/3% vote and only for cause;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take actions by written consent;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18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3"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the stock market on which our common stock is listed. The Sarbanes-Oxley Act requires, among other things, that we maintain effective disclosure controls and procedures and internal control over financial reporting and perform system and process evaluation and testing of our internal control over financial reporting to allow management to report on the effectiveness of our internal control over financial reporting. This requires that we incur substantial additional professional fees and internal costs to expand our accounting and finance functions and that we expend significant management efforts.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maintain proper and effective internal controls, we may not be able to produce timely and accurate financial statements, and we may conclude that our internal control over financial reporting is not effective. If that were to happen, the market price of our stock could decline, and we could be subject to sanctions or investigations by the stock exchange on which our common stock is listed, the SEC, or other regulatory authorities.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(“NOL”) carryforwards of $568.2 million and $100.7 million, respectively, which will begin to expire in 2032. Under federal law, federal NOL carryforwards generated in tax years beginning after December 31, 2017 may be carried forward indefinitely but may only be used to offset 80% of our taxable income annually. It is uncertain if and to what extent various states will conform to the federal tax law. As of December 31, 2025, we also had federal research and development tax credit carryforwards of $2.5 million which will begin to expire in 2045. These NOL and tax credit carryforwards could expire unused or, due to limitation on use, be unavailable to offset future income tax liabilities. In addition, under Section 382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an analysis under Section 382 for NOLs generated through December 31, 2024, and concluded that an ownership change occurred as of December 30, 2024. As a result of this ownership change, a component of our research and development tax credits and state NOL carryforwards will expire prior to utilization. Accordingly, we have recorded an adjustment to write down our research and development tax credits and state NOL deferred tax assets in the amount of $21.9 million and $19.0 million, respectively. The write down of these deferred tax assets resulted in a corresponding adjustment to our valuation allowance. In addition, we may have experienced ownership changes since 2024 and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might harm our future operating results by effectively increasing our future tax obligations.</w:t>
      </w:r>
    </w:p>
    <w:p>
      <w:pPr>
        <w:spacing w:after="0" w:line="18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stock in the foreseeable future and our stock may not appreciate in value.</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not declared or paid cash dividends on our common stock to date. We currently intend to retain our future earnings, if any, to fund the development and growth of our business. There is no guarantee that shares of our common stock will appreciate in value or that the price at which our stockholders have purchased their shares will be able to be maintained.</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Exclusive forum provisions in our amended and restated certificate of incorporation and amended and restated bylaws could limit our stockholders’ ability to obtain a favorable judicial forum for disputes with us or our directors, officers or other employees.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further provide any person or entity purchasing or otherwise acquiring any interest in shares of our common stock is deemed to have notice of</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and consented to the foregoing provisions.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holders of 5% or more of our capital stock collectively own a significant percentage of our outstanding common stock and have the ability to exert significant control over matters subject to stockholder approval.</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holders of 5% or more of our capital stock collectively own a significant percentage of our outstanding common stock. As a result, these 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significant concentration of stock ownership may adversely affect the trading price of our common stock due to investors’ perception that conflicts of interest may exist or arise.</w:t>
      </w:r>
    </w:p>
    <w:p>
      <w:pPr>
        <w:spacing w:after="0" w:line="183"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and we intend to take advantage of some of the exemptions from reporting requirements that are applicable to other public companies that are not smaller reporting companies, including:</w:t>
      </w:r>
    </w:p>
    <w:p>
      <w:pPr>
        <w:spacing w:after="0" w:line="176" w:lineRule="exact"/>
        <w:rPr>
          <w:sz w:val="20"/>
          <w:szCs w:val="20"/>
          <w:color w:val="auto"/>
        </w:rPr>
      </w:pPr>
    </w:p>
    <w:p>
      <w:pPr>
        <w:ind w:left="1040" w:right="79" w:hanging="315"/>
        <w:spacing w:after="0" w:line="26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and</w:t>
      </w:r>
    </w:p>
    <w:p>
      <w:pPr>
        <w:ind w:left="1040" w:right="79" w:hanging="315"/>
        <w:spacing w:after="0" w:line="260"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pacing w:after="0" w:line="181" w:lineRule="exact"/>
        <w:rPr>
          <w:sz w:val="20"/>
          <w:szCs w:val="20"/>
          <w:color w:val="auto"/>
        </w:rPr>
      </w:pPr>
    </w:p>
    <w:p>
      <w:pPr>
        <w:jc w:val="both"/>
        <w:ind w:left="60" w:right="59" w:firstLine="648"/>
        <w:spacing w:after="0" w:line="221" w:lineRule="auto"/>
        <w:rPr>
          <w:sz w:val="20"/>
          <w:szCs w:val="20"/>
          <w:color w:val="auto"/>
        </w:rPr>
      </w:pPr>
      <w:r>
        <w:rPr>
          <w:rFonts w:ascii="Times New Roman" w:cs="Times New Roman" w:eastAsia="Times New Roman" w:hAnsi="Times New Roman"/>
          <w:sz w:val="18"/>
          <w:szCs w:val="18"/>
          <w:color w:val="auto"/>
        </w:rPr>
        <w:t>We may take advantage of these reporting exemptions until we are no longer a smaller reporting company. We will remain a smaller reporting company until the last day of any fiscal year for so long as either (1) the market value of our shares of common stock held by non-affiliates does not equal or exceed $250.0 million as of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prior year, or (2) our annual revenues did not equal or exceed $100.0 million during such completed fiscal year and the market value of our shares of common stock held by non-affiliates did not equal or exceed $700.0 million as of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prior year.</w:t>
      </w:r>
    </w:p>
    <w:p>
      <w:pPr>
        <w:spacing w:after="0" w:line="19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We and the third parties with whom we work face a variety of evolving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these attacks, including retaliatory cyber-attacks, that could materially disrupt our systems and operations, supply chain, and ability to develop our product candidates and provide our services.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develop our product candidates or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SaaS platforms, encryption and authentication technology, employee email and other functions. We also rely on third-party service providers to provide other products and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For example, we rely on our third-party research collaborators for research and development of our product candidates and other third parties to conduct clinical trials, and security incidents or other similar events relating to their information technology systems could seriously harm our business.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We may not, however, detect and remediate all such vulnerabilities including on a timely basis. It may be difficult and/or costly to detect, investigate, mitigate, contain, and remediate a security incident, and our efforts to do so may not be successful. Further, we may experience delays in developing and deploying remedial measures and patches designed to address identified vulnerabilities. Vulnerabilities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of the previously identified or similar threats has caused and, in the future, could cause a security incident or other interruption that could result in unauthorized, unlawful, or accidental acquisition, modification, destruction, loss, alteration, encryption, disclosure of, or access to our sensitive data or our information technology systems, or those of the</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operate our business. For example, the loss of clinical trial data from completed, ongoing or future clinical trials could result in delays in or denials of our regulatory approval efforts and significantly increase our costs to recover or reproduce the data.</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Additionally, certain data privacy and security obligations have required and may in the future require us to implement and maintain specific security measures or industry-standard or reasonable security measures to protect our information technology systems and sensitive data.</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services, deter new customers from using our services, and negatively impact our ability to grow and operate our business. For example,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 result in substantial costs, diversion of management attention, and other adverse consequences.</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we cannot assure you that an active trading market for our shares will be sustained. If an active market for our common stock is not sustained, it may be difficult for investors in our common stock to sell shares without depressing the market price for the shares or to sell the shares at all.</w:t>
      </w:r>
    </w:p>
    <w:p>
      <w:pPr>
        <w:spacing w:after="0" w:line="176"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or our business, our market and our competitors. Equity research analysts may elect not to initiate or continue to provide research coverage of our common stock, and such lack of research coverage may adversely affect the market price of our common stock. Even if we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macroeconomic conditions, including tariff policies and inflationary pressure, as well as constrained capital markets, could limit our ability to grow our business, raise capital and negatively affect our operating results.</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General worldwide economic conditions have experienced significant instability in recent years including the recent global economic uncertainty and financial market conditions. For example, inflation rates, particularly in the United States and United Kingdom, have increased recently to levels not seen in years, and increased inflation may result in increases in our operating costs (including our labor costs), reduced liquidity and limits on our ability to access credit or otherwise raise capital. Additionally, financial markets around the world have experienced volatility in connection with geopolitical conflicts. These conditions make it extremely difficult for us to accurately forecast and plan future business activities.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industry is sensitive to global and domestic economic conditions and capital market dynamics. In 2025, the biotechnology industry faced significant macroeconomic headwinds, including trade policy uncertainty driven by tariff volatility, which created substantial uncertainty affecting pharmaceutical supply chains, active pharmaceutical ingredient sourcing, and overall investor sentiment toward the life sciences sector. Although pharmaceutical products have historically been exempt from certain tariffs, the ongoing Section 232 investigations and potential tariffs on pharmaceutical imports could increase our operating costs, disrupt our supply chain relationships, or force us to reconfigure our manufacturing and sourcing strategies.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biotechnology capital markets may also be impacted by U.S. regulatory uncertainty amid agency leadership changes and shifting policy priorities. As a company without approved products generating revenue, we may be particularly vulnerable to these capital market conditions. Higher interest rates have increased the cost of capital and have generally made investors more selective, favoring companies with later-stage assets and established commercial operations. Continued volatility or deterioration in equity markets, prolonged elevated interest rates, or further trade policy disruptions could materially impair our ability to raise additional capital on acceptable terms, if at all. This could force us to delay, reduce, or eliminate research and development programs, or delay or modify clinical trial designs.</w:t>
      </w:r>
    </w:p>
    <w:p>
      <w:pPr>
        <w:spacing w:after="0" w:line="14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Additionally, macroeconomic uncertainty could affect our collaborators, suppliers, and potential partners, potentially leading to delayed payments, reduced collaboration funding, or renegotiation of existing agreements. Government shutdowns or prolonged budget disputes may also delay FDA regulatory reviews, CMS rulemaking, or other agency actions critical to our product development timelines. The combination of trade policy uncertainty, capital market constraints, and regulatory unpredictability makes it difficult to accurately forecast and plan future business activities, and any of these factors could materially and adversely affect our business, financial condition, results of operations, and prospects.</w:t>
      </w:r>
    </w:p>
    <w:p>
      <w:pPr>
        <w:spacing w:after="0" w:line="144"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400,000,000 shares of common stock and up to 10,000,000 shares of preferred stock with such rights and preferences as may be determined by our board of directors. Subject to compliance with applicable rules and regulations, we may issue our shares of common stock or securities convertible into our common stock from time to time in connection with a financing, acquisition, investment, our equity incentive plan or otherwise. Any such issuance could result in substantial dilution to our existing stockholders and cause the trading price of our common stock to decline.</w:t>
      </w:r>
    </w:p>
    <w:p>
      <w:pPr>
        <w:spacing w:after="0" w:line="183"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The OBBBA, the Inflation Reduction Act enacted in 2022, the Coronavirus Aid, Relief, and Economic Security Act enacted in 2020, and the Tax Cuts and Jobs Act enacted in 2017 made many significant changes to the Code. Future guidance from the Internal Revenue Service and other tax authorities with respect to any legislation may affect us, and certain aspects of such legislation could be repealed or modified in future legislation or sunset in future years. In addition, it is uncertain if and to what extent various states will conform to newly enacted federal tax legislation. Changes in corporate tax rates, the realization of net deferred tax assets relating to our operations, the taxation of foreign earnings, and the deductibility of expenses could have a material impact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the value of our deferred tax assets, could result in significant one-time charges, and could increase our future U.S. tax expense.</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and demands upon management as a result of being a public company.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listed in the United States, we incur, and will continue to incur, particularly if we cease to qualify as a “smaller reporting company,” significant legal, accounting and other costs. These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 and may subject us to evolving regulatory requirements.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growing number of jurisdictions and regulators are adopting laws and regulations, as well as focusing enforcement efforts, related to artificial intelligence. The use of such technologies in compliance with ethical standards and societal expectations is also subject to increasing scrutiny.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European Union’s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Likewise, recent state legislative developments in the United States have introduced emerging compliance risks for companies that develop or deploy AI technologies, which may impose novel requirements on AI developers and users. These state-level initiatives reflect a growing trend toward AI regulation in the absence of federal legislation. As a result,</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face a fragmented and evolving compliance landscape that could increase operational complexity, regulatory scrutiny, and legal exposure associated with the use or development of AI technologies.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and data to operate our business of developing product candidates and providing contract research services. Our critical information technology resources include computer networks and hardware, third party hosted services, communications systems and software, and critical data including confidential, personal, proprietary and sensitive data (collectively, “Information Assets”). To operate our business, we also utilize certain third-party service providers to perform a variety of functions, such as professional services, SaaS platforms, managed services, cloud-based infrastructure, encryption and authentication technology, corporate productivity services, contract research organizations, application providers, supply chain resources, and other functions. Accordingly, we have implemented and maintain certain risk assessment processes intended to identify cybersecurity threats, determine their likelihood of occurring, and assess and manage potential material impact to our business. We implement and maintain various information security and risk management processes designed to protect the confidentiality, integrity, and availability of our Information Assets and mitigate harm to our business.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rely on a multidisciplinary team (including members from information technology (“IT”), which reports to our Chief Financial Officer, finance, and legal, as well as third party service providers as described further below) to identify, assess, and manage cybersecurity threats that could impact our business. We assess the likelihood that such threats could result in a material impact to our Information Assets, operations, ability to provide our services, core business functions, personnel, reputation and identified critical business objectives.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Risks from cybersecurity threats are among those that we address in our general risk management program. We identify, assess, and manage such threats by, among other things, monitoring the threat environment using manual and automated tools, subscribing to reports and services that identify cybersecurity threats, analyzing reports of threats and threat actors, conducting scans of the threat environment, conducting vulnerability assessments, conducting audits, and conducting threat assessments for internal and external threats. We also engage third parties to conduct annual penetration tests and tabletop incident response exercises, as well as to provide threat and security risk assessments and intelligence feeds.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Based on our assessment process and depending on the environment, we implement and maintain various technical, physical and organizational measures, processes, standards and policies designed to manage and mitigate such risks and potential material impacts. These measures we implement for certain of our Information Assets include: policies and procedures designed to address cybersecurity threats, including an incident response plan; incident detection and response; risk assessments; background checks on our personnel; encryption of data; network security controls; data segregation; access controls; physical security; asset management, tracking and disposal; systems monitoring; employee security training; penetration testing; cyber insurance; and, as appropriate, inclusion of cybersecurity requirements in our contracts.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For example, the IT department works with management to prioritize our risk management processes and mitigate cybersecurity threats that are more likely to lead to a material impact to our business.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work with third parties from time to time that assist us to identify, assess, and manage material risks from cybersecurity threats, including, for example, professional services firms (including legal counsel), threat intelligence service providers, cybersecurity consultants, cybersecurity software providers, managed cybersecurity service providers, and penetration testing firms.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refer to “Item 1A. Risk factors” in this Annual Report, including “If our information technology systems or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through its Audit Committee, is responsible for overseeing the Company’s risk management strategy with respect to cybersecurity threats. The Audit Committee is responsible for overseeing the Company’s cybersecurity risk management processes, including oversight of mitigation of risks from cybersecurity threats.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Chief Financial Officer who is supported by our IT department which includes personnel with experience overseeing and working with various cybersecurity tools. For example, our Senior Director of IT has over 20 years of experience in IT infrastructure and cybersecurity, with extensive expertise in security frameworks, regulatory compliance, and cloud infrastructure management.</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strategy relies on input from management to help us understand cybersecurity risks, establish priorities, and determine the scope and details of our cybersecurity program and to implement it. Management, including our Chief Financial Officer, is responsible for approving budgets, helping prepare for cybersecurity incidents, approving cybersecurity processes, and reviewing security assessments and other security-related reports. Management, including our Chief Financial Officer and General Counsel, is also responsible for hiring appropriate personnel, engaging third party vendors, integrating cybersecurity considerations into the Company’s overall risk management strategy, approving cybersecurity policies and procedures, and overseeing employee training. Our cybersecurity incident response process involves members of management who also participate in our disclosure controls and procedures.</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cybersecurity incident response plan and information security incidence response procedures are designed to escalate certain cybersecurity incidents to members of IT, finance and legal, depending on the circumstances, who report to the Chief Financial Officer and the General Counsel. The Chief Financial Officer and the General Counsel work with our cybersecurity incident response team to help us mitigate and remediate cybersecurity incidents of which they are notified. In addition, our cybersecurity incident response plan includes reporting to the Audit Committee for certain cybersecurity incidents.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Members of management meet periodically with the IT department to discuss cybersecurity risk and to review our cybersecurity program, and report to the Audit Committee. The Audit Committee holds meetings biannually to discuss cybersecurity issues, including our cybersecurity threats, and has a dedicated agenda during such meetings that is designed to assist the Audit Committee to exercise its oversight function. These meetings involve regular presentations and reports from management and third party providers, including updates of contemporary cybersecurity threats faced by us and steps we are taking to address them.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lease 11,564 square feet of office space for our headquarters in Wayne, Pennsylvania, under a lease agreement which has a term through February 2029.</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also sublease 20,433 square feet of office and laboratory space in St. Louis, Missouri, under a sublease agreement which has an initial term through May 2029. We have the option to extend the initial term for two additional five-year periods.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believe that our facilities are suitable and adequate to meet our current needs.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litigation and claims arising in the ordinary course of business. We are not currently a party to any material legal proceedings and we are not aware of any other pending or threatened legal proceedings against us that we believe could have a material adverse effect on our business, operating results, cash flows or financial condition.</w:t>
      </w:r>
    </w:p>
    <w:p>
      <w:pPr>
        <w:spacing w:after="0" w:line="176"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“ACRS.”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January 30, 2026, we had 120,595,189 shares of common stock outstanding held by 46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Parties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by Item 201(e) of Regulation S-K.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Part I, Item 1A. “Risk Factors,” and “Special Note Regarding Forward-Looking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discovering and developing novel small and large molecule product candidates for immuno-inflammatory diseases. Our proprietary KINect drug discovery platform coupled with our integrated discovery approach to small and large molecules enables us to identify and advance product candidates designed to have superior target affinity, specificity and potency. We are seeking to identify and consummate transactions with third-party partners to further develop, obtain marketing approval for and/or commercialize our novel product candidates. In addition, we provide contract research services to third parties enabled by our early-stage research and development expertise.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significant net losses. Our net loss was $64.9 million for the year ended December 31, 2025 and $132.1 million for the year ended December 31, 2024. As of December 31, 2025, we had an accumulated deficit of $967.8 million. We expect to incur significant expenses and operating losses for the foreseeable future as we advance our product candidates from discovery through preclinical and clinical development. In addition, our product candidates, even if they are approved by regulatory agencies for marketing, may not achieve commercial success. We may also not be successful in identifying and consummating transactions with third-party partners to further develop, obtain marketing approval for and/or commercialize our product candidates. Furthermore, we have incurred and expect to continue to incur significant costs associated with operating as a public company, including legal, accounting, investor relations and other expenses. As a result, we will need substantial additional funding to support our continuing operations.</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operations primarily with sales of equity securities and non-dilutive financing. In the near term, we expect to finance our operations through these and other capital sources, including potential partnerships with other companies or other strategic transactions. We may be unable to raise additional funds or enter into such other agreements or arrangements when needed on commercially acceptable terms, or at all. If we fail to raise capital or enter into such agreements as, and when needed, we may have to significantly delay, scale back or discontinue the development of one or more of our product candidates.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Impact of Macroeconomic Conditions on Our Business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inflationary pressure, tariff policies, and geopolitical conflicts,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Acquisition and License Agreements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Biosion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November 2024, we entered into an exclusive license agreement (the “Biosion Agreement”) with Biosion, Inc. (“Biosion”) pursuant to which we received the exclusive rights to develop, manufacture and commercialize bosakitug (ATI-045) and ATI-052 worldwide, excluding Mainland China, Macau, Hong Kong and Taiwan (“Greater China”). In</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connection with the Biosion Agreement, we also entered into a collaboration agreement (the “CTTQ Agreement”, and together with the Biosion Agreement, the “Biosion Agreements”) with Biosion and Chia Tai Tianqing Pharmaceutical Group, Co., Ltd. (“CTTQ”), a licensee of bosakitug in Greater China.</w:t>
      </w:r>
    </w:p>
    <w:p>
      <w:pPr>
        <w:spacing w:after="0" w:line="14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partial consideration for the rights and licenses under the Biosion Agreements, we, in the aggregate, (i) paid $30.0 million in upfront cash consideration, plus $4.5 million for the reimbursement of certain development costs, (ii) issued warrants (the “Warrants”) to purchase 14,281,985 shares of our common stock and (iii) paid $6.2 million for the reimbursement of certain development costs and drug product material. We made cash payments of $6.2 million and $34.5 million as set forth in the Biosion Agreements during the years ended December 31, 2025 and 2024, respectively. As of December 31, 2025, 3,000,000 Warrants remained unexercised.</w:t>
      </w:r>
    </w:p>
    <w:p>
      <w:pPr>
        <w:spacing w:after="0" w:line="14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we agreed to pay, in the aggregate, (i) up to $125 million upon the achievement of specified regulatory milestones commencing with product approval, (ii) up to $795 million upon the achievement of specified sales milestones, (iii) a tiered low-to-mid single digit royalty based upon a percentage of annual net sales, subject to specified reductions as set forth in the Biosion Agreement, and (iv) a portion of any sublicense consideration received from the grant of any sublicense or similar rights under any of the rights or licenses granted to us under the Biosion Agreement. We will expense these payments in the period when either they are determined to be probable of occurring or when the payment is triggered.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Royalty Purchase Agreement with OCM IP Healthcare Portfolio LP</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2024, we entered into a royalty purchase agreement with OCM IP Healthcare Portfolio LP, an investment vehicle for Ontario Municipal Employees Retirement System (“OMERS”). Under the royalty purchase agreement, we sold to OMERS a portion of the future royalty payments and the remaining anniversary payments associated with our existing license to Eli Lilly and Company (“Lilly”), relating to OLUMIANT® (baricitinib) for the treatment of alopecia areata (see “—License Agreement with Eli Lilly and Company”). Under the terms of the royalty purchase agreement, we received an upfront payment of $26.5 million. In exchange, OMERS acquired a portion of the royalty payable by Lilly to us for worldwide net sales of OLUMIANT for the treatment of alopecia areata from April 1, 2024 through the remainder of the royalty term under our license agreement with Lilly, and 100% of the remaining anniversary milestone payments payable by Lilly to us under the license agreement. The royalty payments and milestones we sold to OMERS represent our entire financial interest in the Lilly license agreement after taking into account our other contractual third-party obligations.</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recognized $3.8 million and $1.9 million of non-cash royalty income during the years ended December 31, 2025 and 2024,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Sun Pharmaceutical Industries, Inc.</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December 2023, we entered into an exclusive patent license agreement with Sun Pharmaceutical Industries, Inc. (“Sun Pharma”). Under the license agreement, we granted Sun Pharma exclusive rights under certain patents that we exclusively license from a third party. The patents relate to the use of deuruxolitinib, Sun Pharma’s JAK inhibitor, or other isotopic forms of ruxolitinib, to treat alopecia areata or androgenetic alopecia. Under the license agreement, Sun Pharma has paid us upfront, regulatory and commercial milestone payments, and has agreed to pay us other regulatory and commercial milestone payments upon the achievement of specified milestones set forth in the agreement, and a mid single-digit tiered royalty calculated as a percentage of Sun Pharma’s net sales. We have separate contractual obligations under which we have agreed to pay to third parties a portion of the consideration we may receive under the license agreement. We may seek to monetize this asset.</w:t>
      </w:r>
    </w:p>
    <w:p>
      <w:pPr>
        <w:spacing w:after="0" w:line="18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recognized $1.2 million and $3.0 million of licensing revenue during the years ended December 31, 2025 and 2024, respectively, a portion of which was payable to third parties.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Pediatrix Therapeutics, Inc.</w:t>
      </w:r>
    </w:p>
    <w:p>
      <w:pPr>
        <w:spacing w:after="0" w:line="25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November 2022, we entered into a license agreement with Pediatrix Therapeutics, Inc. (“Pediatrix”) under which we granted Pediatrix the exclusive rights to develop, manufacture and commercialize lepzacitinib in Greater China. Pediatrix has paid us an upfront payment, and has agreed to pay us development, regulatory and commercial milestone payments upon the achievement of specified milestones set forth in the agreement, and a tiered royalty ranging from a low-to-high single digit percentage of net sales of lepzacitinib by Pediatrix in Greater China. A portion of the consideration</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received from Pediatrix is payable to the former Confluence (as defined below) equity holders as described below under the caption “—Agreement and Plan of Merger with Confluence.”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Eli Lilly and Company</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In August 2022, we entered into a non-exclusive patent license agreement with Lilly. Under the license agreement, we granted Lilly non-exclusive rights under certain patents and patent applications that we exclusively license from a third party. The patents and patent applications relate to the use of baricitinib, Lilly’s JAK inhibitor, to treat alopecia areata. Under the license agreement, Lilly has paid us upfront, anniversary, regulatory and commercial milestone payments. In addition, Lilly has agreed to pay us other commercial milestone payments upon the achievement of specified milestones and additional anniversary payments as set forth in the agreement, as well as a low single-digit royalty calculated as a percentage of Lilly’s net sales of baricitinib for the treatment of alopecia areata. We have separate contractual obligations under which we have agreed to pay to third parties an amount equal to any regulatory and commercial milestone payments we receive under the Lilly license agreement, as well as a portion of the upfront consideration and a portion of the royalties we may receive under the license agreement. In July 2024, we entered into a royalty purchase agreement with OMERS pursuant to which we sold to OMERS a portion of our future royalty payments and the remaining anniversary milestones associated with the license to Lilly (see “—Royalty Purchase Agreement with OCM IP Healthcare Portfolio LP” above).</w:t>
      </w:r>
    </w:p>
    <w:p>
      <w:pPr>
        <w:spacing w:after="0" w:line="17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recognized $4.8 million of licensing revenue during the year ended December 31, 2025, all of which was payable to third parties. We recognized $13.2 million of licensing revenue during the year ended December 31, 2024, a portion of which was payable to third parties.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 with EPI Health, LLC</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October 2019, we sold RHOFADE (oxymetazoline hydrochloride) cream, 1% (“RHOFADE”), to EPI Health, LLC (“EPI Health”) pursuant to an asset purchase agreement. In July 2023, EPI Health filed a voluntary petition for relief under Chapter 11 of the United States Bankruptcy Code. Through the bankruptcy process, EPI Health and its parent company, Novan, Inc., sold the RHOFADE assets to a third party, which excluded our asset purchase agreement with EPI Health and the outstanding amounts due. The sale was approved by the bankruptcy court in September 2023. As a result of the bankruptcy proceedings, all amounts that were due and outstanding by EPI Health had been fully reserved. In September 2025, we sold all of our right, title and interest in our bankruptcy claims against EPI Health and wrote off the remaining reserved balance as it was deemed uncollectible.</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Confluence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2017, we entered into an Agreement and Plan of Merger (the “Confluence Agreement”) with Confluence Life Sciences, Inc. (now known as Aclaris Life Sciences, Inc.) (“Confluence”), Aclaris Life Sciences, Inc., our wholly owned subsidiary (“Merger Sub”), and Fortis Advisors LLC, as representative of the equity holders of Confluence. Pursuant to the terms of the Confluence Agreement, Merger Sub merged with and into Confluence, with Confluence surviving as our wholly owned subsidiary.</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Confluence Agreement, we agreed to pay the former Confluence equity holders aggregate remaining contingent consideration of up to $75.0 million based upon the achievement of specified regulatory and commercial milestones set forth in the Confluence Agreement. In addition, we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 In addition to the payments described above, if we sell, license or transfer any of the intellectual property acquired from Confluence pursuant to the Confluence Agreement to a third party, we will be obligated to pay the former Confluence equity holders a portion of any consideration received from such sale, license or transfer in specified circumstances.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 December 2023, our board of directors approved a reduction of our workforce by approximately 46%, which was completed as of December 31, 2024. During the year ended December 31, 2025, we made cash severance payments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$0.2 million to impacted employees. During the year ended December 31, 2024, we recognized severance expense of $2.7 million and made cash severance payments of $5.6 million to impacted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Contract Research</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earn revenue from the provision of laboratory services. Contract research revenue is generally evidenced by contracts with clients which are on an agreed upon fixed-price, fee-for-service basis and are generally billed on a monthly basis in arrears for services rendered.</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Licensing revenue primarily consists of upfront consideration, royalties and milestone payments earned pursuant to license and acquisition agreements with third parties, as described above.</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Cost and Expenses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Cost of revenue consists of the costs incurred in connection with the provision of contract research services. Cost of revenue primarily includes:</w:t>
      </w:r>
    </w:p>
    <w:p>
      <w:pPr>
        <w:spacing w:after="0" w:line="162"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professional scientific services;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laboratory equipment;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costs;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materials and supplies used to support the services provided.</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connection with the discovery and development of our product candidates. These expenses primarily include:</w:t>
      </w:r>
    </w:p>
    <w:p>
      <w:pPr>
        <w:spacing w:after="0" w:line="162" w:lineRule="exact"/>
        <w:rPr>
          <w:sz w:val="20"/>
          <w:szCs w:val="20"/>
          <w:color w:val="auto"/>
        </w:rPr>
      </w:pPr>
    </w:p>
    <w:p>
      <w:pPr>
        <w:jc w:val="both"/>
        <w:ind w:left="1040" w:right="239" w:hanging="315"/>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as well as clinical trial sites and consultants that conduct our clinical trials and preclinical studies, and investigator-initiated trials;</w:t>
      </w:r>
    </w:p>
    <w:p>
      <w:pPr>
        <w:ind w:left="1040" w:right="79" w:hanging="315"/>
        <w:spacing w:after="0" w:line="250"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active pharmaceutical ingredients and preclinical and clinical trial materials, including domestic technology transfer expenses;</w:t>
      </w: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assurance and quality control costs;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professional scientific development services;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affairs expenses related to our product candidates;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regulatory activities, including filing fees paid to regulatory agencies;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materials and supplies used to support our research activities.</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in the near term as we continue the development of our product candidates and pursue our discovery programs. We expense research and development costs as incurred. Our direct research and development expenses primarily consist of external costs including fees paid to CROs, consultants, clinical trial sites, regulatory agencies and third parties that manufacture our preclinical and clinical trial materials and are tracked on a program-by-program basis. We do not allocate personnel costs or other indirect expenses to specific research and development programs.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 uncertainties associated with the duration and cost of discovery, as well as clinical trials, which vary significantly over the life of a project as a result of many factors, including:</w:t>
      </w:r>
    </w:p>
    <w:p>
      <w:pPr>
        <w:spacing w:after="0" w:line="183"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subjects;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that ultimately participate in the trials;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subjects receive;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treatment and subject follow-up;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preparation of regulatory filings for our product candidates. We may obtain unexpected results from our clinical trials or other development activities. We may elect to discontinue, delay or modify the development, including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including stock-based compensation, for personnel in executive, administrative, finance, and legal functions. General and administrative expenses also include facility-related costs, patent filing and prosecution costs, professional fees for legal, auditing and tax services, investor relations costs, business development costs, insurance costs, and travel expenses.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Licensing expenses consist of third-party contractual obligations incurred under license and acquisition agreements with third parties, as described above.</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Revaluation of Contingent Consideration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Revaluation of contingent consideration consists of changes in the fair value of our contingent consideration liability between reporting dates, as described below.</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In-process research and development (“IPR&amp;D”) consists of expenses related to in-licensed assets with no future alternative use.</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marketable securities.</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Income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Non-cash royalty income includes income related to the proceeds from the sale of future royalties to OMERS, recognized under the “units-of-revenue” method.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judgments that affect the reported amounts of assets and liabilities, the disclosure of contingent assets and liabilities at the date of the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record a contingent consideration liability related to future potential payments resulting from the acquisition of Confluence based upon significant unobservable inputs, including the achievement of regulatory and commercial milestones, as well as estimated future sales levels and the discount rates applied to calculate the present value of the potential payments. Significant judgment is involved in determining the appropriateness of these assumptions. These assumptions are considered Level 3 inputs. Revaluation of our contingent consideration liability can result from changes to one or more of these assumptions. These assumptions are highly dependent on the outcome and timing of the development of certain of our product candidates. We evaluate the fair value estimate of our contingent consideration liability on a quarterly basis with changes, if any, recorded as income or expense in our consolidated statement of operations and comprehensive loss. Any such changes could have a material impact on our financial results.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contingent consideration is estimated using a probability-weighted expected payment model for regulatory milestone payments and a Monte Carlo simulation model for commercial milestone and royalty payments and then applying a risk-adjusted discount rate to calculate the present value of the potential payments. Significant assumptions used in our estimates include the probability of achieving regulatory milestones and commencing commercialization (collectively referred to as “probability of success”), which are based on an asset’s current stage of development and a review of existing clinical data. Probability of success assumptions ranged between 21% and 40% at December 31, 2025. Additionally, estimated future sales levels and the risk-adjusted discount rate applied to the potential payments are also significant assumptions used in calculating the fair value. As of December 31, 2025, the discount rate ranged between 6.7% and 8.7% depending on the year of each potential payment.</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adjusted the probability of success for certain product candidates. This change and the passage of time resulted in an overall increase of $2.3 million in contingent consideration liability during the year ended December 31, 2025.</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measure the compensation expense of stock-based awards granted to employees and directors using the grant date fair value of the award. We have issued stock options and restricted stock unit (“RSU”) awards with service-based vesting conditions. For service-based awards, we recognize stock-based compensation expense on a straight-line basis over the requisite service period. The impact of forfeitures is recognized in the period in which they occur.</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measure the compensation expense of stock-based awards granted to consultants using the grant date fair value of the award. We recognize compensation expense over the period during which services are rendered by the consultant.</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estimate the fair value of each stock option grant using the Black-Scholes option-pricing model. We estimate expected volatility based on our stock price's historical volatility, as we have determined that we have adequate historical data regarding the volatility of our own publicly-traded stock price. The expected term of our stock options has been determined using the “simplified” method for awards that qualify as “plain vanilla” options. The expected term of stock</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We use an expected dividend yield of zero because we have not paid cash dividends to date and have no intention of paying cash dividends in the future.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each RSU is measured using the closing price of our common stock on the date of grant.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research</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Licensing</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(86,905)</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160,652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(76,451)</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royalty income</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Contract Research</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decrease in contract research revenue for the year ended December 31, 2025 compared to the year ended December 31, 2024 was due to lower overall hours billed for laboratory services.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decrease in licensing revenue during the year ended December 31, 2025 compared to the year ended December 31, 2024 was primarily due to larger milestone payments achieved under the license agreements with Sun Pharma and Lilly during the year ended December 31, 2024.</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Cost and Expenses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decrease in cost of revenue during the year ended December 31, 2025 compared to the year ended December 31, 2024 was due to lower overall hours billed for laboratory services.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product candidate or, for unallocated expenses, by type: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9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7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Bosakitug</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0" w:type="dxa"/>
            <w:vAlign w:val="bottom"/>
          </w:tcPr>
          <w:p>
            <w:pPr>
              <w:spacing w:after="0"/>
              <w:rPr>
                <w:sz w:val="1"/>
                <w:szCs w:val="1"/>
                <w:color w:val="auto"/>
              </w:rPr>
            </w:pPr>
          </w:p>
        </w:tc>
      </w:tr>
      <w:tr>
        <w:trPr>
          <w:trHeight w:val="216"/>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ATI-052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ATI-2138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ATI-9494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Discovery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52,645</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Bosakitug</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increase in expenses for bosakitug during the year ended December 31, 2025 compared to the year ended December 31, 2024 was due to the timing of the acquisition of the in-licensed asset, which occurred in November 2024. The expenses consist primarily of product candidate manufacturing costs and clinical development expenses associated with a Phase 2 trial in atopic dermatitis.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ATI-052</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increase in expenses for ATI-052 during the year ended December 31, 2025 compared to the year ended December 31, 2024 was due to the timing of the acquisition of the in-licensed asset, which occurred in November 2024. The increase primarily consisted of preclinical development activities and clinical development expenses associated with a Phase 1a/1b program, partially offset by a decrease in product manufacturing costs.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ATI-2138</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increase in expenses for ATI-2138 during the year ended December 31, 2025 compared to the year ended December 31, 2024 was primarily due to an increase in clinical development expenses associated with a Phase 2a trial in atopic dermatitis.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ATI-9494</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increase in expenses for ATI-9494 for the year ended December 31, 2025 compared to the year ended December 31, 2024 was primarily due to an increase in product candidate manufacturing costs, preclinical development activities, and IND-enabling studies.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Discovery</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Discovery expenses consisted primarily of continued investment in our other JAK-sparing ITK inhibitors as we progress toward candidate selection.</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research and development</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decrease in other research and development expenses during the year ended December 31, 2025 compared to the year ended December 31, 2024 was primarily due to clinical development expenses associated with former development assets.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Personnel and stock-based compensation</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increase in personnel expenses during the year ended December 31, 2025 compared to the year ended December 31, 2024 was primarily due to higher headcount. The increase in stock-based compensation expense during the year ended December 31, 2025 compared to the year ended December 31, 2024 was primarily due to higher forfeiture credits during the year ended December 31, 2024.</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and legal fees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Facility and support services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Personnel and stock-based compensation</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increase in personnel expenses during the year ended December 31, 2025 compared to the year ended December 31, 2024 was primarily due to higher headcount. The increase in stock-based compensation expense during the year ended December 31, 2025 compared to the year ended December 31, 2024 was primarily due to higher forfeiture credits during the year ended December 31, 2024.</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Professional and legal fees</w:t>
      </w:r>
    </w:p>
    <w:p>
      <w:pPr>
        <w:spacing w:after="0" w:line="227" w:lineRule="exact"/>
        <w:rPr>
          <w:sz w:val="20"/>
          <w:szCs w:val="20"/>
          <w:color w:val="auto"/>
        </w:rPr>
      </w:pPr>
    </w:p>
    <w:p>
      <w:pPr>
        <w:jc w:val="both"/>
        <w:ind w:left="60" w:right="79" w:firstLine="693"/>
        <w:spacing w:after="0" w:line="289" w:lineRule="auto"/>
        <w:rPr>
          <w:sz w:val="20"/>
          <w:szCs w:val="20"/>
          <w:color w:val="auto"/>
        </w:rPr>
      </w:pPr>
      <w:r>
        <w:rPr>
          <w:rFonts w:ascii="Times New Roman" w:cs="Times New Roman" w:eastAsia="Times New Roman" w:hAnsi="Times New Roman"/>
          <w:sz w:val="17"/>
          <w:szCs w:val="17"/>
          <w:color w:val="auto"/>
        </w:rPr>
        <w:t>The decrease in professional and legal fees during the year ended December 31, 2025 compared to the year ended December 31, 2024 was primarily due to legal, accounting, and other professional expenses incurred in 2024 in connection with acquisition and license agreements, partially offset by an increase in investor relations costs incurred in 2025.</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general and administrative</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decrease in other general and administrative expenses during the year ended December 31, 2025 compared to the year ended December 31, 2024 was primarily due to the sale of our bankruptcy claims against EPI Health and a decrease in insurance costs in 2025.</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decrease in licensing expenses during the year ended December 31, 2025 compared to the year ended December 31, 2024 was primarily due to larger milestone payments achieved under the license agreements with Sun Pharma and Lilly during the year ended December 31, 2024, a portion of which was payable to third parties.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Revaluation of Contingent Consideration</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revaluation of contingent consideration loss decreased during the year ended December 31, 2025 compared to the year ended December 31, 2024 primarily due to changes in estimated sales levels for certain product candidates during the year ended December 31, 2024.</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expenses recorded during the year ended December 31, 2024 included the fair value of the consideration expensed in connection with the in-license of bosakitug and ATI-052, as well as transaction costs incurred as part of the transaction.</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Income</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Non-cash royalty income includes income related to the proceeds from the sale of a portion of our OLUMIANT royalty payments to OMERS in July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our operations. We have financed our operations over the last several years primarily through sales of our equity securities and non-dilutive financing. We may engage in additional equity and other financing transactions in order to raise funds. We may receive royalties and milestone payments under third-party licensing and acquisition agreements. In addition, to the extent we are able to consummate transactions with potential third-party partners to further develop, obtain marketing approval for and/or commercialize our product candidates, we may receive upfront payments, milestone payments or royalties from such arrangements that would increase our liquidity.</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$151.4 million. Cash in excess of immediate requirements is invested in accordance with our investment policy, primarily with a view towards liquidity and capital preservation.</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other than our contingent obligations under the Confluence Agreement, Biosion Agreement and CTTQ Agreement, which are summarized above under “Overview—Acquisition and License Agreements,” and our lease obligations.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Financing</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November 2024, we closed a private placement in which we sold 35.6 million shares of our common stock for aggregate gross proceeds of $80.0 million. We paid placement agent and other fees of $5.1 million in connection with the private placement.</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were $20.0 million as of December 31, 2025 compared to $24.6 million as of December 31, 2024. We also had $131.4 million in short- and long-term marketable securities as of December 31, 2025 compared to $179.3 million as of December 31, 2024.</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sources and uses of cash that contributed to the change in cash and cash equivalents were: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4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balance</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39,878</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(69,769)</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74,536</w:t>
            </w: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ending balance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flow related to operating activities was the result of:</w:t>
      </w: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3"/>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(64,923)</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(132,065)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accounts receivable, prepaid expenses and other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accounts payable and accrued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deferred income</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20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increased for the year ended December 31, 2025 compared to the year ended December 31, 2024 primarily as a result of higher net losses after adjusting for non-cash items and proceeds from the royalty sale to OMERS during 2024. The change was partially offset by a decrease in cash used for accounts payable and accrued expenses, after adjusting for the receipt and corresponding payment of a third-party milestone during the year ended December 31, 2025.</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decrease in non-cash adjustments to reconcile net loss to net cash used in operating activities was mainly the result of in-process research and development expenses recorded in connection with the in-license of bosakitug and ATI-052 during the year ended December 31, 2024.</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flow related to investing activities was the result of:</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(119,982)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86,144</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deferred transaction consideration for in-licensed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in-licensed assets, including transaction costs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(35,810)</w:t>
            </w: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2025 was $48.4 million compared to net cash used in investing activities during the year ended December 31, 2024 of $69.8 million. The change was primarily due to higher purchases of marketable securities and the consideration paid in connection with the in-license of bosakitug and ATI-052 during the year ended December 31, 2024.</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flow related to financing activities was the result of:</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6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65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Proceeds from issuance of common stock under securities purchase agreement, net of</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74,913</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deferred transaction consideration for in-licensed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employee withholding taxes related to restricted stock unit award vesting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employee stock options and the issuance of stock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$5.9 million compared to net cash provided by financing activities during the year ended December 31, 2024 of $74.5 million. The change was primarily due to proceeds from our private placement during the year ended December 31, 2024.</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anticipate we will incur net losses in the near term as we continue the development of our product candidates and continue to discover and develop additional product candidates. We may not be able to generate revenue from these programs if, among other things, our clinical trials are not successful, the FDA does not approve our product candidates currently in clinical trials when we expect, or at all, or we are not able to identify and consummate transactions with third-party partners to further develop, obtain marketing approval for and/or commercialize our product candidates.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research and development expenses, laboratory and related supplies, professional and legal expenses, and administrative and overhead costs. Our future funding requirements will be heavily determined by the resources needed to support the development of our product candidates, without taking into account any potential business development activities.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a publicly traded company, we incur and will continue to incur significant legal, accounting and other similar expenses. In addition, the Sarbanes-Oxley Act of 2002, as well as rules adopted by the SEC and the Nasdaq Stock Market LLC, requires public companies to implement specified corporate governance practices that could increase our compliance costs.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believe our existing cash, cash equivalents and marketable securities are sufficient to fund our operating and capital expenditure requirements for a period greater than 12 months from the date of issuance of our consolidated financial statements that appear in Item 8 of this Annual Report based on our current operating assumptions. We will require additional capital to develop our product candidates and to support our discovery efforts. Additional funds may not be available on a timely basis, on commercially acceptable terms, or at all, and such funds, if raised, may not be sufficient to enable us to continue to implement our long-term business strategy. Our ability to raise additional capital may be adversely impacted by potential worsening global economic conditions caused by a variety of factors including geopolitical tensions, tariff policies, and inflationary pressures. If we are unable to raise sufficient additional capital or generate revenue from transactions with potential third-party partners for the development and/or commercialization of our product candidates, we may need to substantially curtail our planned operations.</w:t>
      </w:r>
    </w:p>
    <w:p>
      <w:pPr>
        <w:spacing w:after="0" w:line="19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may raise additional capital through the sale of equity or debt securities. In such an event, our stockholders’ ownership may be diluted, and the terms of these securities may include liquidation or other preferences that adversely affect the rights of a holder of our common stock.</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pharmaceutical product candidates, we are unable to estimate the exact amount of our working capital requirements. Our funding requirements in the near term will depend on many factors, including:</w:t>
      </w:r>
    </w:p>
    <w:p>
      <w:pPr>
        <w:spacing w:after="0" w:line="176"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product candidates that we may pursue;</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conducting preclinical and clinical studies for our product candidates;</w:t>
      </w: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additional product candidates and technologies;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ind w:left="720" w:right="79" w:hanging="319"/>
        <w:spacing w:after="0" w:line="250"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consummate transactions with third-party partners to further develop, obtain marketing approval for and/or commercialize our product candidates; and</w:t>
      </w: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earn revenue as a result of licenses to, or partnerships or other arrangements with, third parties.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“Risk Factors” for additional risks associated with our substantial capital requirements.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occupy space for our headquarters in Wayne, Pennsylvania under a lease agreement which has a term through February 2029. We also occupy office and laboratory space in St. Louis, Missouri under a sublease agreement which has a term through May 2029.</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aggregate remaining lease payment obligation for these two spaces was $2.5 million as of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 with Confluence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agreed to certain payment obligations in accordance with and subject to the terms of the Confluence Agreement (see “Overview—Acquisition and License Agreements—Agreement and Plan of Merger with Confluence”). As of December 31, 2025, the balance of our contingent consideration liability was $11.0 million.</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Biosion; Collaboration Agreement with Biosion and CTTQ</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have agreed to certain payment obligations in accordance with and subject to the terms of the Biosion Agreements (see “Overview—Acquisition and License Agreements—Exclusive License Agreement with Biosion”).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R&amp;D Obligations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contract manufacturing organizations and other service providers for clinical trials, preclinical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and report as one reportable segment, which focuses on identifying and developing innovative therapies to address significant unmet needs for immuno-inflammatory diseases. The segment earns revenue through the licensing of our intellectual property and the provision of laboratory services. Our chief operating decision maker, our Chief Executive Officer, manages our operations on a consolidated basis for the purpose of making operating decisions, assessing financial performance, and allocating resources.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No. 2025-12, “Interim Reporting (Topic 270): Narrow-Scope Improvements.” This standard clarifies interim disclosure requirements and the applicability of Topic 270. The ASU becomes effective for interim reporting periods within annual reporting periods beginning after December 15, 2027. We are currently assessing the impact of this ASU.</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—Expense Disaggregation Disclosures (Subtopic 220-40): Disaggregation of Income Statement Expenses.” This standard requires disclosure of additional information about specific expense categories in the notes to financial statements on an annual and interim basis. This ASU becomes effective for annual periods beginning after December 15, 2026 and interim reporting periods within annual reporting periods beginning after December 15, 2027. We are currently assessing the impact of this ASU.</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standard enhances disclosures related to income taxes, including the rate reconciliation and information on income taxes paid. We adopted ASU No. 2023-09 effective December 31, 2025, on a prospective basis, the impact of which is limited to additional income tax disclosures in the notes to our consolidated financial statements.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20" w:type="dxa"/>
            <w:vAlign w:val="bottom"/>
          </w:tcPr>
          <w:p>
            <w:pPr>
              <w:spacing w:after="0"/>
              <w:rPr>
                <w:sz w:val="20"/>
                <w:szCs w:val="20"/>
                <w:color w:val="auto"/>
              </w:rPr>
            </w:pPr>
          </w:p>
        </w:tc>
      </w:tr>
      <w:tr>
        <w:trPr>
          <w:trHeight w:val="432"/>
        </w:trPr>
        <w:tc>
          <w:tcPr>
            <w:tcW w:w="8480" w:type="dxa"/>
            <w:vAlign w:val="bottom"/>
            <w:gridSpan w:val="7"/>
          </w:tcPr>
          <w:p>
            <w:pPr>
              <w:ind w:left="2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20" w:type="dxa"/>
            <w:vAlign w:val="bottom"/>
          </w:tcPr>
          <w:p>
            <w:pPr>
              <w:spacing w:after="0"/>
              <w:rPr>
                <w:sz w:val="24"/>
                <w:szCs w:val="24"/>
                <w:color w:val="auto"/>
              </w:rPr>
            </w:pPr>
          </w:p>
        </w:tc>
      </w:tr>
      <w:tr>
        <w:trPr>
          <w:trHeight w:val="405"/>
        </w:trPr>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2025 and 2024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12"/>
        </w:trPr>
        <w:tc>
          <w:tcPr>
            <w:tcW w:w="71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December 31, 2025 and 2024</w:t>
            </w:r>
          </w:p>
        </w:tc>
        <w:tc>
          <w:tcPr>
            <w:tcW w:w="1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12"/>
        </w:trPr>
        <w:tc>
          <w:tcPr>
            <w:tcW w:w="6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and 2024</w:t>
            </w:r>
          </w:p>
        </w:tc>
        <w:tc>
          <w:tcPr>
            <w:tcW w:w="202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12"/>
        </w:trPr>
        <w:tc>
          <w:tcPr>
            <w:tcW w:w="84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Aclaris Therapeutics, Inc.</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Aclaris Therapeutics, Inc. and its subsidiaries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the Contingent Consideration Liability</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described in Notes 2 and 3 to the consolidated financial statements, the Company’s contingent consideration balance was $11.0 million as of December 31, 2025. The Company records a contingent consideration liability related to future potential payments resulting from the acquisition of Confluence based upon significant unobservable inputs including the achievement of regulatory and commercial milestones, as well as estimated future sales levels and the discount rates applied to calculate the present value of the potential payments. Management evaluates fair value estimates of the contingent consideration liability on a quarterly basis using a probability-weighted expected payment model for regulatory milestone payments and a Monte Carlo simulation model for commercial milestone and royalty payments and then applying a risk-adjusted discount rate to calculate the present value of the potential payment. Changes in the fair value of the contingent consideration are recorded as income or expense in the Company’s consolidated statement of operations and comprehensive loss. Significant assumptions used in management’s estimates include the probability of achieving</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regulatory milestones and commencing commercialization, which are based upon an asset’s current stage of development and review of existing clinical data.</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fair value of the contingent consideration liability is a critical audit matter are (i) the significant judgment by management when developing the fair value estimate, which in turn led to (ii) a high degree of auditor judgment, subjectivity and effort in performing procedures and evaluating management’s significant assumptions related to the probability of achieving regulatory milestones and commencing commercialization. In addition, the audit effort involved the use of professionals with specialized skill and knowledge.</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of the contingent consideration liability, (ii) evaluating the appropriateness of the probability weighted expected payment and Monte Carlo simulation valuation models, (iii) testing the completeness and accuracy of the underlying data used in the models, and (iv) evaluating the reasonableness of the significant assumptions used by management related to the probability of achieving regulatory milestones and commencing commercialization. Evaluating management’s assumptions related to the probability of achieving regulatory milestones and commencing commercialization involved evaluating whether the assumptions were reasonable considering the agreements associated with the transaction as well as the consistency with industry information, the stage of product development and whether the assumptions were consistent with evidence obtained in other areas of the audit. Professionals with specialized skill and knowledge were used to assist in the evaluation of the Company’s probability-weighted expected payment and Monte Carlo simulation valuation models.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2026</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ACLARIS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20" w:type="dxa"/>
            <w:vAlign w:val="bottom"/>
            <w:gridSpan w:val="4"/>
          </w:tcPr>
          <w:p>
            <w:pPr>
              <w:ind w:left="652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Pr>
          <w:p>
            <w:pPr>
              <w:ind w:left="65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vMerge w:val="continue"/>
          </w:tcPr>
          <w:p>
            <w:pPr>
              <w:spacing w:after="0"/>
              <w:rPr>
                <w:sz w:val="15"/>
                <w:szCs w:val="15"/>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160,460</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net of current portion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10,000,000 shares authorized and no shares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 or outstanding at December 31, 2025 and December 31, 2024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$0.00001 par value; 400,000,000 and 200,000,000 shares authorized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December 31, 2025 and December 31, 2024, respectively; 120,499,433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107,850,124 shares issued and outstanding at December 31, 2025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(967,784)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ACLARIS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232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research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Licensing</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royalty income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(64,923)</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122,564,741</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77,296,665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marketable securities, net of tax of $0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ACLARIS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6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22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restart"/>
          </w:tcPr>
          <w:p>
            <w:pPr>
              <w:jc w:val="right"/>
              <w:ind w:right="68"/>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1"/>
                <w:szCs w:val="11"/>
                <w:color w:val="auto"/>
              </w:rPr>
            </w:pPr>
          </w:p>
        </w:tc>
        <w:tc>
          <w:tcPr>
            <w:tcW w:w="360" w:type="dxa"/>
            <w:vAlign w:val="bottom"/>
            <w:gridSpan w:val="2"/>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Par</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gridSpan w:val="2"/>
            <w:vMerge w:val="continue"/>
          </w:tcPr>
          <w:p>
            <w:pPr>
              <w:spacing w:after="0"/>
              <w:rPr>
                <w:sz w:val="15"/>
                <w:szCs w:val="15"/>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70,894,889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928,080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(770,796)</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157,179</w:t>
            </w:r>
          </w:p>
        </w:tc>
        <w:tc>
          <w:tcPr>
            <w:tcW w:w="0" w:type="dxa"/>
            <w:vAlign w:val="bottom"/>
          </w:tcPr>
          <w:p>
            <w:pPr>
              <w:spacing w:after="0"/>
              <w:rPr>
                <w:sz w:val="1"/>
                <w:szCs w:val="1"/>
                <w:color w:val="auto"/>
              </w:rPr>
            </w:pPr>
          </w:p>
        </w:tc>
      </w:tr>
      <w:tr>
        <w:trPr>
          <w:trHeight w:val="126"/>
        </w:trPr>
        <w:tc>
          <w:tcPr>
            <w:tcW w:w="392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 of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1,399,680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71"/>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options and vesting of restricted stock units</w:t>
            </w: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2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securities purchase agreement,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35,555,555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74,913</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of offering costs of $5,087</w:t>
            </w: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purchase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44,845</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48"/>
        </w:trPr>
        <w:tc>
          <w:tcPr>
            <w:tcW w:w="39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10,856</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(132,065)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(132,065)</w:t>
            </w:r>
          </w:p>
        </w:tc>
        <w:tc>
          <w:tcPr>
            <w:tcW w:w="0" w:type="dxa"/>
            <w:vAlign w:val="bottom"/>
          </w:tcPr>
          <w:p>
            <w:pPr>
              <w:spacing w:after="0"/>
              <w:rPr>
                <w:sz w:val="1"/>
                <w:szCs w:val="1"/>
                <w:color w:val="auto"/>
              </w:rPr>
            </w:pPr>
          </w:p>
        </w:tc>
      </w:tr>
      <w:tr>
        <w:trPr>
          <w:trHeight w:val="182"/>
        </w:trPr>
        <w:tc>
          <w:tcPr>
            <w:tcW w:w="39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107,850,124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1,058,317</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(902,861)</w:t>
            </w:r>
          </w:p>
        </w:tc>
        <w:tc>
          <w:tcPr>
            <w:tcW w:w="80" w:type="dxa"/>
            <w:vAlign w:val="bottom"/>
            <w:tcBorders>
              <w:bottom w:val="single" w:sz="8" w:color="CCEEFF"/>
            </w:tcBorders>
            <w:gridSpan w:val="2"/>
          </w:tcPr>
          <w:p>
            <w:pPr>
              <w:spacing w:after="0"/>
              <w:rPr>
                <w:sz w:val="15"/>
                <w:szCs w:val="15"/>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155,554</w:t>
            </w:r>
          </w:p>
        </w:tc>
        <w:tc>
          <w:tcPr>
            <w:tcW w:w="0" w:type="dxa"/>
            <w:vAlign w:val="bottom"/>
          </w:tcPr>
          <w:p>
            <w:pPr>
              <w:spacing w:after="0"/>
              <w:rPr>
                <w:sz w:val="1"/>
                <w:szCs w:val="1"/>
                <w:color w:val="auto"/>
              </w:rPr>
            </w:pPr>
          </w:p>
        </w:tc>
      </w:tr>
      <w:tr>
        <w:trPr>
          <w:trHeight w:val="79"/>
        </w:trPr>
        <w:tc>
          <w:tcPr>
            <w:tcW w:w="3920" w:type="dxa"/>
            <w:vAlign w:val="bottom"/>
            <w:shd w:val="clear" w:color="auto" w:fill="CCEEFF"/>
          </w:tcPr>
          <w:p>
            <w:pPr>
              <w:ind w:left="220"/>
              <w:spacing w:after="0" w:line="79" w:lineRule="exact"/>
              <w:rPr>
                <w:sz w:val="20"/>
                <w:szCs w:val="20"/>
                <w:color w:val="auto"/>
              </w:rPr>
            </w:pPr>
            <w:r>
              <w:rPr>
                <w:rFonts w:ascii="Times New Roman" w:cs="Times New Roman" w:eastAsia="Times New Roman" w:hAnsi="Times New Roman"/>
                <w:sz w:val="9"/>
                <w:szCs w:val="9"/>
                <w:color w:val="auto"/>
              </w:rPr>
              <w:t>Issuance of common stock in connection with vesting of</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1,367,359</w:t>
            </w: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units</w:t>
            </w: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common stock purchase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11,281,950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49"/>
        </w:trPr>
        <w:tc>
          <w:tcPr>
            <w:tcW w:w="39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12,384</w:t>
            </w:r>
          </w:p>
        </w:tc>
        <w:tc>
          <w:tcPr>
            <w:tcW w:w="0" w:type="dxa"/>
            <w:vAlign w:val="bottom"/>
          </w:tcPr>
          <w:p>
            <w:pPr>
              <w:spacing w:after="0"/>
              <w:rPr>
                <w:sz w:val="1"/>
                <w:szCs w:val="1"/>
                <w:color w:val="auto"/>
              </w:rPr>
            </w:pPr>
          </w:p>
        </w:tc>
      </w:tr>
      <w:tr>
        <w:trPr>
          <w:trHeight w:val="148"/>
        </w:trPr>
        <w:tc>
          <w:tcPr>
            <w:tcW w:w="39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(64,923)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(64,923)</w:t>
            </w:r>
          </w:p>
        </w:tc>
        <w:tc>
          <w:tcPr>
            <w:tcW w:w="0" w:type="dxa"/>
            <w:vAlign w:val="bottom"/>
          </w:tcPr>
          <w:p>
            <w:pPr>
              <w:spacing w:after="0"/>
              <w:rPr>
                <w:sz w:val="1"/>
                <w:szCs w:val="1"/>
                <w:color w:val="auto"/>
              </w:rPr>
            </w:pPr>
          </w:p>
        </w:tc>
      </w:tr>
      <w:tr>
        <w:trPr>
          <w:trHeight w:val="142"/>
        </w:trPr>
        <w:tc>
          <w:tcPr>
            <w:tcW w:w="39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120,499,433</w:t>
            </w:r>
          </w:p>
        </w:tc>
        <w:tc>
          <w:tcPr>
            <w:tcW w:w="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1,070,255</w:t>
            </w:r>
          </w:p>
        </w:tc>
        <w:tc>
          <w:tcPr>
            <w:tcW w:w="1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(967,784)</w:t>
            </w:r>
          </w:p>
        </w:tc>
        <w:tc>
          <w:tcPr>
            <w:tcW w:w="80" w:type="dxa"/>
            <w:vAlign w:val="bottom"/>
            <w:gridSpan w:val="2"/>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103,082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ACLARIS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In-process research and development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Deferred income</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of deferred transaction consideration for in-licensed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Acquisition of in-licensed assets, including transaction costs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under securities purchase agreement, net of</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costs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Payments of deferred transaction consideration for in-licensed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of employee withholding taxes related to restricted stock unit award vesting</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exercise of employee stock options and the issuance of stock</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of warrants issued in connection with in-license agreement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transaction consideration in connection with in-license agreement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ACLARIS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ind w:left="700" w:right="5959" w:hanging="650"/>
        <w:spacing w:after="0" w:line="503" w:lineRule="auto"/>
        <w:tabs>
          <w:tab w:leader="none" w:pos="23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Business Overview</w:t>
      </w: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Aclaris Therapeutics, Inc. was incorporated under the laws of the State of Delaware in 2012. Aclaris Therapeutics, Inc. and its wholly owned subsidiaries are referred to collectively as the “Company.”</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is a clinical-stage biopharmaceutical company focused on discovering and developing novel small and large molecule product candidates for immuno-inflammatory diseases. The Company’s proprietary KINect drug discovery platform coupled with its integrated discovery approach to small and large molecules enables the Company to identify and advance product candidates designed to have superior target affinity, specificity and potency. The Company is seeking to identify and consummate transactions with third-party partners to further develop, obtain marketing approval for and/or commercialize its novel product candidates.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in the ordinary course of business. As of December 31, 2025, the Company had cash, cash equivalents and marketable securities of $151.4 million and an accumulated deficit of $967.8 million. Since inception, the Company has incurred net losses and negative cash flows from its operations. There can be no assurance that profitable operations will ever be achieved, and, if achieved, will be sustained on a continuing basis. In addition, development activities, including clinical and preclinical testing of the Company’s product candidates, will require significant additional financing. The future viability of the Company is dependent on its ability to successfully develop its product candidates and to generate revenue from identifying and consummating transactions with third-party partners to further develop, obtain marketing approval for and/or commercialize its development assets or to raise additional capital to finance its operations. The Company will require additional capital to develop its product candidates and to support its discovery efforts.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 funds may not be available on a timely basis, on commercially acceptable terms, or at all, and such funds, if raised, may not be sufficient to enable the Company to continue to implement its long-term business strategy. The Company's ability to raise additional capital may be adversely impacted by potentially worsening global economic conditions caused by a variety of factors including geopolitical tensions, tariff policies, and inflationary pressures. If the Company is unable to raise sufficient additional capital or generate revenue from transactions with potential third-party partners for the development and/or commercialization of its product candidates, it may need to substantially curtail planned operations. The Company’s failure to raise capital as and when needed could have a negative impact on its financial condition and ability to pursue its business strategies.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Codification (“ASC”) Subtopic 205-40, Disclosure of Uncertainties about an Entity’s Ability to Continue as a Going Concern, the Company evaluated whether there are conditions and events, considered in the aggregate, that raise substantial doubt about the Company’s ability to continue as a going concern within one year after the date that its consolidated financial statements are issued. As of the report date, the Company does not believe that substantial doubt exists about its ability to continue as a going concern. The Company believes its existing cash, cash equivalents and marketable securities are sufficient to fund its operating and capital expenditure requirements for a period greater than 12 months from the date of issuance of these consolidated financial statements.</w:t>
      </w:r>
    </w:p>
    <w:p>
      <w:pPr>
        <w:spacing w:after="0" w:line="185" w:lineRule="exact"/>
        <w:rPr>
          <w:sz w:val="20"/>
          <w:szCs w:val="20"/>
          <w:color w:val="auto"/>
        </w:rPr>
      </w:pPr>
    </w:p>
    <w:p>
      <w:pPr>
        <w:ind w:left="700" w:right="5419" w:hanging="650"/>
        <w:spacing w:after="0" w:line="503" w:lineRule="auto"/>
        <w:tabs>
          <w:tab w:leader="none" w:pos="23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(“GAAP”). The consolidated financial statements of the Company include the accounts of the operating parent company, Aclaris Therapeutics, Inc., and its wholly owned subsidiaries. All intercompany transactions have been eliminated. Based upon the nature and size of the Company’s revenue, the Company believes that</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 does not provide a meaningful measure of profitability and, therefore, has not included a line item for gross profit on the consolidated statement of operations and comprehensive loss.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financial statement presentation.</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contingent consideration and the valuation of stock-based awards. Estimates are periodically reviewed in light of changes in circumstances, facts and experience. Actual results could differ from the Company’s estimates.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revenue in accordance with ASC Topic 606, Revenue from Contracts with Customers. Under ASC Topic 606, revenue is recognized when a customer obtains control of promised goods or services in an amount that reflects the consideration to which the Company expects to be entitled in exchange for those goods or services.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in accordance with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At contract inception, the Company assesses the goods or services promised within a contract with a customer to identify the performance obligations, and to determine if they are distinct. The Company recognizes the revenue that is allocated to each distinct performance obligation when (or as) that performance obligation is satisfied. The Company only recognizes revenue when collection of the consideration it is entitled to under a contract with a customer is probable.</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223" w:lineRule="exact"/>
        <w:rPr>
          <w:sz w:val="20"/>
          <w:szCs w:val="20"/>
          <w:color w:val="auto"/>
        </w:rPr>
      </w:pPr>
    </w:p>
    <w:p>
      <w:pPr>
        <w:jc w:val="both"/>
        <w:ind w:left="60" w:right="59"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Licenses of Intellectual Property </w:t>
      </w:r>
      <w:r>
        <w:rPr>
          <w:rFonts w:ascii="Times New Roman" w:cs="Times New Roman" w:eastAsia="Times New Roman" w:hAnsi="Times New Roman"/>
          <w:sz w:val="18"/>
          <w:szCs w:val="18"/>
          <w:color w:val="auto"/>
        </w:rPr>
        <w:t>– The Company recognizes revenue received from non-refundable,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upfront fees related to the licensing of intellectual property when the intellectual property is determined to be distinct from the other performance obligations identified in the arrangement, the license has been transferred to the customer, and the customer is able to use and benefit from the license.</w:t>
      </w:r>
    </w:p>
    <w:p>
      <w:pPr>
        <w:spacing w:after="0" w:line="176" w:lineRule="exact"/>
        <w:rPr>
          <w:sz w:val="20"/>
          <w:szCs w:val="20"/>
          <w:color w:val="auto"/>
        </w:rPr>
      </w:pPr>
    </w:p>
    <w:p>
      <w:pPr>
        <w:jc w:val="both"/>
        <w:ind w:left="60" w:right="59"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Milestone and Royalty Payments </w:t>
      </w:r>
      <w:r>
        <w:rPr>
          <w:rFonts w:ascii="Times New Roman" w:cs="Times New Roman" w:eastAsia="Times New Roman" w:hAnsi="Times New Roman"/>
          <w:sz w:val="18"/>
          <w:szCs w:val="18"/>
          <w:color w:val="auto"/>
        </w:rPr>
        <w:t>– The Company considers any future potential milestones and sales-based royalties to be variable consideration. The Company recognizes revenue from development, regulatory and anniversary milestone payments as they are achieved. The Company recognizes revenue from commercial milestones and royalty payments as the sales occur.</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Deferred Income Related to the Sale of Future Royalties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amortizes its deferred income liability related to the sale of future OLUMIANT® (baricitinib) royalties under the units-of-revenue method by computing a ratio of the proceeds received to the total expected payments over the term of the royalty purchase agreement and then applying that ratio to the period’s estimated cash payment (see Note 12). The amortization is based on the Company’s current estimate of future royalty payments.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three months or less at acquisition date to be cash equivalents. Cash equivalents, which have consisted of money market funds and commercial paper, are stated at fair value.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Marketable securities with original maturities of greater than three months and remaining maturities of less than one year from the balance sheet date are classified as short-term. Marketable securities with remaining maturities of greater than one year from the balance sheet date are classified as long-term.</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classifies all marketable securities as available-for-sale securities. The Company’s marketable securities are measured and reported at fair value using either quoted prices in active markets for identical securities or quoted prices in markets that are not active for identical or similar securities. Unrealized gains and losses are reported as a separate component of stockholders’ equity. The cost of securities sold is determined on a specific identification basis, and realized gains and losses, if any, are included in other income within the consolidated statement of operations and comprehensive loss. If any adjustment to fair value reflects a decline in the value of the investment, the Company considers available evidence to evaluate the extent to which the decline is “other than temporary” and reduces the investment to fair value through a charge to the statement of operations and comprehensive loss.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$2.2 million in discontinued operations reported as other current liabilities in the Company’s consolidated balance sheet, related to discontinued commercial products.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Leases represent a company’s right to use an underlying asset and a corresponding obligation to make payments to a lessor for the right to use those assets. The Company evaluates leases at their inception to determine if they are an operating lease or a finance lease. A lease is accounted for as a finance lease if it meets one of the following five criteria: the lease has a purchase option that is reasonably certain of being exercised, the present value of the future cash flows are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assets and liabilities for leases at their inception based upon the present value of all payments due under the lease. The Company uses an incremental borrowing rate to determine the present value of operating leases. The Company determines incremental borrowing rates by referencing collateralized borrowing rates for debt instruments with terms similar to the respective lease. The Company recognizes expense for operating leases on a straight-line basis over the term of each lease. The Company includes estimates for any residual value guarantee obligations under its leases in lease liabilities recorded on its consolidated balance sheet.</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Right-of-use assets are included in other assets on the Company’s consolidated balance sheet for operating leases. Obligations for lease payments are included in other current liabilities and other liabilities on the Company’s consolidated balance sheet for operating leases.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a contingent consideration liability related to future potential payments resulting from the acquisition of Confluence Life Sciences, Inc. (now known as Aclaris Life Sciences, Inc.) (“Confluence”) based upon significant unobservable inputs including the achievement of regulatory and commercial milestones, as well as estimated future sales levels and the discount rates applied to calculate the present value of the potential payments. Significant judgment is involved in determining the appropriateness of these assumptions. These assumptions are considered Level 3 inputs. Revaluation of the contingent consideration liability can result from changes to one or more of these assumptions. The Company evaluates the fair value estimate of the contingent consideration liability on a quarterly basis with changes, if any, recorded as income or expense in the consolidated statement of operations and comprehensive loss.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is estimated using a probability-weighted expected payment model for regulatory milestone payments and a Monte Carlo simulation model for commercial milestone and royalty payments and then applying a risk-adjusted discount rate to calculate the present value of the potential payments. Significant assumptions used in the Company’s estimates include the probability of achieving regulatory milestones and commencing</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commercialization (collectively referred to as “probability of success”), which are based on an asset’s current stage of development and a review of existing clinical data. Probability of success assumptions ranged between 21% and 40% at December 31, 2025. Additionally, estimated future sales levels and the risk-adjusted discount rate applied to the potential payments are also significant assumptions used in calculating the fair value. As of December 31, 2025, the discount rate ranged between 6.7% and 8.7% depending on the year of each potential payment.</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stock-based compensation and benefits of employees, and other operational costs related to the Company’s research and development activities, including depreciation expenses and the cost of research and development contracts which the Company has entered into with outside vendors to conduct both preclinical studies and clinical trials. Significant judgment and estimates are made in determining the amount of research and development costs recognized in each reporting period. The Company analyzes the progress of its preclinical studies and clinical trials, completion of milestone events, invoices received and contracted costs when estimating research and development costs. Actual results could differ from the Company’s estimates. The Company’s historical estimates for research and development costs have not been materially different from the actual costs.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Company entered into an exclusive license agreement with Biosion, Inc. (“Biosion”) (as described in Note 11). This transaction has been accounted for as an asset acquisition in accordance with the Financial Accounting Standards Board (“FASB”) ASC 805-50, rather than a business combination. Cash payments and issuances of equity instruments for in-process research and development (“IPR&amp;D”), as well as future payments, are initially treated as the acquisition of an asset but then immediately expensed as there is no future alternative use under the accounting guidance for the asset. These payments are reflected as IPR&amp;D expense on the Company’s consolidated statements of operations and comprehensive loss.</w:t>
      </w:r>
    </w:p>
    <w:p>
      <w:pPr>
        <w:spacing w:after="0" w:line="18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an asset acquisition because substantially all of the fair value of the assets acquired is concentrated in a single asset. ASC 805-10-55-5A, which sets forth a screen test, provides that if substantially all of the fair value of assets acquired is concentrated in a single identifiable asset or group of similar identifiable assets, the assets acquired are not a business.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the compensation expense of stock-based awards granted to employees and directors using the grant date fair value of the award. The Company has issued stock options and restricted stock unit (“RSU”) awards with service-based vesting conditions. For service-based awards, the Company recognizes stock-based compensation expense on a straight-line basis over the requisite service period, which is typically four years. The impact of forfeitures is recognized in the period in which they occur.</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the compensation expense of stock-based awards granted to consultants using the grant date fair value of the award. The Company recognizes compensation expense over the period during which services are rendered by the consultant.</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 of operations and comprehensive loss in the same manner in which the award recipient’s payroll costs are classified or in which the award recipients’ service payments are classified.</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estimates expected volatility based on its stock price’s historical volatility, as the Company has determined that it has adequate historical data regarding the volatility of its own publicly-traded stock price. The expected term of the Company’s stock options has been determined using the “simplified” method for awards that qualify as “plain 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Company uses an expected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dividend yield of zero because the Company has never paid cash dividends and does not expect to pay cash dividends in the future.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each RSU is measured using the closing price of the Company’s common stock on the date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grant.</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All patent 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and unrecognized tax benefits that are considered appropriate, as well as the related net interest and penalties.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Comprehensive loss is primarily composed of net loss and unrealized gains (losses) on marketable securities.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share is computed using the sum of the weighted average number of common shares outstanding during the period, plus the weighted average number of potential shares of common stock from the assumed exercise of stock options and the assumed vesting of RSUs, if dilutive. Since the Company was in a net loss position, basic and diluted net loss per share were the same for each of the periods presented.</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assets and liabilities carried at fair value are to be classified and disclosed in one of the following three levels of the fair value hierarchy, of which the first two are considered observable and the last is considered unobservable:</w:t>
      </w:r>
    </w:p>
    <w:p>
      <w:pPr>
        <w:spacing w:after="0" w:line="162" w:lineRule="exact"/>
        <w:rPr>
          <w:sz w:val="20"/>
          <w:szCs w:val="20"/>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cash equivalents, marketable securities and contingent consideration are carried at fair value, determined according to the fair value hierarchy described above. The carrying value of the Company’s accounts payable and accrued expenses approximate fair value due to the short-term nature of these liabilities.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Concentration of Credit Risk and of Significant Suppliers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and marketable securities. The Company holds all cash, cash equivalents and marketable securities balances at three accredited financial institutions, the majority of which are in amounts that exceed or are not subject to federally insured limits. The Company does not believe that it is subject to unusual credit risk beyond the normal credit risk associated with commercial banking relationships.</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drug product, including all underlying components, for its research and development activities, including preclinical and clinical testing. These activities could be adversely affected by a significant interruption in the supply of active pharmaceutical ingredients or other components.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components of a company for which separate financial information is available and evaluated regularly by the chief operating decision maker (“CODM”) in assessing performance and deciding how to allocate resources. The Company considers its Chief Executive Officer to be its CODM.</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Historically, the Company had concluded it operated as two reportable segments, therapeutics and contract research. In December 2025, the Company reevaluated its operating segments and concluded it operates and reports as one reportable segment. The Company’s conclusion is based on changes to the discrete financial reporting information regularly provided to the CODM for the purpose of making operating decisions, assessing financial performance, and allocating resources. Certain prior year amounts have been reclassified to conform to the current year presentation. Such reclassifications had no effect on the previously reported results of operations or financial position.</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reportable segment focuses on identifying and developing innovative therapies to address significant unmet needs for immuno-inflammatory diseases. The segment earns revenue through the licensing of its intellectual property and the provision of laboratory services. As of December 31, 2025 and 2024, all of the Company’s assets were held in the United States.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Accounting Standards Update (“ASU”) No. 2025-12, “Interim Reporting (Topic 270): Narrow-Scope Improvements.” This standard clarifies interim disclosure requirements and the applicability of Topic 270. The ASU becomes effective for interim reporting periods within annual reporting periods beginning after December 15, 2027. The Company is currently assessing the impact of this ASU.</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—Expense Disaggregation Disclosures (Subtopic 220-40): Disaggregation of Income Statement Expenses.” This standard requires disclosure of additional information about specific expense categories in the notes to financial statements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an annual and interim basis. This ASU becomes effective for annual periods beginning after December 15, 2026 and interim periods within annual reporting periods beginning after December 15, 2027. The Company is currently assessing the impact of this ASU.</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standard enhances disclosures related to income taxes, including the rate reconciliation and information on income taxes paid. The Company adopted ASU No. 2023-09 effective December 31, 2025, on a prospective basis, the impact of which is limited to additional income tax disclosures in the notes to the Company’s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fair value measurements of the Company’s financial assets and liabilities which are measured at fair value on a recurring and non-recurring basis, and indicate the level of the fair value hierarchy utilized to determine such fair values: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2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$ 16,302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131,403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8"/>
                <w:szCs w:val="18"/>
                <w:color w:val="auto"/>
                <w:w w:val="91"/>
              </w:rPr>
              <w:t>$ 16,302</w:t>
            </w:r>
          </w:p>
        </w:tc>
        <w:tc>
          <w:tcPr>
            <w:tcW w:w="1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$ 131,403</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$ 147,705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$ 11,000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$ 22,245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179,326</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179,326</w:t>
            </w:r>
          </w:p>
        </w:tc>
        <w:tc>
          <w:tcPr>
            <w:tcW w:w="0" w:type="dxa"/>
            <w:vAlign w:val="bottom"/>
          </w:tcPr>
          <w:p>
            <w:pPr>
              <w:spacing w:after="0"/>
              <w:rPr>
                <w:sz w:val="1"/>
                <w:szCs w:val="1"/>
                <w:color w:val="auto"/>
              </w:rPr>
            </w:pPr>
          </w:p>
        </w:tc>
      </w:tr>
      <w:tr>
        <w:trPr>
          <w:trHeight w:val="25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$ 22,245</w:t>
            </w:r>
          </w:p>
        </w:tc>
        <w:tc>
          <w:tcPr>
            <w:tcW w:w="18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$ 179,326</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$ 201,571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1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Company’s cash equivalents consisted of money market funds, which were valued based upon Level 1 inputs. The Company’s marketable securities as of December 31, 2025 consisted of corporate debt securities and U.S. government debt securities, which were all valued based upon Level 2 inputs. The Company’s marketable securities as of December 31, 2024 consisted of commercial paper, corporate debt securities, foreign government agency debt securities, and U.S. government and government agency debt securities, which were all valued based upon Level 2 inputs.</w:t>
      </w:r>
    </w:p>
    <w:p>
      <w:pPr>
        <w:spacing w:after="0" w:line="18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its Level 2 investments, the Company relied on quoted prices for identical securities in markets that are not active. These quoted prices were obtained by the Company with the assistance of a third-party pricing service based on available trade, bid and other observable market data for identical securities. During the years ended December 31, 2025 and 2024, there were no transfers into or out of Level 3.</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overall $2.3 million increase in the fair value of the contingent consideration liability during the year ended December 31, 2025 was primarily due to changes to the probability of success for certain product candidates and the passage of time.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fair value of the Company’s available-for-sale marketable securities by type of security was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Book</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8"/>
                <w:szCs w:val="18"/>
                <w:color w:val="auto"/>
              </w:rPr>
              <w:t>Corporate debt securities</w:t>
            </w:r>
            <w:r>
              <w:rPr>
                <w:rFonts w:ascii="Times New Roman" w:cs="Times New Roman" w:eastAsia="Times New Roman" w:hAnsi="Times New Roman"/>
                <w:sz w:val="21"/>
                <w:szCs w:val="21"/>
                <w:color w:val="auto"/>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85,222</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8"/>
                <w:szCs w:val="18"/>
                <w:color w:val="auto"/>
              </w:rPr>
              <w:t>U.S. government debt securities</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0" w:hanging="334"/>
        <w:spacing w:after="0"/>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Corporate debt securities is $45.4 million with maturity dates between one and three years.</w:t>
      </w:r>
    </w:p>
    <w:p>
      <w:pPr>
        <w:spacing w:after="0" w:line="27" w:lineRule="exact"/>
        <w:rPr>
          <w:rFonts w:ascii="Times New Roman" w:cs="Times New Roman" w:eastAsia="Times New Roman" w:hAnsi="Times New Roman"/>
          <w:sz w:val="18"/>
          <w:szCs w:val="18"/>
          <w:color w:val="auto"/>
        </w:rPr>
      </w:pPr>
    </w:p>
    <w:p>
      <w:pPr>
        <w:ind w:left="600" w:hanging="334"/>
        <w:spacing w:after="0"/>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U.S. government debt securities is $15.2 million with maturity dates between one and three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Book</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78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8"/>
                <w:szCs w:val="18"/>
                <w:color w:val="auto"/>
              </w:rPr>
              <w:t>Corporate debt securities</w:t>
            </w:r>
            <w:r>
              <w:rPr>
                <w:rFonts w:ascii="Times New Roman" w:cs="Times New Roman" w:eastAsia="Times New Roman" w:hAnsi="Times New Roman"/>
                <w:sz w:val="21"/>
                <w:szCs w:val="21"/>
                <w:color w:val="auto"/>
                <w:vertAlign w:val="superscript"/>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$ 105,154</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$ 105,190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Foreign government agency debt securities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20"/>
              <w:spacing w:after="0" w:line="216" w:lineRule="exact"/>
              <w:rPr>
                <w:sz w:val="20"/>
                <w:szCs w:val="20"/>
                <w:color w:val="auto"/>
              </w:rPr>
            </w:pPr>
            <w:r>
              <w:rPr>
                <w:rFonts w:ascii="Times New Roman" w:cs="Times New Roman" w:eastAsia="Times New Roman" w:hAnsi="Times New Roman"/>
                <w:sz w:val="18"/>
                <w:szCs w:val="18"/>
                <w:color w:val="auto"/>
              </w:rPr>
              <w:t>U.S. government and government agency debt securities</w:t>
            </w:r>
            <w:r>
              <w:rPr>
                <w:rFonts w:ascii="Times New Roman" w:cs="Times New Roman" w:eastAsia="Times New Roman" w:hAnsi="Times New Roman"/>
                <w:sz w:val="21"/>
                <w:szCs w:val="21"/>
                <w:color w:val="auto"/>
                <w:vertAlign w:val="superscript"/>
              </w:rPr>
              <w:t>(2)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$ 179,239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0" w:hanging="334"/>
        <w:spacing w:after="0"/>
        <w:tabs>
          <w:tab w:leader="none" w:pos="6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Corporate debt securities is $59.8 million with maturity dates between one and three years.</w:t>
      </w:r>
    </w:p>
    <w:p>
      <w:pPr>
        <w:spacing w:after="0" w:line="27" w:lineRule="exact"/>
        <w:rPr>
          <w:rFonts w:ascii="Times New Roman" w:cs="Times New Roman" w:eastAsia="Times New Roman" w:hAnsi="Times New Roman"/>
          <w:sz w:val="18"/>
          <w:szCs w:val="18"/>
          <w:color w:val="auto"/>
        </w:rPr>
      </w:pPr>
    </w:p>
    <w:p>
      <w:pPr>
        <w:ind w:left="600" w:right="79" w:hanging="334"/>
        <w:spacing w:after="0" w:line="260" w:lineRule="auto"/>
        <w:tabs>
          <w:tab w:leader="none" w:pos="6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U.S. government and government agency debt securities is $30.5 million with maturity dates between one and three years.</w:t>
      </w:r>
    </w:p>
    <w:p>
      <w:pPr>
        <w:spacing w:after="0" w:line="190" w:lineRule="exact"/>
        <w:rPr>
          <w:rFonts w:ascii="Times New Roman" w:cs="Times New Roman" w:eastAsia="Times New Roman" w:hAnsi="Times New Roman"/>
          <w:sz w:val="18"/>
          <w:szCs w:val="18"/>
          <w:color w:val="auto"/>
        </w:rPr>
      </w:pPr>
    </w:p>
    <w:p>
      <w:pPr>
        <w:ind w:left="240" w:hanging="190"/>
        <w:spacing w:after="0"/>
        <w:tabs>
          <w:tab w:leader="none" w:pos="2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compensation expenses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transaction consideration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Licensing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8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20,333</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right"/>
        <w:ind w:left="700" w:right="7099" w:hanging="650"/>
        <w:spacing w:after="0" w:line="516" w:lineRule="auto"/>
        <w:tabs>
          <w:tab w:leader="none" w:pos="232"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Preferred Stock</w:t>
      </w: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Company’s amended and restated certificate of incorporation (as amended, the “Charter”) authorized the Company to issue 10,000,000 shares of undesignated preferred stock. There were no shares of preferred stock outstanding as of December 31, 2025 and 2024.</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1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June 5, 2025, at the 2025 Annual Meeting of Stockholders, the Company’s stockholders approved an amendment to the Charter to increase the authorized number of shares of common stock from 200,000,000 shares to 400,000,000 shares. On June 5, 2025, the Company filed a Certificate of Amendment to the Charter with the Secretary of State of the State of Delaware, which became effective upon filing.</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Company’s Charter authorized the Company to issue 400,000,000 and 200,000,000 shares of $0.00001 par value common stock, respectively. There were 120,499,433 and 107,850,124 shares of common stock issued and outstanding as of December 31, 2025 and 2024, respectively.</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any preferential dividend rights of any series of preferred stock that may be outstanding. No dividends have been declared through December 31, 2025.</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Company issued warrants to Biosion and Chia Tai Tianqing Pharmaceutical Group, Co., Ltd. (“CTTQ”) to purchase, in the aggregate, 14,281,985 shares of the Company’s common stock (the “Warrants”). The Warrants have an initial exercise price of $0.00001 per share, subject to adjustment as provided in the Warrants. The Warrants are immediately exercisable, subject to any applicable overseas direct investment filing that may be required for the holders. The Warrants will terminate when exercised in full. The Company classified the Warrants within equity because they are indexed to the Company’s own stock. The Company assigned an estimated fair value of $44.8 million to the Warrants, which was based on the fair value of the Company’s common stock on the date of issuance less the nominal exercise price of $0.00001 per share.</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 December 2025, Biosion exercised 11,281,985 Warrants. As of December 31, 2025, 3,000,000 Warrants remained unexercised.</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November 2024, the Company closed a private placement in which it sold approximately 35.6 million shares of its common stock for aggregate gross proceeds of $80.0 million. The Company paid placement agent and other fees of $5.1 million in connection with the private placement.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Stock-Based Awards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April 2025, the Company’s board of directors adopted the 2025 Equity Incentive Plan (the “2025 Plan”), and in June 2025, the Company’s stockholders approved the 2025 Plan. Upon the 2025 Plan becoming effective, no further grants can be made under the Company’s 2015 Equity Incentive Plan (the “2015 Plan”). The 2025 Plan provides for the grant of incentive stock options, nonqualified stock options, stock appreciation rights, restricted stock awards, RSU awards, cash-based awards, and other stock-based awards. The number of shares initially reserved for issuance under the 2025 Plan was 25,532,993 shares of common stock, which includes (i) 9,000,000 new shares of common stock, (ii) 3,957,232 shares of common stock that remained available for future grant under the 2015 Plan upon adoption of the 2025 Plan and (iii) up to 12,575,761 shares of common stock underlying outstanding awards under the 2015 Plan and the former 2012 Equity Compensation Plan, which may become available for issuance under the 2025 Plan if and as such awards expire, are otherwise terminated, settled in cash, or repurchased by the Company. The shares of common stock underlying any awards that expire, or are otherwise terminated, settled in cash or repurchased by the Company under the 2025 Plan will be added back to the shares of common stock available for issuance under the 2025 Plan. As of December 31, 2025, 12,442,759 shares remained available for grant under the 2025 Plan. The Company had 1,007,910 stock options and 320,840 RSUs outstanding as of December 31, 2025 under the 2025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2024 Inducement Plan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November 2024, the Company’s board of directors adopted the 2024 Inducement Plan (the “2024 Inducement Plan”). The 2024 Inducement Plan is a non-stockholder approved stock plan adopted pursuant to the “inducement exception” provided under Nasdaq listing rules. The only employees eligible to receive grants of awards under the 2024 Inducement Plan are individuals who satisfy the standards for inducement grants under Nasdaq rules, generally including individuals who were not previously an employee or director of the Company. Under the terms of the 2024 Inducement Plan, the Company may grant up to 2,000,000 shares of common stock pursuant to nonqualified stock options, stock appreciation rights, restricted stock awards, RSU awards, and other stock awards. The shares of common stock underlying any awards that expire, or are otherwise terminated, settled in cash or repurchased by the Company under the 2024 Inducement Plan will be added back to the shares of common stock available for issuance under the 2024 Inducement Plan. As of December 31, 2025, 493,500 shares remained available for grant under the 2024 Inducement Plan. The Company had 1,172,000 stock options and 302,500 RSUs outstanding as of December 31, 2025 under the 2024 Inducement Plan.</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2017 Inducement Plan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2017, the Company’s board of directors adopted the 2017 Inducement Plan (the “2017 Inducement Plan”). The 2017 Inducement Plan is a non-stockholder approved stock plan adopted pursuant to the “inducement exception” provided under Nasdaq listing rules. The Company had 325,000 stock options outstanding as of December 31, 2025 under the 2017 Inducement Plan. All shares of common stock that were eligible for issuance under the 2017 Inducement Plan after October 1, 2018, including any shares underlying any awards that expire or are otherwise terminated, reacquired to satisfy tax withholding obligations, settled in cash or repurchased by the Company in the future that would have been eligible for re-issuance under the 2017 Inducement Plan, were retired.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September 2015, the Company’s board of directors adopted the 2015 Plan, and the Company’s stockholders approved the 2015 Plan. The 2015 Plan became effective in connection with the Company’s initial public offering in October 2015. Upon the 2025 Plan becoming effective, no further grants can be made under the 2015 Plan. The Company had 8,764,489 stock options and 2,179,891 RSUs outstanding as of December 31, 2025 under the 2015 Plan.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 Option Valuation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the Company used to estimate the fair value of stock options granted during the years ended December 31, 2025 and 2024 were as follows: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gridSpan w:val="2"/>
          </w:tcPr>
          <w:p>
            <w:pPr>
              <w:ind w:left="532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82.79 %</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81.62 %</w:t>
            </w:r>
          </w:p>
        </w:tc>
      </w:tr>
      <w:tr>
        <w:trPr>
          <w:trHeight w:val="234"/>
        </w:trPr>
        <w:tc>
          <w:tcPr>
            <w:tcW w:w="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17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awards over their vesting period. Compensation expense for awards includes the impact of forfeitures in the period when they occur.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years ended December 31, 2025 and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60" w:type="dxa"/>
            <w:vAlign w:val="bottom"/>
            <w:gridSpan w:val="2"/>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9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 and years)</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left="7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1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6,419,455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2,608,700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(2,143,800)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6,721,967</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9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5,407,305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11,269,399</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0" w:type="dxa"/>
            <w:vAlign w:val="bottom"/>
          </w:tcPr>
          <w:p>
            <w:pPr>
              <w:spacing w:after="0"/>
              <w:rPr>
                <w:sz w:val="1"/>
                <w:szCs w:val="1"/>
                <w:color w:val="auto"/>
              </w:rPr>
            </w:pPr>
          </w:p>
        </w:tc>
      </w:tr>
      <w:tr>
        <w:trPr>
          <w:trHeight w:val="197"/>
        </w:trPr>
        <w:tc>
          <w:tcPr>
            <w:tcW w:w="51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as of December 31, 2025</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11,269,399</w:t>
            </w: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6.72</w:t>
            </w:r>
          </w:p>
        </w:tc>
        <w:tc>
          <w:tcPr>
            <w:tcW w:w="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8,597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December 31, 2025</w:t>
            </w:r>
          </w:p>
        </w:tc>
        <w:tc>
          <w:tcPr>
            <w:tcW w:w="1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4,174,406</w:t>
            </w:r>
          </w:p>
        </w:tc>
        <w:tc>
          <w:tcPr>
            <w:tcW w:w="2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2025 and 2024 was $1.61 and $1.34 per share,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RSU activity for the years ended December 31, 2025 and 2024:</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260" w:type="dxa"/>
            <w:vAlign w:val="bottom"/>
            <w:gridSpan w:val="3"/>
            <w:vMerge w:val="continue"/>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Forfeited and cancelled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2,190,582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Forfeited and cancelled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1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in total costs and expenses on the consolidated statement of operations and comprehensive loss included the following:</w:t>
      </w:r>
    </w:p>
    <w:p>
      <w:pPr>
        <w:spacing w:after="0" w:line="14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Borders>
              <w:top w:val="single" w:sz="8" w:color="auto"/>
            </w:tcBorders>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gridSpan w:val="2"/>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60" w:type="dxa"/>
            <w:vAlign w:val="bottom"/>
            <w:vMerge w:val="continue"/>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shd w:val="clear" w:color="auto" w:fill="CCEEFF"/>
          </w:tcPr>
          <w:p>
            <w:pPr>
              <w:spacing w:after="0"/>
              <w:rPr>
                <w:sz w:val="9"/>
                <w:szCs w:val="9"/>
                <w:color w:val="auto"/>
              </w:rPr>
            </w:pPr>
          </w:p>
        </w:tc>
        <w:tc>
          <w:tcPr>
            <w:tcW w:w="280" w:type="dxa"/>
            <w:vAlign w:val="bottom"/>
            <w:gridSpan w:val="2"/>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300" w:type="dxa"/>
            <w:vAlign w:val="bottom"/>
            <w:gridSpan w:val="3"/>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0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18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unrecognized stock-based compensation expense for stock options and RSUs of $11.1 million and $6.1 million, respectively, which is expected to be recognized over weighted average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periods of 2.5 years and 2.3 years,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Basic and diluted net loss per share is summarized in the following table:</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(132,065)</w:t>
            </w:r>
          </w:p>
        </w:tc>
        <w:tc>
          <w:tcPr>
            <w:tcW w:w="0" w:type="dxa"/>
            <w:vAlign w:val="bottom"/>
          </w:tcPr>
          <w:p>
            <w:pPr>
              <w:spacing w:after="0"/>
              <w:rPr>
                <w:sz w:val="1"/>
                <w:szCs w:val="1"/>
                <w:color w:val="auto"/>
              </w:rPr>
            </w:pPr>
          </w:p>
        </w:tc>
      </w:tr>
      <w:tr>
        <w:trPr>
          <w:trHeight w:val="197"/>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122,564,741</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77,296,665</w:t>
            </w:r>
          </w:p>
        </w:tc>
        <w:tc>
          <w:tcPr>
            <w:tcW w:w="0" w:type="dxa"/>
            <w:vAlign w:val="bottom"/>
          </w:tcPr>
          <w:p>
            <w:pPr>
              <w:spacing w:after="0"/>
              <w:rPr>
                <w:sz w:val="1"/>
                <w:szCs w:val="1"/>
                <w:color w:val="auto"/>
              </w:rPr>
            </w:pPr>
          </w:p>
        </w:tc>
      </w:tr>
      <w:tr>
        <w:trPr>
          <w:trHeight w:val="197"/>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included stock options and RSUs, have been excluded from the computation of diluted net loss per share since the effect would be to reduce the net loss per share. Therefore, the weighted average number of shares of common stock outstanding used to calculate both basic and diluted net loss per share is the same. For the years ended December 31, 2025 and 2024, the basic and diluted weighted average shares outstanding included the shares of common stock issuable upon exercise of the outstanding Warrants, as there were no outstanding contingencies associated with the vesting or exercisability of the Warrants.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potential shares of common stock excluded from the calculation of diluted net loss per share for the years ended December 31, 2025 and 2024. All share amounts presented in the table below represent the total number outstanding as of December 31, 2025 and 2024.</w:t>
      </w:r>
    </w:p>
    <w:p>
      <w:pPr>
        <w:spacing w:after="0" w:line="16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5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11,269,399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6,721,967</w:t>
            </w:r>
          </w:p>
        </w:tc>
      </w:tr>
      <w:tr>
        <w:trPr>
          <w:trHeight w:val="216"/>
        </w:trPr>
        <w:tc>
          <w:tcPr>
            <w:tcW w:w="6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2,803,231</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2,276,151</w:t>
            </w:r>
          </w:p>
        </w:tc>
      </w:tr>
      <w:tr>
        <w:trPr>
          <w:trHeight w:val="209"/>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 shares of common stock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14,072,630</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8,998,118</w:t>
            </w:r>
          </w:p>
        </w:tc>
      </w:tr>
      <w:tr>
        <w:trPr>
          <w:trHeight w:val="20"/>
        </w:trPr>
        <w:tc>
          <w:tcPr>
            <w:tcW w:w="6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1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office space and laboratory facilities. Rent expense was $0.8 million and $0.9 million for the years ended December 31, 2025 and 2024, respectively, which was recognized on a straight-line basis over the term of the lease.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Agreements for Office and Laboratory Space</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May 2023, the Company entered into a lease agreement pursuant to which it leases 11,564 square feet of office space for its headquarters in Wayne, Pennsylvania. The lease commenced in November 2023 and has a term that runs through February 2029.</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February 2019, the Company entered into a sublease agreement for 20,433 square feet of office and laboratory space in St. Louis, Missouri. The lease commenced in June 2019 and has a term that runs through May 2029. In January 2023, the Company amended the sublease agreement to add an additional 6,261 square feet of office and laboratory space effective February 2023. The Company exercised its option to terminate the leasing of the additional space effective as of June 30, 2024.</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is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9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2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216"/>
        </w:trPr>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49"/>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197"/>
        </w:trPr>
        <w:tc>
          <w:tcPr>
            <w:tcW w:w="6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6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0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operating lease right-of-use assets and accretion of operating lease liabilities totaled $0.6 million and $0.5 million for the years ended December 31, 2025 and 2024, respectively.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information related to operating leases is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years and percentages)</w:t>
            </w:r>
          </w:p>
        </w:tc>
        <w:tc>
          <w:tcPr>
            <w:tcW w:w="260" w:type="dxa"/>
            <w:vAlign w:val="bottom"/>
          </w:tcPr>
          <w:p>
            <w:pPr>
              <w:spacing w:after="0"/>
              <w:rPr>
                <w:sz w:val="17"/>
                <w:szCs w:val="17"/>
                <w:color w:val="auto"/>
              </w:rPr>
            </w:pPr>
          </w:p>
        </w:tc>
        <w:tc>
          <w:tcPr>
            <w:tcW w:w="22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9"/>
        </w:trPr>
        <w:tc>
          <w:tcPr>
            <w:tcW w:w="62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Lease Information:</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432"/>
        </w:trPr>
        <w:tc>
          <w:tcPr>
            <w:tcW w:w="66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operating lease agreements are as follows: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6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3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unrecognized interest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record an income tax benefit for net operating losses incurred in each year due to the uncertainty of realizing a benefit from those items.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Loss before income taxes is allocated as follows: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(64,923)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(132,065)</w:t>
            </w: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180" w:type="dxa"/>
            <w:vAlign w:val="bottom"/>
          </w:tcPr>
          <w:p>
            <w:pPr>
              <w:spacing w:after="0"/>
              <w:rPr>
                <w:sz w:val="19"/>
                <w:szCs w:val="19"/>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(64,923)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(132,065)</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U.S. federal statutory income tax rate to income before income taxes after the adoption of ASU 2023-09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3"/>
                <w:szCs w:val="13"/>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70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at U.S. statutory income tax rate</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(13,634)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(2,531)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14,366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royalty payments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726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1,073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U.S. federal statutory income tax rate to income before income taxes for years prior to the adoption of ASU 2023-09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Impact of state rate changes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equity compensation tax benefit, net of officer limitation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royalty payments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Deferred tax liabilities, net consisted of the following:</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7"/>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123,685</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Capitalized start-up costs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Section 174 research and development capitalization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shd w:val="clear" w:color="auto" w:fill="CCEEFF"/>
          </w:tcPr>
          <w:p>
            <w:pPr>
              <w:ind w:left="20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IPR&amp;D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Right-to-use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(224,360)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(“NOL”) carryforwards of $568.2 million and $100.7 million, respectively, which will begin to expire in 2032. As of December 31, 2025, the Company also had federal research and development tax credit carryforwards of $2.5 million which will begin to expire in 2045.</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Utilization of the NOLs and research and development tax credit carryforwards in the United States are subject to annual limitations under Section 382 of the Internal Revenue Code of 1986 due to ownership changes that have occurred previously or that could occur in the future. In general, an ownership change, as defined by Section 382, results from transactions increasing the ownership of certain stockholders or public groups in the stock of a corporation by more than 50% over a three-year period.</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completed an analysis under Section 382 for NOLs generated through December 31, 2024, and concluded that an ownership change occurred as of December 30, 2024. As a result of this ownership change a component of the Company’s research and development credits and state NOL carryforwards will expire prior to utilization. Accordingly, the Company has recorded an adjustment to write down its research and development credit and state NOL deferred tax assets in the amount of $21.9 million and $19.0 million, respectively. The write down of these deferred tax assets resulted in a corresponding adjustment to the Company’s valuation allowance.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may experience ownership changes in the future as a result of subsequent shifts in its stock ownership, some of which may be outside of the Company’s control. These future ownership changes may limit the amount of carryforwards that can be utilized annually to offset future taxable income.</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The Company considered its history of cumulative net losses incurred since inception, its lack of substantial revenue generated to date, and its forecasted future operating losses and concluded that it is more likely than not that the Company will not realize the benefits of its deferred tax assets. Accordingly, a full valuation allowance has been established against the deferred tax assets as of December 31, 2025 and 2024. The Company evaluates positive and negative evidence of its ability to realize deferred tax assets at each reporting period.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2025 and 2024, which related primarily to the increases in NOLs, capitalized research and development costs, and research and development tax credit carryforwards, offset by decreases to deferred tax assets associated with research and development tax credits and state NOL carryforwards due to the Section 382 ownership change described above, were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(224,360)</w:t>
            </w: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(195,124)</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Decreases recorded as benefit to income tax provision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(29,236)</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(197,111)</w:t>
            </w:r>
          </w:p>
        </w:tc>
        <w:tc>
          <w:tcPr>
            <w:tcW w:w="20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(224,360)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2022 to the present. All open years may be examined to the extent that tax credits or NOLs are used in future periods. The Company’s policy is to record interest and penalties related to income taxes as part of its income tax provision. The Company has not recorded any amounts for unrecognized tax benefits as of December 31, 2025 and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Related Party Transaction</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 November 2024, Anand Mehra, a member of the Company’s board of directors, purchased 666,666 shares of the Company’s common stock at a price per share of $2.25 in connection with a private placement.</w:t>
      </w:r>
    </w:p>
    <w:p>
      <w:pPr>
        <w:spacing w:after="0" w:line="158" w:lineRule="exact"/>
        <w:rPr>
          <w:sz w:val="20"/>
          <w:szCs w:val="20"/>
          <w:color w:val="auto"/>
        </w:rPr>
      </w:pPr>
    </w:p>
    <w:p>
      <w:pPr>
        <w:ind w:left="700" w:right="4939" w:hanging="650"/>
        <w:spacing w:after="0" w:line="532" w:lineRule="auto"/>
        <w:tabs>
          <w:tab w:leader="none" w:pos="312"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Agreements Related to Intellectual Property Exclusive License Agreement – Biosion, Inc.</w:t>
      </w:r>
    </w:p>
    <w:p>
      <w:pPr>
        <w:spacing w:after="0" w:line="1" w:lineRule="exact"/>
        <w:rPr>
          <w:rFonts w:ascii="Times New Roman" w:cs="Times New Roman" w:eastAsia="Times New Roman" w:hAnsi="Times New Roman"/>
          <w:sz w:val="17"/>
          <w:szCs w:val="17"/>
          <w:b w:val="1"/>
          <w:bCs w:val="1"/>
          <w:color w:val="auto"/>
        </w:rPr>
      </w:pPr>
    </w:p>
    <w:p>
      <w:pPr>
        <w:ind w:left="7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2024, the Company entered into an exclusive license agreement (the “Biosion Agreement”) with</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Biosion, pursuant to which it received the exclusive rights to develop, manufacture and commercialize bosakitug (ATI-045) and ATI-052 worldwide, excluding Mainland China, Macau, Hong Kong and Taiwan (“Greater China”). In connection with the Biosion Agreement, the Company also entered into a collaboration agreement (the “CTTQ Agreement”, and together with the Biosion Agreement, the ‘Biosion Agreements”) with Biosion and CTTQ, a licensee of bosakitug in Greater China.</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partial consideration for the rights and licenses under the Biosion Agreements, the Company, in the aggregate,</w:t>
      </w:r>
    </w:p>
    <w:p>
      <w:pPr>
        <w:spacing w:after="0" w:line="27" w:lineRule="exact"/>
        <w:rPr>
          <w:sz w:val="20"/>
          <w:szCs w:val="20"/>
          <w:color w:val="auto"/>
        </w:rPr>
      </w:pPr>
    </w:p>
    <w:p>
      <w:pPr>
        <w:ind w:left="280" w:hanging="230"/>
        <w:spacing w:after="0"/>
        <w:tabs>
          <w:tab w:leader="none" w:pos="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$30.0 million in upfront cash consideration, plus $4.5 million for the reimbursement of certain development costs,</w:t>
      </w:r>
    </w:p>
    <w:p>
      <w:pPr>
        <w:spacing w:after="0" w:line="9" w:lineRule="exact"/>
        <w:rPr>
          <w:rFonts w:ascii="Times New Roman" w:cs="Times New Roman" w:eastAsia="Times New Roman" w:hAnsi="Times New Roman"/>
          <w:sz w:val="18"/>
          <w:szCs w:val="18"/>
          <w:color w:val="auto"/>
        </w:rPr>
      </w:pPr>
    </w:p>
    <w:p>
      <w:pPr>
        <w:jc w:val="both"/>
        <w:ind w:left="60" w:right="79" w:hanging="10"/>
        <w:spacing w:after="0" w:line="255" w:lineRule="auto"/>
        <w:tabs>
          <w:tab w:leader="none" w:pos="3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the Warrants, and (iii) paid $6.2 million for the reimbursement of certain development costs and drug product material. The Company made cash payments of $6.2 million and $34.5 million as set forth in the Biosion Agreements during the years ended December 31, 2025 and 2024, respectively.</w:t>
      </w:r>
    </w:p>
    <w:p>
      <w:pPr>
        <w:spacing w:after="0" w:line="18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the Company agreed to pay, in the aggregate, (i) up to $125 million upon the achievement of specified regulatory milestones commencing with product approval, (ii) up to $795 million upon the achievement of specified sales milestones, (iii) a tiered low-to-mid single digit royalty based upon a percentage of annual net sales, subject to specified reductions as set forth in the Biosion Agreement, and (iv) a portion of any sublicense consideration received from the grant of any sublicense or similar rights under any of the rights or licenses granted to the Company under the Biosion Agreement. The Company will expense these payments in the period when either they are determined to be probable of occurring or when the payment is triggered.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License Agreement – Sun Pharmaceutical Industries, Inc.</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December 2023, the Company entered into an exclusive patent license agreement with Sun Pharmaceutical Industries, Inc. (“Sun Pharma”). Under the license agreement, the Company granted Sun Pharma exclusive rights under certain patents that the Company exclusively licenses from a third party. The patents relate to the use of deuruxolitinib, Sun Pharma’s Janus kinase (“JAK”) inhibitor, or other isotopic forms of ruxolitinib, to treat alopecia areata or androgenetic alopecia. Under the license agreement, Sun Pharma has paid the Company upfront, regulatory and commercial milestone payments, and has agreed to pay the Company other regulatory and commercial milestone payments upon the achievement of specified milestones set forth in the agreement, and a mid single-digit tiered royalty calculated as a percentage of Sun Pharma’s net sales. The Company has separate contractual obligations under which the Company has agreed to pay to third parties a portion of the consideration it may receive under the license agreement.</w:t>
      </w:r>
    </w:p>
    <w:p>
      <w:pPr>
        <w:spacing w:after="0" w:line="188" w:lineRule="exact"/>
        <w:rPr>
          <w:sz w:val="20"/>
          <w:szCs w:val="20"/>
          <w:color w:val="auto"/>
        </w:rPr>
      </w:pPr>
    </w:p>
    <w:p>
      <w:pPr>
        <w:jc w:val="both"/>
        <w:ind w:left="60" w:right="59" w:firstLine="707"/>
        <w:spacing w:after="0" w:line="282" w:lineRule="auto"/>
        <w:rPr>
          <w:sz w:val="20"/>
          <w:szCs w:val="20"/>
          <w:color w:val="auto"/>
        </w:rPr>
      </w:pPr>
      <w:r>
        <w:rPr>
          <w:rFonts w:ascii="Times New Roman" w:cs="Times New Roman" w:eastAsia="Times New Roman" w:hAnsi="Times New Roman"/>
          <w:sz w:val="18"/>
          <w:szCs w:val="18"/>
          <w:color w:val="auto"/>
        </w:rPr>
        <w:t>The Company recognized $1.2 million and $3.0 million of licensing revenue during the years ended December 31, 2025 and 2024, respectively, a portion of which was payable to third parties.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License Agreement – Pediatrix Therapeutics, Inc.</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2022, the Company entered into a license agreement with Pediatrix Therapeutics, Inc. (“Pediatrix”), under which the Company granted Pediatrix the exclusive rights to develop, manufacture and commercialize lepzacitinib in Greater China. Pediatrix has paid the Company an upfront payment, and has agreed to pay the Company development, regulatory and commercial milestone payments upon the achievement of specified milestones set forth in the agreement, and a tiered royalty ranging from a low-to-high single digit percentage of net sales of lepzacitinib by Pediatrix in Greater China. A portion of the consideration received from Pediatrix is payable to the former Confluence equity holders as described below under the caption “—Agreement and Plan of Merger - Confluence.”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License Agreement – Eli Lilly and Company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August 2022, the Company entered into a non-exclusive patent license agreement with Eli Lilly and Company (“Lilly”). Under the license agreement, the Company granted Lilly non-exclusive rights under certain patents and patent applications that the Company exclusively licenses from a third party. The patents and patent applications relate to the use of baricitinib, Lilly’s JAK inhibitor, to treat alopecia areata. Under the license agreement, Lilly has paid the Company upfront, anniversary, regulatory and commercial milestone payments. In addition, Lilly has agreed to pay the Company other commercial milestone payments upon the achievement of specified milestones and additional anniversary payments as set forth in the agreement, as well as a low single-digit royalty calculated as a percentage of Lilly’s net sales of baricitinib for the treatment of alopecia areata. The Company has separate contractual obligations under which the Company has agreed to pay to third parties an amount equal to any regulatory and commercial milestone payments it receives under the Lilly license agreement, as well as a portion of the upfront consideration and a portion of the royalties it may receive under</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license agreement. In July 2024, the Company entered into a royalty purchase agreement with OCM IP Healthcare Portfolio LP, an investment vehicle for Ontario Municipal Employees Retirement System (“OMERS”), pursuant to which the Company sold to OMERS a portion of the Company’s future royalty payments and the remaining anniversary milestones associated with the license to Lilly (see Note 12).</w:t>
      </w:r>
    </w:p>
    <w:p>
      <w:pPr>
        <w:spacing w:after="0" w:line="22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licensing revenue of $4.8 million, all of which was payable to third parties. During the year ended December 31, 2024, the Company recognized licensing revenue of $13.2 million, a portion of which was payable to third parties. As of December 31, 2024, a receivable of $8.6 million was recognized in other current assets, which represents licensing revenue that was due to third parties.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Asset Purchase Agreement – EPI Health, LLC</w:t>
      </w:r>
    </w:p>
    <w:p>
      <w:pPr>
        <w:spacing w:after="0" w:line="25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October 2019, the Company sold RHOFADE (oxymetazoline hydrochloride) cream, 1% (“RHOFADE”) to EPI Health, LLC (“EPI Health”) pursuant to an asset purchase agreement. In July 2023, EPI Health filed a voluntary petition for relief under Chapter 11 of the United States Bankruptcy Code. Through the bankruptcy process, EPI Health and its parent company, Novan, Inc., sold the RHOFADE assets to a third party, which excluded the Company’s asset purchase agreement with EPI Health and the outstanding amounts due. The sale was approved by the bankruptcy court in September 2023. As a result of the bankruptcy proceedings, all amounts that were due and outstanding by EPI Health had been fully reserved. In September 2025, the Company sold all of its right, title and interest in its bankruptcy claims against EPI Health and wrote off the remaining reserved balance as it was deemed uncollectible.</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Agreement and Plan of Merger – Confluence</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August 2017, the Company entered into an Agreement and Plan of Merger, pursuant to which it acquired Confluence (the “Confluence Agreement”). Under the Confluence Agreement, the Company agreed to pay the former Confluence equity holders aggregate remaining contingent consideration of up to $75.0 million based upon the achievement of specified regulatory and commercial milestones set forth in the Confluence Agreement. In addition, the Company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product-by-product basis or, in specified circumstances, ten years from the first commercial sale of such product. In addition to the payments described above, if the Company sells, licenses or transfers any of the intellectual property acquired from Confluence pursuant to the Confluence Agreement to a third party, the Company will be obligated to pay the former Confluence equity holders a portion of any consideration received from such sale, license or transfer in specified circumstances.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balance of the Company’s contingent consideration liability was $11.0 million and $8.7 million, respectively (see Note 3).</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Sale of Future Royalties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July 2024, the Company entered into a royalty purchase agreement with OMERS. Under the royalty purchase agreement, the Company sold to OMERS a portion of the Company’s future royalty payments and the remaining anniversary payments associated with the Company’s existing license to Lilly relating to OLUMIANT® (baricitinib) for the treatment of alopecia areata.</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royalty purchase agreement, the Company received an upfront payment of $26.5 million. In exchange, OMERS acquired a portion of the royalty payable by Lilly to the Company for worldwide net sales of OLUMIANT for the treatment of alopecia areata from April 1, 2024 through the remainder of the royalty term under the Company’s license agreement with Lilly, and 100% of the remaining anniversary milestone payments payable by Lilly to the Company under the license agreement.</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evaluated the arrangement and concluded that the proceeds from the sale of future royalties should be recorded as deferred income on the consolidated balance sheet, as the criteria for debt classification were not met in accordance with ASC Topic 470. In particular, the Company does not have significant continuing involvement in the generation of the cash flows due to OMERS and there are no guaranteed rates of return to OMERS. The Company recognizes non-cash royalty income under the “units-of-revenue” method in the consolidated statements of operations and comprehensive loss. For the years ended December 31, 2025 and 2024, the Company recognized $3.8 million and $1.9 million of non-cash royalty income, respectively. As of December 31, 2025, the current and non-current portions of the remaining deferred income recognized under the units-of revenue method were $3.9 million and $16.2 million,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Restructuring Charges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Company’s board of directors approved a reduction of the Company’s workforce by approximately 46%, which was completed as of December 31, 2024. During the year ended December 31, 2025, the Company made cash severance payments of $0.2 million to impacted employees. During the year ended December 31, 2024, the Company recognized severance expense of $2.7 million and made cash severance payments of $5.6 million to impacted employees.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and reports as one reportable segment, which focuses on identifying and developing innovative therapies to address significant unmet needs for immuno-inflammatory diseases. The segment earns revenue through the licensing of the Company’s intellectual property and the provision of laboratory services. All customers and revenue pertaining to the reportable segment are based in the United States.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When evaluating the Company’s financial performance, the CODM regularly reviews consolidated segment loss, total expense, and direct expenses by project. The CODM allocates resources based on the Company’s available cash resources and forecasted expenditures on a consolidated basis. Segment asset information regularly provided to the CODM is consistent with that reported on the consolidated balance sheet with particular emphasis on the Company’s available liquidity, including its cash, cash equivalents and marketable securities balances.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and other segment items regularly reviewed by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CODM for the years ended December 31, 2025 and 2024:</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Bosakitug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ATI-052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ATI-2138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ATI-9494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Discovery</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project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0"/>
              <w:spacing w:after="0" w:line="216" w:lineRule="exact"/>
              <w:rPr>
                <w:sz w:val="20"/>
                <w:szCs w:val="20"/>
                <w:color w:val="auto"/>
              </w:rPr>
            </w:pPr>
            <w:r>
              <w:rPr>
                <w:rFonts w:ascii="Times New Roman" w:cs="Times New Roman" w:eastAsia="Times New Roman" w:hAnsi="Times New Roman"/>
                <w:sz w:val="17"/>
                <w:szCs w:val="17"/>
                <w:color w:val="auto"/>
              </w:rPr>
              <w:t>Other research and development</w:t>
            </w:r>
            <w:r>
              <w:rPr>
                <w:rFonts w:ascii="Times New Roman" w:cs="Times New Roman" w:eastAsia="Times New Roman" w:hAnsi="Times New Roman"/>
                <w:sz w:val="25"/>
                <w:szCs w:val="25"/>
                <w:color w:val="auto"/>
                <w:vertAlign w:val="superscript"/>
              </w:rPr>
              <w:t>(2)</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0" w:type="dxa"/>
            <w:vAlign w:val="bottom"/>
          </w:tcPr>
          <w:p>
            <w:pPr>
              <w:spacing w:after="0"/>
              <w:rPr>
                <w:sz w:val="1"/>
                <w:szCs w:val="1"/>
                <w:color w:val="auto"/>
              </w:rPr>
            </w:pPr>
          </w:p>
        </w:tc>
      </w:tr>
      <w:tr>
        <w:trPr>
          <w:trHeight w:val="20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8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86,905</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(76,375)</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(141,932)</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loss before income taxes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(132,065)</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20" w:right="79" w:hanging="319"/>
        <w:spacing w:after="0" w:line="261"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primarily consist of direct costs incurred to specific programs, including costs to conduct clinical trials and to manufacture clinical drug supply.</w:t>
      </w:r>
    </w:p>
    <w:p>
      <w:pPr>
        <w:jc w:val="both"/>
        <w:ind w:left="720" w:right="79" w:hanging="319"/>
        <w:spacing w:after="0" w:line="250"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primarily consist of indirect costs incurred in support of overall research and development activities and non-specific programs, including activities that benefit multiple programs, as well as stock-based compensation.</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consist principally of salaries and related costs, including stock-based compensation, for personnel in executive, administrative, finance and legal functions, as well as facility-related costs, professional fees, business development costs, insurance costs, and travel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our principal financial officer, we conducted an evaluation of the effectiveness of our disclosure controls and procedures as of December 31, 2025, the end of the period covered by this Annual Report. The term “disclosure controls and procedures,” as set forth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December 31, 2025, our principal executive officer and principal financial officer concluded that, as of such date, our disclosure controls and procedures were effective at the reasonable assurance level.</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of the Exchange Act. Management conducted an assessment of our internal control over financial reporting based on the framework established in 2013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the assessment, management concluded that our internal control over financial reporting was effective as of December 31, 2025 to provide reasonable assurance regarding the reliability of financial reporting and the preparation of financial statements for external purposes in accordance with U.S. GAAP.</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as required by Section 404(b) of the Sarbanes-Oxley Act of 2002. Because we are a non-accelerated filer under the SEC rules, management’s report was not subject to attestation by our independent registered public accounting firm.</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quarter ended December 31, 2025 that has materially affected, or is reasonably likely to materially affect, our internal control over financial reporting.</w:t>
      </w:r>
    </w:p>
    <w:p>
      <w:pPr>
        <w:spacing w:after="0" w:line="174"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Limitations on Effectiveness of Disclosure Controls and Procedures and Internal Control over Financial Reporting</w:t>
      </w:r>
    </w:p>
    <w:p>
      <w:pPr>
        <w:spacing w:after="0" w:line="16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0E0E0E"/>
        </w:rPr>
        <w:t>Adoption, Modification and Termination of Rule 10b5-1 Plans and Certain Other Trading Arrangements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defined in Rule 16a-1(f) under the Exchange Act) adopted, modified or terminated a “Rule 10b5-1 trading arrangement” or a “non-Rule 10b5-1 trading arrangement” (as each term is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our directors and executive officers, including their ages as of February 9, 2026. There are no family relationships among any of our directors or executive officers.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our directors, the biographies below include information, as of February 9, 2026, regarding the specific and particular experience, qualifications, attributes or skills that led to the conclusion that the person should serve as a director of our company.</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Age</w:t>
            </w: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18"/>
                <w:szCs w:val="18"/>
                <w:color w:val="auto"/>
              </w:rPr>
            </w:pPr>
          </w:p>
        </w:tc>
      </w:tr>
      <w:tr>
        <w:trPr>
          <w:trHeight w:val="216"/>
        </w:trPr>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Neal Walker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56</w:t>
            </w: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Executive Officer, Chair of the Board of Directors</w:t>
            </w:r>
          </w:p>
        </w:tc>
      </w:tr>
      <w:tr>
        <w:trPr>
          <w:trHeight w:val="216"/>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Hugh Davis, Ph.D.</w:t>
            </w: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67</w:t>
            </w:r>
          </w:p>
        </w:tc>
        <w:tc>
          <w:tcPr>
            <w:tcW w:w="4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r>
      <w:tr>
        <w:trPr>
          <w:trHeight w:val="216"/>
        </w:trPr>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Kevin Balthaser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39</w:t>
            </w: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Roland Kolbeck, Ph.D.</w:t>
            </w: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62</w:t>
            </w:r>
          </w:p>
        </w:tc>
        <w:tc>
          <w:tcPr>
            <w:tcW w:w="4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James Loerop</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62</w:t>
            </w: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16"/>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Jesse Hall</w:t>
            </w: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52</w:t>
            </w:r>
          </w:p>
        </w:tc>
        <w:tc>
          <w:tcPr>
            <w:tcW w:w="4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Non-management Directors: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Christopher Molineaux</w:t>
            </w: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60</w:t>
            </w:r>
          </w:p>
        </w:tc>
        <w:tc>
          <w:tcPr>
            <w:tcW w:w="4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Maxine Gowen, Ph.D.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67</w:t>
            </w: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William Humphries</w:t>
            </w: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59</w:t>
            </w:r>
          </w:p>
        </w:tc>
        <w:tc>
          <w:tcPr>
            <w:tcW w:w="4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Anand Mehra, M.D.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50</w:t>
            </w: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Vincent Milano</w:t>
            </w: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62</w:t>
            </w:r>
          </w:p>
        </w:tc>
        <w:tc>
          <w:tcPr>
            <w:tcW w:w="4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Andrew Schiff, M.D.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60</w:t>
            </w: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Neal Walker</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Neal Walker co-founded our company and has served as our Chief Executive Officer since February 2025. He previously served as our Interim Chief Executive Officer from January 2024 to February 2025, as our President from January 2024 to November 2024, and as our Chief Executive Officer and President from our inception in 2012 until December 2022. Dr. Walker has also served as a member of our Board since our inception and currently serves as its Chair. Dr. Walker’s term of office as a director will expire at the 2028 Annual Meeting of Stockholders. Dr. Walker co-founded NeXeption, LLC, a biopharmaceutical assets management company, in 2012. Dr. Walker co-founded and served as President and Chief Executive Officer and a member of the board of directors of Vicept Therapeutics, Inc., a dermatology-focused specialty pharmaceutical company, from 2009 until its acquisition by Allergan, Inc. in 2011. Previously, Dr. Walker co-founded and led a number of life science companies, including Octagon Research Solutions, Inc., a software and services provider to biopharmaceutical companies (acquired by Accenture plc), Trigenesis Therapeutics, Inc., a specialty dermatology company, where he served as Chief Medical Officer (acquired by Dr. Reddy’s Laboratories Inc.), and Cutix Inc., a commercial dermatology company. He began his pharmaceutical industry career at Johnson and Johnson, Inc. Dr. Walker is a director of Aldeyra Therapeutics, Inc., a publicly held biotechnology company, as well as several private companies. Dr. Walker received an M.B.A. degree from The Wharton School of the University of Pennsylvania, a Doctor of Osteopathic Medicine degree from the Philadelphia College of Osteopathic Medicine and a B.A. degree in Biology from Lehigh University. Dr. Walker’s experience as a board-certified dermatologist and the founder of our company and other pharmaceutical companies, his background in clinical and drug development in dermatology and other fields, and his knowledge of the pharmaceutical industry contributed to the conclusion of our Board that he should serve as a director of our company.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Hugh Davis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Hugh Davis has served as our President and Chief Operating Officer, and as a member of our Board, since November 2024. Dr. Davis’s term of office as a director will expire at the 2027 Annual Meeting of Stockholders. He previously held various roles at Biosion, Inc., a biopharmaceutical company, beginning in March 2020, including as Chief Operating Officer of Biosion Inc., President of Biosion USA, Inc., and, most recently, as Biosion’s Chief Business &amp;</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Development Officer and President. Dr. Davis has also served as a member of the board of directors of Biosion, Inc. since March 2020. From 2018 to 2020, Dr. Davis served as Chief Business Officer at Frontage Laboratories, Inc. He previously served in a series of leadership roles at Janssen R&amp;D/Johnson &amp; Johnson, including as Vice President &amp; Head, Biologics Development Sciences, Biophysics and Laboratory Operations. Dr. Davis’s previous biopharmaceutical experience includes leadership roles at GlaxoSmithKline and Rhone-Poulenc Rorer. Dr. Davis received Ph.D. and M.S. degrees in Biochemistry from Villanova University and a B.S. degree in Chemistry from Gannon University. Our Board believes that Dr. Davis’ extensive scientific leadership experience with pharmaceutical and biotechnology companies qualifies him to serve as a director of our company.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Kevin Balthaser</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Kevin Balthaser has served as our Chief Financial Officer since January 2023. Mr. Balthaser has served in roles of increasing responsibility at our company since 2017, most recently as Vice President, Finance from January 2022 until his appointment as Chief Financial Officer. Before joining our company, he held positions of increasing responsibility within the accounting and finance department at Lannett Company, Inc., a publicly traded generic pharmaceutical company, where he was also a member of the team responsible for executing capital market transactions and acquisitions. Mr. Balthaser began his career with the accounting firm PricewaterhouseCoopers LLP. Mr. Balthaser is a certified public accountant in Pennsylvania. He received his B.S. degree in finance from Pennsylvania State University and his M.B.A. degree from Villanova University.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Roland Kolbeck, Ph.D.</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Roland Kolbeck, Ph.D., has served as our Chief Scientific Officer since July 2025. He most recently served as Chief Scientific Officer for Spirovant Sciences from 2020 to April 2025, where he directed the company’s strategy related to new indications, targets, and investments. Previously, Dr. Kolbeck was Vice President, Head of Respiratory, Inflammation and Autoimmune Research (RIA) at MedImmune, AstraZeneca’s global biologics organization. Prior to Medimmune, he served in senior scientific roles at Peptimmune and Millennium Pharmaceuticals. Dr. Kolbeck received his M.S. and Ph.D. degrees at the University of Regensburg and Max Planck Institute for Neurobiology (now the Max Planck Institute for Biological Intelligence), in Munich, Germany.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James Loerop</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James Loerop has served as our Chief Business Officer since January 2022. From 2019 to January 2022, Mr. Loerop served as Executive Vice President, Business Development and Strategic Planning at Anika Therapeutics, Inc., a publicly held company focused on products for joint preservation, where he was responsible for global business development activities. From 2017 to 2019, Mr. Loerop served as Chief Corporate Development Officer for Lupin Pharmaceuticals, Inc., where he was a member of the company’s Executive Leadership Team and was responsible for global business development and corporate development activities. Prior to joining Lupin, Mr. Loerop held senior leadership roles at various companies in the pharmaceutical and life sciences industry, including at Alexion Pharmaceuticals, Inc. as Senior Vice President of Global Business Development, GlaxoSmithKline as Vice President of North America Business Development, and Stiefel Laboratories, Inc. as Senior Vice President of Global Corporate Development, prior to GSK’s acquisition of Stiefel. Mr. Loerop received a B.S. degree in marketing from Western Michigan University.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Jesse Hall, M.D.</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Jesse Hall, M.D. has served as our Chief Medical Officer since April 2025. He most recently served as Chief Medical Officer for AltruBio from September 2021 until April 2025. Prior to AltruBio, from 2018 to April 2021, Dr. Hall served as Chief Medical Officer and EVP of Scientific and Clinical Affairs at Sublimity Therapeutics. Prior to Sublimity, Dr. Hall served as Chief Medical Officer of Aristea Therapeutics, and prior to that in roles of increasing responsibility at companies including Ardea Biosciences (a wholly owned subsidiary of AstraZeneca), Amgen, and Abbott Laboratories. Dr. Hall received a B.A. degree from the University of San Diego, an M.D. degree from the University of Oklahoma College of Medicine and conducted his surgical training at the Medical College of Pennsylvania and Hahnemann University.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Non-Management Directors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Christopher Molineaux</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Christopher Molineaux has served as Lead Independent Director of our Board since January 2023, having previously served as Chair since June 2019. He has served as a member of our Board since 2014. Mr. Molineaux’s term of office as a director will expire at the 2027 Annual Meeting of Stockholders. Since 2010, Mr. Molineaux has served as President and Chief Executive Officer of Life Sciences Pennsylvania, formerly Pennsylvania Bio, a pharmaceutical and biotech industry advocacy organization, and previously served as its Senior Vice President, Membership Services. Mr. Molineaux previously served as worldwide Vice President of Pharmaceutical Communications and Public Affairs for Johnson &amp; Johnson, a global healthcare company. Mr. Molineaux also served as Vice President for Public Affairs at the Pharmaceutical Research and Manufacturers of America (PhRMA). He received a B.A. degree from the College of the Holy Cross. Our Board believes that Mr. Molineaux’s substantial pharmaceutical and biotechnology industry experience qualifies him to serve as a director of our company.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Maxine Gowen, Ph.D.</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Maxine Gowen has served as a member of our Board since July 2019. Dr. Gowen’s term of office as a director will expire at the 2026 Annual Meeting of Stockholders. Dr. Gowen previously served as the part-time Chief Executive Officer of TamuroBio Inc., a biotechnology company, from 2019 to December 2021. Dr. Gowen founded Trevena, Inc., a publicly held biopharmaceutical company, and served as its President and Chief Executive Officer from 2007 until 2018. Prior to this, Dr. Gowen held a variety of leadership roles at GlaxoSmithKline (GSK) over a period of fifteen years. Dr. Gowen was previously President and Managing Partner at SR One, the venture capital subsidiary of GSK, where she led its investments in, and served on the board of directors of, numerous companies. Until 2002, Dr. Gowen was Vice President, Drug Discovery, Musculoskeletal Diseases at GSK, responsible for drug discovery and early development for osteoporosis, arthritis and metastatic bone disease. Dr. Gowen held a tenured academic position in the School of Pharmacology, University of Bath, UK from 1989 to 1992. Dr. Gowen currently serves as the chair of the board of directors of the publicly held company Passage Bio, Inc. Within the past five years, Dr. Gowen served as a director of the publicly held companies Merus N.V., Trevena, Inc., Aceragen, Inc. (formerly known as Idera Pharmaceuticals, Inc.) and Akebia Therapeutics, Inc. Dr. Gowen received a B.Sc. in biochemistry from the University of Bristol, UK, then received a Ph.D. in cell biology from the University of Sheffield, UK, and received an M.B.A from The Wharton School of the University of Pennsylvania. Dr. Gowen also received a D.Sc. from the University of Bath, UK. Our Board believes that Dr. Gowen’s extensive leadership experience with pharmaceutical and biotechnology companies qualifies her to serve as a director of our company.</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William Humphries</w:t>
      </w:r>
    </w:p>
    <w:p>
      <w:pPr>
        <w:spacing w:after="0" w:line="27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William Humphries has served as a member of our Board since 2016. Mr. Humphries’s term of office as a director will expire at the 2028 Annual Meeting of Stockholders. Mr. Humphries has served as the Chief Executive Officer of MedPharm, a contract development and manufacturing organization, since January 2025. From June 2023 to January 2025, he served as the Chief Executive Officer and member of the board of directors of Alcami Corporation, a contract development and manufacturing organization. From May 2021 to May 2023, Mr. Humphries served as the Chief Executive Officer of lsosceles Pharmaceuticals Inc, a biotechnology company. From 2018 to 2020, Mr. Humphries served as President of Ortho Dermatologics, the dermatology division of Bausch Health Companies, Inc., and previously served as its Executive Vice President, Company Group Chairman for Dermatology and OraPharma from 2017 to 2018. From 2012 to 2016, he served as President and Chief Executive Officer of the North American business of Merz, Inc., an affiliate of Merz Pharma Group, a specialty healthcare company. From 2006 to 2012, Mr. Humphries served in a number of leadership positions with Stiefel Laboratories, Inc., a dermatology pharmaceutical company, including as its Chief Commercial Officer and then as President beginning in 2008. Stiefel was acquired by GSK in 2009, after which Mr. Humphries served as the President of Dermatology for Stiefel from 2009 until 2012. Mr. Humphries previously held multiple senior executive roles in sales and marketing, business development and international marketing for Allergan, Inc., concluding as Vice President of its U.S. skincare business. Mr. Humphries currently serves as a director of the publicly held company Clearside Biomedical, Inc. Within the past five years, he served as a member of the boards of directors of the publicly held companies PhaseBio Pharmaceuticals, Inc. and STRATA Skin Sciences, Inc., as well as Bryn Pharmaceuticals and SKNV. He received a B.A. degree from Bucknell University and an M.B.A. degree from Pepperdine University. Our Board believes that Mr. Humphries’ experience as a pharmaceutical company executive provides him with the qualifications and skills to serve as a director of our company.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Anand Mehra, M.D.</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Anand Mehra, M.D. has served as a member of our Board since 2014. Dr. Mehra’s term of office as a director will expire at the 2026 Annual Meeting of Stockholders. Dr. Mehra has served as a founding partner of Forge Life Science Partners, a biotech investment firm, since its inception in May 2023. Dr. Mehra joined Sofinnova Investments, Inc. (fka Sofinnova Ventures, Inc.), a biotech investment firm, in 2007 and served as a managing general partner until 2020. Prior to joining Sofinnova, Dr. Mehra worked in J.P. Morgan’s private equity and venture capital group, and before that, Dr. Mehra was a consultant in McKinsey &amp; Company’s pharmaceutical practice. Within the past five years, Dr. Mehra served as the chair of the board of directors of the publicly held company Merus N.V. Dr. Mehra received a B.A. degree in political philosophy from the University of Virginia and an M.D. degree from Columbia University’s College of Physicians and Surgeons. Our Board believes that Dr. Mehra’s extensive experience in the life sciences industry, his service on the boards of directors of other public life sciences companies and his extensive leadership experience qualify him to serve as a director of our company.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Vincent Milano</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Vincent Milano has served as a member of our Board since January 2020. Mr. Milano’s term of office as a director will expire at the 2027 Annual Meeting of Stockholders. Mr. Milano most recently served as Chair of the board of directors of Aceragen, Inc. (formerly known as Idera Pharmaceuticals, Inc.), a publicly held biopharmaceutical company, from 2022 to August 2023, having previously served as Idera’s President and Chief Executive Officer and a member of Idera’s board of directors since 2014. From 1996 to 2014, Mr. Milano served in increasingly senior roles at ViroPharma Inc., a pharmaceutical company acquired by Shire plc in 2014, most recently as Chairman, President and Chief Executive Officer from 2008 to 2014. From 1985 to 1996, Mr. Milano served in increasingly senior roles, most recently as a senior manager, at KPMG LLP, an independent registered public accounting firm. Mr. Milano currently serves on the boards of directors of BioCryst Pharmaceuticals, Inc., a publicly held company, and Life Sciences Cares Philadelphia, a non-profit organization. Within the past five years, Mr. Milano served on the board of directors of Venatorx Pharmaceuticals, Inc., a privately held company. Mr. Milano received a B.S. degree in Accounting from Rider College. Our Board believes that Mr. Milano’s extensive leadership experience with pharmaceutical and biotechnology companies qualifies him to serve as a director of our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Andrew Schiff, M.D.</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Andrew Schiff has served as a member of our Board since 2017. Dr. Schiff’s term of office as a director will expire at the 2028 Annual Meeting of Stockholders. Dr. Schiff joined Aisling Capital, an investment firm, in 1999 and currently serves as one of its managing partners. Prior to joining Aisling Capital, Dr. Schiff practiced internal medicine for six years at The New York Presbyterian Hospital, where he maintains his position as a Clinical Assistant Professor of Medicine. Dr. Schiff currently serves on the board of directors of the publicly held company Monte Rosa Therapeutics, Inc. Dr. Schiff also currently serves on the board of directors of the privately held company Dren Bio. He is a board member of the Visiting Nurse Service of New York, as well as other charitable organizations. Dr. Schiff received an M.D. degree from Cornell University Medical College, an M.B.A. degree from Columbia University, and a B.S. degree with honors in Neuroscience from Brown University. Our Board believes that Dr. Schiff’s medical background and venture capital experience qualify him to serve as a director of our company.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adopted the Aclaris Therapeutics, Inc. Code of Business Conduct and Ethics that applies to all officers, directors and employees. The Code of Business Conduct and Ethics is available on our website at www.aclaristx.com. If we make any substantive amendments to the Code of Business Conduct and Ethics or grant any waiver from a provision of the Code of Business Conduct and Ethics to any executive officer or director, we will promptly disclose the nature of the amendment or waiver on our website.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and Audit Committee Financial Expert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The Audit Committee is currently composed of three directors: Mr. Milano, Dr. Gowen and Mr. Molineaux. Mr. Milano currently serves as the chair of the Audit Committee.</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and under Rule 10A-3 under the Exchange Act).</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Board has also determined that Mr. Milano qualifies as an “audit committee financial expert,” as defined in applicable SEC rules. The Board made a qualitative assessment of Mr. Milano’s level of knowledge and experience based on a number of factors, including his formal education and experience as both a chief executive officer and chief financial officer for public reporting companies.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Prohibition on Hedging and Pledging</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an Insider Trading Policy that is intended to ensure compliance with applicable securities laws and regulations by our officers, directors, and employees. This policy prohibits, among other things, trading in our common stock that would violate these laws and regulations, and it also imposes other restrictions such as trading blackout periods and prior notification and/or pre-clearance requirements for trading intended to protect against inadvertent violations of these laws and regulations. Pursuant to the policy, our company must also comply with applicable laws and regulations relating to insider trading when engaging in transactions in our securities. This policy also prohibits directors, officers, and other employees from engaging in short sales, transactions in put or call options, hedging transactions, margin accounts, pledging or other inherently speculative transactions with respect to our stock at any time. The policy is filed as an exhibit to this Annual Report.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year ended December 31, 2025, our named executive officers (“NEOs”) were: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Walker</w:t>
            </w:r>
          </w:p>
        </w:tc>
        <w:tc>
          <w:tcPr>
            <w:tcW w:w="24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Balthaser</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Loerop</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45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5620" w:type="dxa"/>
            <w:vAlign w:val="bottom"/>
          </w:tcPr>
          <w:p>
            <w:pPr>
              <w:spacing w:after="0"/>
              <w:rPr>
                <w:sz w:val="24"/>
                <w:szCs w:val="24"/>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or earned by each of our NEOs for the years ended December 31, 2025 and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2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(1)</w:t>
            </w:r>
          </w:p>
        </w:tc>
        <w:tc>
          <w:tcPr>
            <w:tcW w:w="8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Neal Walker</w:t>
            </w:r>
            <w:r>
              <w:rPr>
                <w:rFonts w:ascii="Times New Roman" w:cs="Times New Roman" w:eastAsia="Times New Roman" w:hAnsi="Times New Roman"/>
                <w:sz w:val="24"/>
                <w:szCs w:val="24"/>
                <w:color w:val="auto"/>
                <w:vertAlign w:val="superscript"/>
              </w:rPr>
              <w:t>(3)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615,000</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828,426</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1,581,615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350,550</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3,375,591</w:t>
            </w:r>
          </w:p>
        </w:tc>
        <w:tc>
          <w:tcPr>
            <w:tcW w:w="0" w:type="dxa"/>
            <w:vAlign w:val="bottom"/>
          </w:tcPr>
          <w:p>
            <w:pPr>
              <w:spacing w:after="0"/>
              <w:rPr>
                <w:sz w:val="1"/>
                <w:szCs w:val="1"/>
                <w:color w:val="auto"/>
              </w:rPr>
            </w:pPr>
          </w:p>
        </w:tc>
      </w:tr>
      <w:tr>
        <w:trPr>
          <w:trHeight w:val="216"/>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477,431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170,400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421,586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372,396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1,445,135</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Balthaser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446,000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310,640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548,440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1,490,790</w:t>
            </w:r>
          </w:p>
        </w:tc>
        <w:tc>
          <w:tcPr>
            <w:tcW w:w="0" w:type="dxa"/>
            <w:vAlign w:val="bottom"/>
          </w:tcPr>
          <w:p>
            <w:pPr>
              <w:spacing w:after="0"/>
              <w:rPr>
                <w:sz w:val="1"/>
                <w:szCs w:val="1"/>
                <w:color w:val="auto"/>
              </w:rPr>
            </w:pPr>
          </w:p>
        </w:tc>
      </w:tr>
      <w:tr>
        <w:trPr>
          <w:trHeight w:val="216"/>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444,000</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247,800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217,560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1,102,163</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James Loerop</w:t>
            </w:r>
            <w:r>
              <w:rPr>
                <w:rFonts w:ascii="Times New Roman" w:cs="Times New Roman" w:eastAsia="Times New Roman" w:hAnsi="Times New Roman"/>
                <w:sz w:val="25"/>
                <w:szCs w:val="25"/>
                <w:color w:val="auto"/>
                <w:vertAlign w:val="superscript"/>
              </w:rPr>
              <w:t>(6)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416,000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336,800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520,146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1,447,106</w:t>
            </w:r>
          </w:p>
        </w:tc>
        <w:tc>
          <w:tcPr>
            <w:tcW w:w="0" w:type="dxa"/>
            <w:vAlign w:val="bottom"/>
          </w:tcPr>
          <w:p>
            <w:pPr>
              <w:spacing w:after="0"/>
              <w:rPr>
                <w:sz w:val="1"/>
                <w:szCs w:val="1"/>
                <w:color w:val="auto"/>
              </w:rPr>
            </w:pPr>
          </w:p>
        </w:tc>
      </w:tr>
      <w:tr>
        <w:trPr>
          <w:trHeight w:val="234"/>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Business Officer</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65405</wp:posOffset>
            </wp:positionV>
            <wp:extent cx="14141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3" w:lineRule="exact"/>
        <w:rPr>
          <w:sz w:val="20"/>
          <w:szCs w:val="20"/>
          <w:color w:val="auto"/>
        </w:rPr>
      </w:pPr>
    </w:p>
    <w:p>
      <w:pPr>
        <w:jc w:val="both"/>
        <w:ind w:left="460" w:right="79" w:hanging="410"/>
        <w:spacing w:after="0" w:line="261"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reflect the full grant date fair value for RSU and stock option awards granted during the indicated year. The grant date fair value was computed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assumptions we used in valuing stock options and RSUs are described in “Item 8—Notes to Consolidated Financial Statements—Note 6”.</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460" w:right="79" w:hanging="410"/>
        <w:spacing w:after="0" w:line="266"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portion of each officer’s target annual bonus paid based on the achievement of our corporate and individual goals, as applicable, which for 2025 are discussed below under “Narrative to Summary Compensation Table—Annual Bonus (Non-Equity Incentive Plan Compensation).”</w:t>
      </w:r>
    </w:p>
    <w:p>
      <w:pPr>
        <w:spacing w:after="0" w:line="175" w:lineRule="exact"/>
        <w:rPr>
          <w:rFonts w:ascii="Times New Roman" w:cs="Times New Roman" w:eastAsia="Times New Roman" w:hAnsi="Times New Roman"/>
          <w:sz w:val="18"/>
          <w:szCs w:val="18"/>
          <w:color w:val="auto"/>
        </w:rPr>
      </w:pPr>
    </w:p>
    <w:p>
      <w:pPr>
        <w:ind w:left="460" w:right="79" w:hanging="410"/>
        <w:spacing w:after="0" w:line="28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Walker’s employment with us commenced in January 2024 as Interim Chief Executive Officer and he was appointed as Chief Executive Officer in February 2025.</w:t>
      </w:r>
    </w:p>
    <w:p>
      <w:pPr>
        <w:spacing w:after="0" w:line="161" w:lineRule="exact"/>
        <w:rPr>
          <w:rFonts w:ascii="Times New Roman" w:cs="Times New Roman" w:eastAsia="Times New Roman" w:hAnsi="Times New Roman"/>
          <w:sz w:val="18"/>
          <w:szCs w:val="18"/>
          <w:color w:val="auto"/>
        </w:rPr>
      </w:pPr>
    </w:p>
    <w:p>
      <w:pPr>
        <w:ind w:left="460" w:right="79" w:hanging="410"/>
        <w:spacing w:after="0" w:line="28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consists of fees paid under our director compensation policy for his service as our Chair of the Board prior to Dr. Walker being appointed as our Interim Chief Executive Officer in January 2024.</w:t>
      </w:r>
    </w:p>
    <w:p>
      <w:pPr>
        <w:spacing w:after="0" w:line="161" w:lineRule="exact"/>
        <w:rPr>
          <w:rFonts w:ascii="Times New Roman" w:cs="Times New Roman" w:eastAsia="Times New Roman" w:hAnsi="Times New Roman"/>
          <w:sz w:val="18"/>
          <w:szCs w:val="18"/>
          <w:color w:val="auto"/>
        </w:rPr>
      </w:pPr>
    </w:p>
    <w:p>
      <w:pPr>
        <w:ind w:left="460" w:hanging="410"/>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consists of company matching contributions to the executive’s 401(k) plan account.</w:t>
      </w:r>
    </w:p>
    <w:p>
      <w:pPr>
        <w:spacing w:after="0" w:line="225" w:lineRule="exact"/>
        <w:rPr>
          <w:rFonts w:ascii="Times New Roman" w:cs="Times New Roman" w:eastAsia="Times New Roman" w:hAnsi="Times New Roman"/>
          <w:sz w:val="18"/>
          <w:szCs w:val="18"/>
          <w:color w:val="auto"/>
        </w:rPr>
      </w:pPr>
    </w:p>
    <w:p>
      <w:pPr>
        <w:jc w:val="both"/>
        <w:ind w:left="460" w:right="79" w:hanging="410"/>
        <w:spacing w:after="0" w:line="266"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Loerop was not one of our named executive officers during the year ended December 31, 2024 and, accordingly, only his compensation for the year ended December 31, 2025 is included in the Summary Compensation Table in accordance with SEC rules.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setting NEO compensation,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 however, we do deliver a majority of compensation through long-term incentives.</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review compensation annually for our NEOs, and in some cases more frequently as deemed appropriate. The various roles that contribute to our decisions and actions each year are as follows:</w:t>
      </w:r>
    </w:p>
    <w:p>
      <w:pPr>
        <w:spacing w:after="0" w:line="16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Compensation Committee. </w:t>
      </w:r>
      <w:r>
        <w:rPr>
          <w:rFonts w:ascii="Times New Roman" w:cs="Times New Roman" w:eastAsia="Times New Roman" w:hAnsi="Times New Roman"/>
          <w:sz w:val="18"/>
          <w:szCs w:val="18"/>
          <w:color w:val="auto"/>
        </w:rPr>
        <w:t>The Compensation Committee is responsible for establishing and overseeing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compensation program.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NEO. Our Compensation Committee, without members of management present, discusses and ultimately approves the compensation of our executive officers.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Role of our Chief Executive Officer and other Management Members. </w:t>
      </w:r>
      <w:r>
        <w:rPr>
          <w:rFonts w:ascii="Times New Roman" w:cs="Times New Roman" w:eastAsia="Times New Roman" w:hAnsi="Times New Roman"/>
          <w:sz w:val="18"/>
          <w:szCs w:val="18"/>
          <w:color w:val="auto"/>
        </w:rPr>
        <w:t>Our Chief Executive Officer evaluates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with the Compensation Committee the individual performance and contributions of each of the other NEOs and makes recommendations to the Compensation Committee regarding base salary, and short- and long-term incentive awards. The Compensation Committee reviews and considers such recommendations, but ultimately retains full discretion and authority over the final compensation decisions for the NEOs. Our Chief Executive Officer also recommends the Company performance objectives that are used to determine bonus amounts and consults with select members of management in the development of the goals. The Compensation Committee may request that certain executives attend portions of Compensation Committee meetings based on the topics being covered and their respective areas of expertise. NEO compensation decisions are made in executive session without the respective NEOs present.</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Role of our Independent Compensation Consultant. </w:t>
      </w:r>
      <w:r>
        <w:rPr>
          <w:rFonts w:ascii="Times New Roman" w:cs="Times New Roman" w:eastAsia="Times New Roman" w:hAnsi="Times New Roman"/>
          <w:sz w:val="18"/>
          <w:szCs w:val="18"/>
          <w:color w:val="auto"/>
        </w:rPr>
        <w:t>In 2025, the Compensation Committee retained Pearl Meyer,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compensation consulting firm, to evaluate and make recommendations with respect to our executive compensation program. Pearl Meyer’s role included assisting the Compensation Committee with the selection of a peer group of companies for comparison purposes, an analysis of our existing executive compensation, the design of our long-term incentive program, and otherwise advising the Compensation Committee as appropriate. The consultant serves at the pleasure of the Compensation Committee, and the consultant’s fees are approved by the Compensation Committee.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annual base salaries for each of our NEOs for 2024 and 2025: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Annual Base Salary</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9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Walker</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Kevin Balthaser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Loerop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402,917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was related to Dr. Walker’s appointment as Chief Executive Officer in 2025 from Interim Chief Executive Officer in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Bonus (Non-Equity Incentive Plan Compensation)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seek to motivate and reward our executives for achievements relative to our corporate goals and expectations and individual goals, if any, for each fiscal year. For 2025, the target bonus for Dr. Walker was 60% of his base salary and the target bonus for Mr. Balthaser and Mr. Loerop was 40% of their respective base salaries.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actual annual bonus paid is calculated by multiplying the NEO’s annual base salary, target bonus percentage, the percentage attainment of the corporate goals established by the Board for such year, and for our NEOs other than the Chief Executive Officer, the percentage attainment of the individual goals established by our Chief Executive Officer. The Compensation Committee is not required to determine bonuses based on this exact formula and reserves the right to consider other factors and adjust bonus amounts accordingly.</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2025, the bonus funding factor was weighted 75% for corporate goals and 25% for individual goals for all NEOs other than our Chief Executive Officer, whose bonus funding was 100% dependent on the achievement of corporate goals.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our performance against our goals and approves the extent to which we achieved each of our corporate goals and, with the input of our Chief Executive Officer, individual performance, as applicable, and, for each NEO, the amount of the bonus awarded.</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early 2025, our Compensation Committee approved our 2025 corporate performance goals. These goals were divided into two primary categories: (a) research and development (75%) and (b) other corporate activities, including business development, financing, and legal, finance and compliance objectives (25%). The Compensation Committee also approved stretch performance goals in both the research and development and other corporate categories that, if earned, could increase the overall funding of the bonus plan up to a maximum of 140% of the corporate performance target score. In addition to the corporate performance goals described above, Dr. Walker evaluated the individual performance of each of Mr. Balthaser and Mr. Loerop, and recommended a level of achievement to the Compensation Committee. The individual goals for Mr. Balthaser and Mr. Loerop focused on contributions toward our corporate objectives, personal qualities necessary to effectively manage a team, solve problems and drive our business forward, cross-functional execution to improve processes and productivity, and the promotion of a culture of ethics and compliance. Dr. Walker recommended full credit for these individual objectives, which the Compensation Committee approved.</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early 2026, the Compensation Committee considered each of the 2025 corporate performance goals, as well as individual goals where applicable, and awarded Dr. Walker, Mr. Balthaser and Mr. Loerop 95%, 96% and 96% of their target bonuses, respectively, for the year ended December 31, 2025. The actual bonus amounts paid are reflected in the “Non-Equity Incentive Plan Compensation” column of the Summary Compensation Table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Long-term incentives represent a key element of our overall compensation program. This compensation element is primarily used to aid in attracting and retaining the talent we need to achieve our mission, strategies, and underlying corporate goals. Additionally, long-term incentives align the interests of our NEOs with our stockholders.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typically approves long-term incentive grants for NEOs at the start of their employment, and annually thereafter in connection with the annual performance review. Additionally, the Compensation Committee may periodically grant additional equity awards based on changes in job responsibility, performance and contribution, or other special circumstances.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determining annual long-term incentive grants for NEOs, the Compensation Committee reviews market data for annual long-term incentive grant levels and groups the NEOs accordingly. The market data that the Compensation Committee reviewed for the purpose of sizing equity grants included long-term incentive awards expressed as a percentage of shares of common stock outstanding, as well as grant date fair values.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historical practices and the methodology described above, in February 2025 Dr. Walker, Mr. Balthaser and Mr. Loerop were granted an annual equity grant consisting of 253,900, 88,100 and 83,500 restricted stock units, respectively, and stock options to purchase 888,800 shares, 308,200 shares and 292,300 shares, respectively, in each case which vest in four equal installments on the first, second, third and fourth anniversaries of February 3, 2025, subject to the officer’s continuous service as of the applicable vesting date. In addition, during 2024 certain executives expended considerable effort undertaking a strategic review of our business, the result of which included the licensing of bosakitug and ATI-052 creating a more diversified pipeline of strategic opportunities for the Company across various immunologic and respiratory indications, as well as an extended cash runway achieved through cost rationalization and the closing of a private placement for aggregate gross proceeds of $80.0 million. To reward such executives for their efforts, in January 2025 Dr. Walker, Mr. Balthaser and Mr. Loerop were granted an equity grant consisting of 88,333, 40,000 and 55,000 restricted stock units, respectively, in each case which 33% of the award vests on January 2, 2025, 33% of the award vests on January 2, 2026 and 34% of the award vests on January 2, 2027, subject to the officer’s continuous service as of the applicable vesting date.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our Incentive Compensation Recoupment Policy, in the event of an accounting restatement, the Compensation Committee, as the committee of the Board responsible for administering the policy, is authorized to recover certain incentive-based compensation paid to an executive officer of the Company on or after October 2, 2023 to the extent such incentive-based compensation was erroneously paid on the basis of financial results in respect of any of our three most recently completed fiscal years preceding the restatement.</w:t>
      </w:r>
    </w:p>
    <w:p>
      <w:pPr>
        <w:spacing w:after="0" w:line="183"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Additionally, 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outstanding equity awards held by each of our NEOs as of December 31, 2025.</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08"/>
              <w:spacing w:after="0" w:line="157"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4"/>
                <w:szCs w:val="14"/>
                <w:color w:val="auto"/>
              </w:rPr>
            </w:pP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4"/>
                <w:szCs w:val="14"/>
                <w:color w:val="auto"/>
              </w:rPr>
            </w:pPr>
          </w:p>
        </w:tc>
        <w:tc>
          <w:tcPr>
            <w:tcW w:w="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 Award</w:t>
            </w:r>
          </w:p>
        </w:tc>
        <w:tc>
          <w:tcPr>
            <w:tcW w:w="10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 Exercisable</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Unexercisable</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   Date</w:t>
            </w:r>
          </w:p>
        </w:tc>
        <w:tc>
          <w:tcPr>
            <w:tcW w:w="7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gridSpan w:val="2"/>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(8)</w:t>
            </w: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Neal Walker</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Option</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145,600</w:t>
            </w:r>
          </w:p>
        </w:tc>
        <w:tc>
          <w:tcPr>
            <w:tcW w:w="1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28.92</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12/14/2026</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1/31/2028</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255,552</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3/1/2030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191,850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2/28/2031</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168,050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2/29/2032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497,000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1/31/2034</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888,800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3"/>
              </w:rPr>
              <w:t>(1)</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2/2/2035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59,184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178,144</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764,239</w:t>
            </w: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Kevin Balthaser</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7/4/2027</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1/31/2028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2/28/2031</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25,050</w:t>
            </w: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8,350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3"/>
              </w:rPr>
              <w:t>(3)</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2/29/2032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3"/>
              </w:rPr>
              <w:t>(4)</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1/31/2033</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51,625</w:t>
            </w: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154,875</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3"/>
              </w:rPr>
              <w:t>(5)</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308,200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3"/>
              </w:rPr>
              <w:t>(1)</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2/2/2035</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7,149</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45,150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44,250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133,193</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80,668</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88,100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265,181</w:t>
            </w:r>
          </w:p>
        </w:tc>
        <w:tc>
          <w:tcPr>
            <w:tcW w:w="0" w:type="dxa"/>
            <w:vAlign w:val="bottom"/>
          </w:tcPr>
          <w:p>
            <w:pPr>
              <w:spacing w:after="0"/>
              <w:rPr>
                <w:sz w:val="1"/>
                <w:szCs w:val="1"/>
                <w:color w:val="auto"/>
              </w:rPr>
            </w:pPr>
          </w:p>
        </w:tc>
      </w:tr>
      <w:tr>
        <w:trPr>
          <w:trHeight w:val="149"/>
        </w:trPr>
        <w:tc>
          <w:tcPr>
            <w:tcW w:w="2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James Loerop</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116,250</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38,750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3"/>
              </w:rPr>
              <w:t>(6)</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1/31/2032</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w:t>
            </w: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3"/>
              </w:rPr>
              <w:t>(7)</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51,625</w:t>
            </w: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154,875</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3"/>
              </w:rPr>
              <w:t>(5)</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1/31/2034</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Option</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292,300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3"/>
              </w:rPr>
              <w:t>(1)</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2/2/2035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33,863</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45,150</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44,250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133,193</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36,850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110,919</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RSU</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43180</wp:posOffset>
            </wp:positionV>
            <wp:extent cx="14141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8" w:lineRule="exact"/>
        <w:rPr>
          <w:sz w:val="20"/>
          <w:szCs w:val="20"/>
          <w:color w:val="auto"/>
        </w:rPr>
      </w:pPr>
    </w:p>
    <w:p>
      <w:pPr>
        <w:jc w:val="both"/>
        <w:ind w:left="440" w:right="79" w:hanging="390"/>
        <w:spacing w:after="0" w:line="266"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unvested stock options and RSUs, one-fourth vested on February 3, 2026 and the remainder will vest in three equal installments on February 3, 2027, February 3, 2028 and February 3, 2029, subject to the officer’s continued service through each applicable vesting date.</w:t>
      </w:r>
    </w:p>
    <w:p>
      <w:pPr>
        <w:spacing w:after="0" w:line="14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shares underlying this RSU award, 33% vested on January 2, 2025, 33% vested on January 2, 2026 and the remainder will vest on January 2, 2027, subject to the officer’s continued service through the vesting date.</w:t>
      </w:r>
    </w:p>
    <w:p>
      <w:pPr>
        <w:spacing w:after="0" w:line="161"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unvested stock options and RSUs will vest on March 1, 2026, subject to the officer’s continued service through the vesting date.</w:t>
      </w:r>
    </w:p>
    <w:p>
      <w:pPr>
        <w:spacing w:after="0" w:line="161"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unvested stock options and RSUs, 50% vested on January 1, 2026 and the remainder will vest on January 1, 2027, subject to the officer’s continued service through the vesting date.</w:t>
      </w:r>
    </w:p>
    <w:p>
      <w:pPr>
        <w:spacing w:after="0" w:line="121" w:lineRule="exact"/>
        <w:rPr>
          <w:rFonts w:ascii="Times New Roman" w:cs="Times New Roman" w:eastAsia="Times New Roman" w:hAnsi="Times New Roman"/>
          <w:sz w:val="18"/>
          <w:szCs w:val="18"/>
          <w:color w:val="auto"/>
        </w:rPr>
      </w:pPr>
    </w:p>
    <w:p>
      <w:pPr>
        <w:jc w:val="both"/>
        <w:ind w:left="440" w:right="79" w:hanging="390"/>
        <w:spacing w:after="0" w:line="266"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shares underlying this stock option award and RSU award, one-fourth vested on February 1, 2025, one-fourth vested on February 1, 2026 and the remainder will vest in two equal installments on February 1, 2027 and February 1, 2028, subject to the officer’s continued service through each applicable vesting date.</w:t>
      </w:r>
    </w:p>
    <w:p>
      <w:pPr>
        <w:spacing w:after="0" w:line="135"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unvested stock options and RSUs vested on February 1, 2026.</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right="79" w:hanging="390"/>
        <w:spacing w:after="0" w:line="282" w:lineRule="auto"/>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unvested stock options and RSUs, 50% vested on February 1, 2026 and the remainder will vest on February 1, 2027, subject to the officer’s continued service through the vesting date.</w:t>
      </w:r>
    </w:p>
    <w:p>
      <w:pPr>
        <w:spacing w:after="0" w:line="134"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$3.01 per share on December 31,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of Employment or upon Change in Control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ind w:left="80" w:right="119" w:firstLine="612"/>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Dr. Walker, Mr. Balthaser and Mr. Loerop. Under the employment agreements, each of them is eligible to receive severance benefits in the specified circumstances, as applicable.</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Severance Upon Qualifying Termination Unrelated to a Change of Control</w:t>
      </w:r>
    </w:p>
    <w:p>
      <w:pPr>
        <w:spacing w:after="0" w:line="227"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Each employment agreement provides for payments in the event the executive’s employment is terminated due to death or “Disability”, in the event we terminate the executive’s employment without “Cause,” if the executive resigns for “Good Reason” (each as defined below), or if the executive’s employment is terminated upon non-renewal of the agreement by the Company, provided that the executive executes and does not revoke a release of claims (each, a “Qualifying Termination”).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the event of a Qualifying Termination, each executive would receive the following severance benefits:</w:t>
      </w:r>
    </w:p>
    <w:p>
      <w:pPr>
        <w:spacing w:after="0" w:line="225" w:lineRule="exact"/>
        <w:rPr>
          <w:sz w:val="20"/>
          <w:szCs w:val="20"/>
          <w:color w:val="auto"/>
        </w:rPr>
      </w:pPr>
    </w:p>
    <w:p>
      <w:pPr>
        <w:ind w:left="1380" w:right="79" w:hanging="331"/>
        <w:spacing w:after="0" w:line="282"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then-current base salary for a period of 12 months following termination, in each case payable in accordance with our normal payroll practices;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of any approved but unpaid bonuses or portion thereof for the preceding year or the year of termination for Mr. Balthaser and Mr. Loerop, and payment of any bonuses for the preceding year for which he remains employed through the last day of such year for Dr. Walker; and</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payment by the Company to the applicable healthcare provider of the Company’s portion of the medical, vision and dental coverage premiums to maintain any COBRA coverage for which he is eligible and has appropriately elected for a period of 12 months following termination.</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Severance Upon Qualifying Termination Related to a Change of Control</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event of a Qualifying Termination (other than if the executive’s employment is terminated upon non-renewal by the Company) on or within three months prior to, or within 12 months following, a “Change of Control” (as defined below), each executive would receive the following severance benefits:</w:t>
      </w:r>
    </w:p>
    <w:p>
      <w:pPr>
        <w:spacing w:after="0" w:line="176" w:lineRule="exact"/>
        <w:rPr>
          <w:sz w:val="20"/>
          <w:szCs w:val="20"/>
          <w:color w:val="auto"/>
        </w:rPr>
      </w:pPr>
    </w:p>
    <w:p>
      <w:pPr>
        <w:jc w:val="both"/>
        <w:ind w:left="1380" w:right="79" w:hanging="331"/>
        <w:spacing w:after="0" w:line="266"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the then-current base salary for a period of 18 months following termination for Dr. Walker and for a period of 12 months following termination for each of the other NEOs, payable in accordance with our normal payroll practices;</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of any approved but unpaid bonuses or portion thereof for the preceding year or the year of termination for Mr. Balthaser and Mr. Loerop, and payment of any bonuses for the preceding year for which he remains employed through the last day of such year for Dr. Walker;</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lump sum payment equal to 150% of the target bonus for Dr. Walker and 100% of the target bonus for each of the other NEOs;</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payment by the Company to the applicable healthcare provider of the Company’s portion of the medical, vision and dental coverage premiums to maintain any COBRA coverage for which he is eligible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80" w:right="79"/>
        <w:spacing w:after="0" w:line="282" w:lineRule="auto"/>
        <w:rPr>
          <w:sz w:val="20"/>
          <w:szCs w:val="20"/>
          <w:color w:val="auto"/>
        </w:rPr>
      </w:pPr>
      <w:r>
        <w:rPr>
          <w:rFonts w:ascii="Times New Roman" w:cs="Times New Roman" w:eastAsia="Times New Roman" w:hAnsi="Times New Roman"/>
          <w:sz w:val="18"/>
          <w:szCs w:val="18"/>
          <w:color w:val="auto"/>
        </w:rPr>
        <w:t>and has appropriately elected for a period of 18 months following termination for Dr. Walker and for a period of 12 months following termination for each of the other NEOs; and</w:t>
      </w:r>
    </w:p>
    <w:p>
      <w:pPr>
        <w:spacing w:after="0" w:line="162" w:lineRule="exact"/>
        <w:rPr>
          <w:sz w:val="20"/>
          <w:szCs w:val="20"/>
          <w:color w:val="auto"/>
        </w:rPr>
      </w:pPr>
    </w:p>
    <w:p>
      <w:pPr>
        <w:jc w:val="both"/>
        <w:ind w:left="1380" w:right="79" w:hanging="331"/>
        <w:spacing w:after="0" w:line="254" w:lineRule="auto"/>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occurs on or within three months prior to the Change of Control, all of his unvested stock options and other equity awards outstanding on the effective date of termination would become fully vested on the effective date of the Change of Control, or if the termination occurs within 12 months following the effective date of the Change of Control (provided that any surviving corporation or acquiring corporation assumes his stock options or other equity awards, as applicable, or substitutes similar stock options or equity awards for his stock options or equity awards, as applicable, in accordance with the terms of the applicable equity incentive plans), all unvested stock options and other equity awards outstanding on the effective date of termination would become fully vested on the date of termination.</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respect to each of our NEOs, the following definitions were adopted in their employment agreements:</w:t>
      </w:r>
    </w:p>
    <w:p>
      <w:pPr>
        <w:spacing w:after="0" w:line="225" w:lineRule="exact"/>
        <w:rPr>
          <w:sz w:val="20"/>
          <w:szCs w:val="20"/>
          <w:color w:val="auto"/>
        </w:rPr>
      </w:pPr>
    </w:p>
    <w:p>
      <w:pPr>
        <w:jc w:val="both"/>
        <w:ind w:left="1380" w:right="79" w:hanging="331"/>
        <w:spacing w:after="0" w:line="256"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his conviction of, or guilty plea to, a felony, other than traffic violations; (ii) any act or omission by him which constitutes gross negligence or a material breach of his duty of loyalty; (iii) any material breach by him of our personnel policies; (iv) refusal to follow or implement a clear and reasonable directive; (v) breach of fiduciary duty; or (vi) a material violation or breach by him of his employment agreement, other than an event described in the foregoing clauses, or any other agreement with us;</w:t>
      </w:r>
    </w:p>
    <w:p>
      <w:pPr>
        <w:spacing w:after="0" w:line="187" w:lineRule="exact"/>
        <w:rPr>
          <w:rFonts w:ascii="Times New Roman" w:cs="Times New Roman" w:eastAsia="Times New Roman" w:hAnsi="Times New Roman"/>
          <w:sz w:val="18"/>
          <w:szCs w:val="18"/>
          <w:color w:val="auto"/>
        </w:rPr>
      </w:pPr>
    </w:p>
    <w:p>
      <w:pPr>
        <w:jc w:val="both"/>
        <w:ind w:left="1380" w:right="79" w:hanging="331"/>
        <w:spacing w:after="0" w:line="253"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in the absence of events that would support a termination for cause: (i) there is a material failure by us or our successor to pay his salary or additional compensation or benefits in accordance with the employment agreement; (ii) his annual base salary is materially decreased without his prior written consent; (iii) he is assigned duties materially inconsistent with his title and the responsibilities set forth in his job description without his prior written consent; (iv) his place of employment is changed to a location that is greater than 50 miles from his current place of employment (disregarding for this purpose any remote work arrangements); or (v) any other material violation or breach by us of his employment agreement; provided, however, none of the above events will constitute good reason absent him providing us with proper notice and our failure to cure such event within 30 days of such notice; and</w:t>
      </w:r>
    </w:p>
    <w:p>
      <w:pPr>
        <w:spacing w:after="0" w:line="194" w:lineRule="exact"/>
        <w:rPr>
          <w:rFonts w:ascii="Times New Roman" w:cs="Times New Roman" w:eastAsia="Times New Roman" w:hAnsi="Times New Roman"/>
          <w:sz w:val="18"/>
          <w:szCs w:val="18"/>
          <w:color w:val="auto"/>
        </w:rPr>
      </w:pPr>
    </w:p>
    <w:p>
      <w:pPr>
        <w:jc w:val="both"/>
        <w:ind w:left="1380" w:right="79" w:hanging="331"/>
        <w:spacing w:after="0" w:line="252"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(i) our consolidation or merger with or into any other corporation or other entity or person, or any other corporate reorganization, in which our stockholders immediately prior to 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license or other disposition, including through a division or spin-off transaction, of all or substantially all of our assets or any of our subsidiaries’ assets or any sale,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corporate purposes; and, provided further, that such “Change of Control” qualifies as either a change in ownership of the Company as defined in Section 409A of the Code (“Section 409A”) or a change in the ownership of a substantial portion of our assets as defined in Section 409A, as the case may be.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maintain a tax-qualified retirement plan (our 401(k) plan) that provides eligible U.S. employees with an opportunity to save for retirement on a tax advantaged basis, up to limits prescribed by applicable law. Currently, we match each eligible employee’s contributions up to 4% of total eligible compensation. Employees are immediately and fully vested in their contributions and our matching contribution.</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NEOs are eligible to participate in all benefit plans offered to our employees, including our medical, dental, vision, group life and disability insurance plans. Our NEOs accrue more vacation time each pay period than other employees. We do not otherwise provide perquisites or personal benefits to our NEOs.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Under our non-employee director compensation policy, we pay each of our non-employee directors a cash retainer for service on the Board and for service on each committee of which the director is a member. The policy applies to each of our directors who is not an employee of our company.</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Pursuant to the policy in effect for 2025, each non-employee director received an annual cash retainer of $40,000 for serving on our Board. The Lead Independent Director received an additional annual cash retainer of $25,000. The members of each of the Audit, Compensation and Nominating and Corporate Governance Committees received additional retainers for such service, as did the Chair of each such committee (in addition to the member retainers), as follows: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Member</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Chair</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Annual Service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 Service</w:t>
            </w:r>
          </w:p>
        </w:tc>
        <w:tc>
          <w:tcPr>
            <w:tcW w:w="0" w:type="dxa"/>
            <w:vAlign w:val="bottom"/>
          </w:tcPr>
          <w:p>
            <w:pPr>
              <w:spacing w:after="0"/>
              <w:rPr>
                <w:sz w:val="1"/>
                <w:szCs w:val="1"/>
                <w:color w:val="auto"/>
              </w:rPr>
            </w:pPr>
          </w:p>
        </w:tc>
      </w:tr>
      <w:tr>
        <w:trPr>
          <w:trHeight w:val="149"/>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Retainer</w:t>
            </w:r>
          </w:p>
        </w:tc>
        <w:tc>
          <w:tcPr>
            <w:tcW w:w="0" w:type="dxa"/>
            <w:vAlign w:val="bottom"/>
          </w:tcPr>
          <w:p>
            <w:pPr>
              <w:spacing w:after="0"/>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140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All annual cash compensation amounts were payable in equal quarterly installments in arrears, on the last day of each fiscal quarter for which the service occurred, prorated based on the days served in the applicable fiscal quarter.</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also reimbursed our non-employee directors for reasonable travel and out-of-pocket expenses incurred in connection with attending our Board and committee meetings.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Each new non-employee director who joins our Board will be granted awards under our 2025 Plan with an aggregate grant date fair value (as calculated for financial reporting purposes) equal to the lesser of (a) $640,000 or (b) the fair value of 121,000 stock options measured as of the date the director joins the Board. Once the aggregate fair value of the new director award has been determined, the new director will be granted a stock option having a grant date fair value equal to 70% of such amount and RSUs having a grant date fair value equal to 30% of such amount. The shares subject to each stock option granted will vest in 36 equal monthly installments on the monthly anniversary of the grant date and the RSUs will vest in three equal installments on the first, second and third anniversary of the grant date, subject to continued service through the applicable vesting date. The exercise price per share of each stock option will be equal to the closing price of our common stock on the date of the option grant. Each such stock option will have a term of ten years from the date of grant, subject to earlier termination in connection with a termination of the non-employee director’s continuous service with us.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non-employee director who continues to serve as a director of our company following the meeting will be granted awards under our 2025 Plan with an aggregate grant date fair value (as calculated for financial reporting purposes) equal to the lesser of (a) $320,000 or (b) the fair value of 60,500 stock options measured as of the annual meeting date. Once the aggregate fair value of the continuing director award has been determined, the continuing director will be granted a stock option having a grant date fair value equal to 70% of such amount and RSUs having a grant date fair value equal to 30% of such amount. The shares subject to each stock option granted will vest in equal monthly installments over 12 months and the RSUs will vest in one installment on the first anniversary of the grant date, subject to continued service through the applicable vesting date. The exercise price per share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each stock option will be equal to the closing price of our common stock on the date of the option grant. Each such stock option will have a term of ten years from the date of grant, subject to earlier termination in connection with a termination of the non-employee director’s continuous service with us.</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sum of any cash or other compensation and the value (based on the grant date fair value) of awards granted to any non-employee director for services as a director during any fiscal year may not exceed $750,000.</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June 5, 2025, the date of our 2025 annual meeting of stockholders, each non-employee director then serving on our Board was granted a stock option to purchase 42,350 shares of common stock and 11,580 RSUs under our 2025 Plan. These awards are reflected in the table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the compensation earned by each of our non-employee directors for 2025. Each of Dr. Walker, our Chief Executive Officer, and Dr. Davis, our President and Chief Operating Officer, is also a director but did not receive any additional compensation for his service as a director in 2025. Dr. Walker’s compensation as an executive officer is set forth above under “Summary Compensation Table.”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Fees Earned or</w:t>
            </w: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60" w:type="dxa"/>
            <w:vAlign w:val="bottom"/>
            <w:vMerge w:val="continue"/>
          </w:tcPr>
          <w:p>
            <w:pPr>
              <w:spacing w:after="0"/>
              <w:rPr>
                <w:sz w:val="15"/>
                <w:szCs w:val="15"/>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7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(1)(2)(3)</w:t>
            </w:r>
          </w:p>
        </w:tc>
        <w:tc>
          <w:tcPr>
            <w:tcW w:w="1140" w:type="dxa"/>
            <w:vAlign w:val="bottom"/>
            <w:gridSpan w:val="2"/>
          </w:tcPr>
          <w:p>
            <w:pPr>
              <w:jc w:val="right"/>
              <w:ind w:right="13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(1)(2)(4)</w:t>
            </w:r>
          </w:p>
        </w:tc>
        <w:tc>
          <w:tcPr>
            <w:tcW w:w="22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Humphries</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52,000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42,422</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112,486</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Anand Mehra, M.D.</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42,422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Molineaux</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81,500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141,986</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Schiff, M.D.</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42,422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Maxine Gowen, Ph.D.</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47,500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107,986</w:t>
            </w:r>
          </w:p>
        </w:tc>
        <w:tc>
          <w:tcPr>
            <w:tcW w:w="0" w:type="dxa"/>
            <w:vAlign w:val="bottom"/>
          </w:tcPr>
          <w:p>
            <w:pPr>
              <w:spacing w:after="0"/>
              <w:rPr>
                <w:sz w:val="1"/>
                <w:szCs w:val="1"/>
                <w:color w:val="auto"/>
              </w:rPr>
            </w:pP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Vincent Milano</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42,422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9" w:lineRule="exact"/>
        <w:rPr>
          <w:sz w:val="20"/>
          <w:szCs w:val="20"/>
          <w:color w:val="auto"/>
        </w:rPr>
      </w:pPr>
    </w:p>
    <w:p>
      <w:pPr>
        <w:jc w:val="both"/>
        <w:ind w:left="460" w:right="79" w:hanging="410"/>
        <w:spacing w:after="0" w:line="261"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for awards granted for the fiscal year ended December 31, 2025 calculated in accordance with FASB ASC Topic 718. For a discussion of valuation assumptions, see “Item 8—Notes to Consolidated Financial Statements—Note 6.” Our directors will not realize the estimated value of these awards until the awards are vested, exercised and/or sold, as applicable.</w:t>
      </w:r>
    </w:p>
    <w:p>
      <w:pPr>
        <w:spacing w:after="0" w:line="179" w:lineRule="exact"/>
        <w:rPr>
          <w:rFonts w:ascii="Times New Roman" w:cs="Times New Roman" w:eastAsia="Times New Roman" w:hAnsi="Times New Roman"/>
          <w:sz w:val="18"/>
          <w:szCs w:val="18"/>
          <w:color w:val="auto"/>
        </w:rPr>
      </w:pPr>
    </w:p>
    <w:p>
      <w:pPr>
        <w:jc w:val="both"/>
        <w:ind w:left="460" w:right="79" w:hanging="410"/>
        <w:spacing w:after="0" w:line="261"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our non-employee directors held the following number of stock options and RSUs: Mr. Humphries, 123,175 stock options and 11,580 RSUs; Dr. Mehra, 105,175 stock options and 11,580 RSUs; Mr. Molineaux, 106,066 stock options and 11,580 RSUs; Dr. Schiff, 121,175 stock options and 11,580 RSUs; Dr. Gowen, 113,175 stock options and 11,580 RSUs; and Mr. Milano, 119,175 stock options and 11,580 RSUs.</w:t>
      </w:r>
    </w:p>
    <w:p>
      <w:pPr>
        <w:spacing w:after="0" w:line="179" w:lineRule="exact"/>
        <w:rPr>
          <w:rFonts w:ascii="Times New Roman" w:cs="Times New Roman" w:eastAsia="Times New Roman" w:hAnsi="Times New Roman"/>
          <w:sz w:val="18"/>
          <w:szCs w:val="18"/>
          <w:color w:val="auto"/>
        </w:rPr>
      </w:pPr>
    </w:p>
    <w:p>
      <w:pPr>
        <w:ind w:left="460" w:right="79" w:hanging="410"/>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11,580 RSUs granted on June 5, 2025. The RSUs will vest on June 5, 2026, subject to continuous service with us through that date.</w:t>
      </w:r>
    </w:p>
    <w:p>
      <w:pPr>
        <w:spacing w:after="0" w:line="161" w:lineRule="exact"/>
        <w:rPr>
          <w:rFonts w:ascii="Times New Roman" w:cs="Times New Roman" w:eastAsia="Times New Roman" w:hAnsi="Times New Roman"/>
          <w:sz w:val="18"/>
          <w:szCs w:val="18"/>
          <w:color w:val="auto"/>
        </w:rPr>
      </w:pPr>
    </w:p>
    <w:p>
      <w:pPr>
        <w:jc w:val="both"/>
        <w:ind w:left="460" w:right="79" w:hanging="410"/>
        <w:spacing w:after="0" w:line="266"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option granted on June 5, 2025 to purchase 42,350 shares at an exercise price of $1.56 per share. This option vests in 12 equal monthly installments through June 5, 2026, subject to continuous service with us through each vesting date.</w:t>
      </w:r>
    </w:p>
    <w:p>
      <w:pPr>
        <w:spacing w:after="0" w:line="17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grant equity awards, including stock options, to our employees, including our NEOs. Our typical practice is to grant employee stock options on the first business day of the month following the month in which the options are approved (or on the same day of approval if such approval is on the first business day of a month). We typically grant annual refresh employee option grants in the first quarter of each fiscal year, which refresh grants are typically approved at a regularly scheduled meeting of the Compensation Committee occurring in such quarter. In addition, non-employee directors receive automatic grants of initial and annual stock option awards, at the time of a director’s initial appointment or election to the board and at the time of each annual meeting of our stockholders, respectively, pursuant to our non-employee director compensation policy, as further described under the heading, “Non-Employee Director</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Compensation”. We do not otherwise maintain any written policies on the timing of awards of stock options, stock appreciation rights, or similar instruments with option-like features. The Compensation Committee considers whether there is any material nonpublic information (“MNPI”) about our company when determining the timing of stock option grants and it does not seek to time the award of stock options in relation to the Company’s public disclosure of MNPI. We have not timed the release of MNPI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February 9, 2026 by: (i) each director; (ii) each of our NEOs; (iii) all currently serving executive officers and directors as a group; and (iv) all those known by us to be beneficial owners of more than five percent of our common stock.</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10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Percent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6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r>
              <w:rPr>
                <w:rFonts w:ascii="Times New Roman" w:cs="Times New Roman" w:eastAsia="Times New Roman" w:hAnsi="Times New Roman"/>
                <w:sz w:val="21"/>
                <w:szCs w:val="21"/>
                <w:b w:val="1"/>
                <w:bCs w:val="1"/>
                <w:color w:val="auto"/>
                <w:vertAlign w:val="superscript"/>
              </w:rPr>
              <w:t>(1)</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6960" w:type="dxa"/>
            <w:vAlign w:val="bottom"/>
            <w:gridSpan w:val="5"/>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BML Investment Partners, L.P.</w:t>
            </w:r>
            <w:r>
              <w:rPr>
                <w:rFonts w:ascii="Times New Roman" w:cs="Times New Roman" w:eastAsia="Times New Roman" w:hAnsi="Times New Roman"/>
                <w:sz w:val="25"/>
                <w:szCs w:val="25"/>
                <w:color w:val="auto"/>
                <w:vertAlign w:val="superscript"/>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14,250,000</w:t>
            </w:r>
          </w:p>
        </w:tc>
        <w:tc>
          <w:tcPr>
            <w:tcW w:w="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Biosion, Inc.</w:t>
            </w:r>
            <w:r>
              <w:rPr>
                <w:rFonts w:ascii="Times New Roman" w:cs="Times New Roman" w:eastAsia="Times New Roman" w:hAnsi="Times New Roman"/>
                <w:sz w:val="25"/>
                <w:szCs w:val="25"/>
                <w:color w:val="auto"/>
                <w:vertAlign w:val="superscript"/>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11,281,950</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Vivo Capital LLC</w:t>
            </w:r>
            <w:r>
              <w:rPr>
                <w:rFonts w:ascii="Times New Roman" w:cs="Times New Roman" w:eastAsia="Times New Roman" w:hAnsi="Times New Roman"/>
                <w:sz w:val="25"/>
                <w:szCs w:val="25"/>
                <w:color w:val="auto"/>
                <w:vertAlign w:val="superscript"/>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8,888,888</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6,700,629</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5"/>
                <w:szCs w:val="25"/>
                <w:color w:val="auto"/>
                <w:vertAlign w:val="superscript"/>
              </w:rPr>
              <w:t>(6)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6,662,063</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p>
        </w:tc>
        <w:tc>
          <w:tcPr>
            <w:tcW w:w="8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Neal Walker</w:t>
            </w:r>
            <w:r>
              <w:rPr>
                <w:rFonts w:ascii="Times New Roman" w:cs="Times New Roman" w:eastAsia="Times New Roman" w:hAnsi="Times New Roman"/>
                <w:sz w:val="25"/>
                <w:szCs w:val="25"/>
                <w:color w:val="auto"/>
                <w:vertAlign w:val="superscript"/>
              </w:rPr>
              <w:t>(7)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3,175,338</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Kevin Balthaser</w:t>
            </w:r>
            <w:r>
              <w:rPr>
                <w:rFonts w:ascii="Times New Roman" w:cs="Times New Roman" w:eastAsia="Times New Roman" w:hAnsi="Times New Roman"/>
                <w:sz w:val="25"/>
                <w:szCs w:val="25"/>
                <w:color w:val="auto"/>
                <w:vertAlign w:val="superscript"/>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509,380</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Loerop</w:t>
            </w:r>
            <w:r>
              <w:rPr>
                <w:rFonts w:ascii="Times New Roman" w:cs="Times New Roman" w:eastAsia="Times New Roman" w:hAnsi="Times New Roman"/>
                <w:sz w:val="25"/>
                <w:szCs w:val="25"/>
                <w:color w:val="auto"/>
                <w:vertAlign w:val="superscript"/>
              </w:rPr>
              <w:t>(9)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602,335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Hugh Davis</w:t>
            </w:r>
            <w:r>
              <w:rPr>
                <w:rFonts w:ascii="Times New Roman" w:cs="Times New Roman" w:eastAsia="Times New Roman" w:hAnsi="Times New Roman"/>
                <w:sz w:val="25"/>
                <w:szCs w:val="25"/>
                <w:color w:val="auto"/>
                <w:vertAlign w:val="superscript"/>
              </w:rPr>
              <w:t>(10)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204,575</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William Humphries </w:t>
            </w:r>
            <w:r>
              <w:rPr>
                <w:rFonts w:ascii="Times New Roman" w:cs="Times New Roman" w:eastAsia="Times New Roman" w:hAnsi="Times New Roman"/>
                <w:sz w:val="25"/>
                <w:szCs w:val="25"/>
                <w:color w:val="auto"/>
                <w:vertAlign w:val="superscript"/>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170,816</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Christopher Molineaux</w:t>
            </w:r>
            <w:r>
              <w:rPr>
                <w:rFonts w:ascii="Times New Roman" w:cs="Times New Roman" w:eastAsia="Times New Roman" w:hAnsi="Times New Roman"/>
                <w:sz w:val="25"/>
                <w:szCs w:val="25"/>
                <w:color w:val="auto"/>
                <w:vertAlign w:val="superscript"/>
              </w:rPr>
              <w:t>(12)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175,379</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Anand Mehra</w:t>
            </w:r>
            <w:r>
              <w:rPr>
                <w:rFonts w:ascii="Times New Roman" w:cs="Times New Roman" w:eastAsia="Times New Roman" w:hAnsi="Times New Roman"/>
                <w:sz w:val="25"/>
                <w:szCs w:val="25"/>
                <w:color w:val="auto"/>
                <w:vertAlign w:val="superscript"/>
              </w:rPr>
              <w:t>(13)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834,114</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Andrew Schiff</w:t>
            </w:r>
            <w:r>
              <w:rPr>
                <w:rFonts w:ascii="Times New Roman" w:cs="Times New Roman" w:eastAsia="Times New Roman" w:hAnsi="Times New Roman"/>
                <w:sz w:val="25"/>
                <w:szCs w:val="25"/>
                <w:color w:val="auto"/>
                <w:vertAlign w:val="superscript"/>
              </w:rPr>
              <w:t>(14)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583,706</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Maxine Gowen</w:t>
            </w:r>
            <w:r>
              <w:rPr>
                <w:rFonts w:ascii="Times New Roman" w:cs="Times New Roman" w:eastAsia="Times New Roman" w:hAnsi="Times New Roman"/>
                <w:sz w:val="25"/>
                <w:szCs w:val="25"/>
                <w:color w:val="auto"/>
                <w:vertAlign w:val="superscript"/>
              </w:rPr>
              <w:t>(15)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Vincent Milano</w:t>
            </w:r>
            <w:r>
              <w:rPr>
                <w:rFonts w:ascii="Times New Roman" w:cs="Times New Roman" w:eastAsia="Times New Roman" w:hAnsi="Times New Roman"/>
                <w:sz w:val="25"/>
                <w:szCs w:val="25"/>
                <w:color w:val="auto"/>
                <w:vertAlign w:val="superscript"/>
              </w:rPr>
              <w:t>(16)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150,607</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directors and executive officers as a group (12 persons)</w:t>
            </w:r>
            <w:r>
              <w:rPr>
                <w:rFonts w:ascii="Times New Roman" w:cs="Times New Roman" w:eastAsia="Times New Roman" w:hAnsi="Times New Roman"/>
                <w:sz w:val="25"/>
                <w:szCs w:val="25"/>
                <w:color w:val="auto"/>
                <w:vertAlign w:val="superscript"/>
              </w:rPr>
              <w:t>(17)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6,555,295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jc w:val="both"/>
        <w:ind w:left="380" w:right="79" w:hanging="330"/>
        <w:spacing w:after="0" w:line="255"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a review of Schedule 13G, Schedule 13D and Section 16 filings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121,087,249 shares outstanding on February 9, 2026, adjusted as required by rules promulgated by the SEC. Except as otherwise noted below, the principal business address of each of the executive officers and directors is c/o Aclaris Therapeutics, Inc., 701 Lee Road, Suite 103, Wayne, Pennsylvania 19087.</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9, 2026 by BML Investment Partners, L.P. (“BML”). The shares reported are held by BML. Braden M. Leonard is the managing member of BML Capital Management, LLC, the sole general partner of BML, and as a result, Mr. Leonard is deemed to be the indirect beneficial owner of the shares held directly by BML. The principal business address of BML is 65 E Cedar, Suite 2, Zionsville, IN 46077.</w:t>
      </w:r>
    </w:p>
    <w:p>
      <w:pPr>
        <w:spacing w:after="0" w:line="18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January 9, 2026 by Biosion, Inc. and Bonita Biotech (HK) Ltd. The principal business address of these entities is 5th Floor, Building D, 3-1 Zhongdan Unit, South Longshan Rd, Jiangbei New District, Nanjing, Jiangsu, China.</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November 21, 2024 by Vivo Opportunity Fund Holdings, L.P. (“Opportunity Fund”), Vivo Opportunity, LLC, Vivo Asia Opportunity Fund Holdings, L.P. (“Asia Opportunity Fund”), and Vivo Opportunity Cayman, LLC. Consists of (a) 7,955,160 shares of common stock held by Opportunity Fund and (b) 933,728 shares of common stock held by Asia Opportunity Fund. Vivo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80" w:right="79"/>
        <w:spacing w:after="0" w:line="258" w:lineRule="auto"/>
        <w:rPr>
          <w:sz w:val="20"/>
          <w:szCs w:val="20"/>
          <w:color w:val="auto"/>
        </w:rPr>
      </w:pPr>
      <w:r>
        <w:rPr>
          <w:rFonts w:ascii="Times New Roman" w:cs="Times New Roman" w:eastAsia="Times New Roman" w:hAnsi="Times New Roman"/>
          <w:sz w:val="18"/>
          <w:szCs w:val="18"/>
          <w:color w:val="auto"/>
        </w:rPr>
        <w:t>Opportunity, LLC is the general partner of Opportunity Fund. Vivo Opportunity Cayman, LLC is the general partner of Asia Opportunity Fund. The voting members of each of Vivo Opportunity, LLC and Vivo Opportunity Cayman, LLC are Kevin Dai, Gaurav Aggarwal, Frank Kung and Shan Fu, none of whom has individual voting or investment power with respect to the shares held by Opportunity Fund or Asia Opportunity Fund. The principal business address of these entities and persons is 192 Lytton Avenue, Palo Alto, California 94301.</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January 21, 2026 by BlackRock, Inc. Various persons have the right to receive or the power to direct the receipt of dividends from, or the proceeds from the sale of these shares. The principal business address of BlackRock, Inc. is 50 Hudson Yards, New York, NY 10001.</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July 29, 2025 by The Vanguard Group. The Vanguard Group’s clients, including investment companies registered under the Investment Company Act of 1940 and other managed accounts, have the right to receive or the power to direct the receipt of dividends from, or the proceeds from the sale of, these shares. The principal business address of The Vanguard Group is 100 Vanguard Blvd., Malvern, PA 19355.</w:t>
      </w:r>
    </w:p>
    <w:p>
      <w:pPr>
        <w:spacing w:after="0" w:line="18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1,543,886 shares of common stock and (b) 1,631,452 shares of common stock underlying options that are exercisable within 60 days of February 9, 2026.</w:t>
      </w:r>
    </w:p>
    <w:p>
      <w:pPr>
        <w:spacing w:after="0" w:line="16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185,755 shares of common stock, (b) 321,250 shares of common stock underlying options that are exercisable within 60 days of February 9, 2026 and (c) 2,375 shares of common stock underlying RSUs that will vest within 60 days of February 9, 2026.</w:t>
      </w:r>
    </w:p>
    <w:p>
      <w:pPr>
        <w:spacing w:after="0" w:line="17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192,260 shares of common stock and (b) 410,075 shares of common stock underlying options that are exercisable within 60 days of February 9, 2026.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45,425 shares of common stock and (b) 159,150 shares of common stock underlying options that are exercisable within 60 days of February 9, 2026.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33,525 shares of common stock and (b) 137,291 shares of common stock underlying options that are exercisable within 60 days of February 9, 2026.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57,956 shares of common stock and (b) 117,423 shares of common stock underlying options that are exercisable within 60 days of February 9, 2026.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714,823 shares of common stock and (b) 119,291 shares of common stock underlying options that are exercisable within 60 days of February 9, 2026.</w:t>
      </w:r>
    </w:p>
    <w:p>
      <w:pPr>
        <w:spacing w:after="0" w:line="161"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434,455 shares of common stock owned directly by Aisling Capital IV, LP (“Aisling”), (b) 13,960 shares of common stock owned directly by Dr. Schiff and (c) 135,291 shares of common stock underlying options held directly by Dr. Schiff that are exercisable within 60 days of February 9, 2026. The shares owned directly by Aisling are held indirectly by Aisling Capital Partners IV, LP (“Aisling GP”), as general partner of Aisling, Aisling Capital Partners IV, LLC (“Aisling Partners”), as general partner of Aisling GP, and each of the individual managing members of Aisling Partners. Dr. Schiff is one of the managing members of Aisling Partners and shares voting and dispositive power over the shares directly held by Aisling.</w:t>
      </w:r>
    </w:p>
    <w:p>
      <w:pPr>
        <w:spacing w:after="0" w:line="188"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21,754 shares of common stock and (b) 127,291 shares of common stock underlying options that are exercisable within 60 days of February 9, 2026.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17,316 shares of common stock and (b) 133,291 shares of common stock underlying options that are exercisable within 60 days of February 9, 2026.</w:t>
      </w:r>
    </w:p>
    <w:p>
      <w:pPr>
        <w:spacing w:after="0" w:line="161"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3,261,115 shares of common stock, (b) 3,291,805 shares of common stock underlying options that are exercisable within 60 days of February 9, 2026 and (c) 2,375 shares of common stock underlying RSUs that will vest within 60 days of February 9, 2026.</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certain information regarding our equity compensation plans in effect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3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4360" w:type="dxa"/>
            <w:vAlign w:val="bottom"/>
            <w:gridSpan w:val="6"/>
            <w:vMerge w:val="continue"/>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tcBorders>
              <w:top w:val="single" w:sz="8" w:color="auto"/>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2015</w:t>
            </w:r>
          </w:p>
        </w:tc>
        <w:tc>
          <w:tcPr>
            <w:tcW w:w="386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7"/>
                <w:szCs w:val="17"/>
                <w:color w:val="auto"/>
              </w:rPr>
              <w:t>Equity Incentive Plan</w:t>
            </w:r>
            <w:r>
              <w:rPr>
                <w:rFonts w:ascii="Times New Roman" w:cs="Times New Roman" w:eastAsia="Times New Roman" w:hAnsi="Times New Roman"/>
                <w:sz w:val="25"/>
                <w:szCs w:val="25"/>
                <w:color w:val="auto"/>
                <w:vertAlign w:val="superscript"/>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10,944,380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2025</w:t>
            </w:r>
          </w:p>
        </w:tc>
        <w:tc>
          <w:tcPr>
            <w:tcW w:w="3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12,442,759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2017</w:t>
            </w:r>
          </w:p>
        </w:tc>
        <w:tc>
          <w:tcPr>
            <w:tcW w:w="386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Inducement Plan</w:t>
            </w:r>
            <w:r>
              <w:rPr>
                <w:rFonts w:ascii="Times New Roman" w:cs="Times New Roman" w:eastAsia="Times New Roman" w:hAnsi="Times New Roman"/>
                <w:sz w:val="25"/>
                <w:szCs w:val="25"/>
                <w:color w:val="auto"/>
                <w:vertAlign w:val="superscript"/>
              </w:rPr>
              <w:t>(4)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2024</w:t>
            </w:r>
          </w:p>
        </w:tc>
        <w:tc>
          <w:tcPr>
            <w:tcW w:w="386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7"/>
                <w:szCs w:val="17"/>
                <w:color w:val="auto"/>
              </w:rPr>
              <w:t>Inducement Plan</w:t>
            </w:r>
            <w:r>
              <w:rPr>
                <w:rFonts w:ascii="Times New Roman" w:cs="Times New Roman" w:eastAsia="Times New Roman" w:hAnsi="Times New Roman"/>
                <w:sz w:val="25"/>
                <w:szCs w:val="25"/>
                <w:color w:val="auto"/>
                <w:vertAlign w:val="superscript"/>
              </w:rPr>
              <w:t>(5)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14,072,630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12,936,259</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hanging="410"/>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further options or awards may be granted under the 2015 Equity Compensation Plan.</w:t>
      </w:r>
    </w:p>
    <w:p>
      <w:pPr>
        <w:spacing w:after="0" w:line="225" w:lineRule="exact"/>
        <w:rPr>
          <w:rFonts w:ascii="Times New Roman" w:cs="Times New Roman" w:eastAsia="Times New Roman" w:hAnsi="Times New Roman"/>
          <w:sz w:val="18"/>
          <w:szCs w:val="18"/>
          <w:color w:val="auto"/>
        </w:rPr>
      </w:pPr>
    </w:p>
    <w:p>
      <w:pPr>
        <w:ind w:left="460" w:right="79" w:hanging="410"/>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for the 2015 Plan gives effect to outstanding RSUs, which have no exercise price. Excluding the RSUs, the weighted average exercise price would be $7.18 per share.</w:t>
      </w:r>
    </w:p>
    <w:p>
      <w:pPr>
        <w:spacing w:after="0" w:line="161" w:lineRule="exact"/>
        <w:rPr>
          <w:rFonts w:ascii="Times New Roman" w:cs="Times New Roman" w:eastAsia="Times New Roman" w:hAnsi="Times New Roman"/>
          <w:sz w:val="18"/>
          <w:szCs w:val="18"/>
          <w:color w:val="auto"/>
        </w:rPr>
      </w:pPr>
    </w:p>
    <w:p>
      <w:pPr>
        <w:ind w:left="460" w:right="79" w:hanging="410"/>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for the 2025 Plan gives effect to outstanding RSUs, which have no exercise price. Excluding the RSUs, the weighted average exercise price would be $1.77 per share.</w:t>
      </w:r>
    </w:p>
    <w:p>
      <w:pPr>
        <w:spacing w:after="0" w:line="161" w:lineRule="exact"/>
        <w:rPr>
          <w:rFonts w:ascii="Times New Roman" w:cs="Times New Roman" w:eastAsia="Times New Roman" w:hAnsi="Times New Roman"/>
          <w:sz w:val="18"/>
          <w:szCs w:val="18"/>
          <w:color w:val="auto"/>
        </w:rPr>
      </w:pPr>
    </w:p>
    <w:p>
      <w:pPr>
        <w:ind w:left="460" w:right="79" w:hanging="410"/>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the material terms of this plan, see “Item 8—Notes to Consolidated Financial Statements—Note 6—2017 Inducement Plan.”</w:t>
      </w:r>
    </w:p>
    <w:p>
      <w:pPr>
        <w:spacing w:after="0" w:line="161" w:lineRule="exact"/>
        <w:rPr>
          <w:rFonts w:ascii="Times New Roman" w:cs="Times New Roman" w:eastAsia="Times New Roman" w:hAnsi="Times New Roman"/>
          <w:sz w:val="18"/>
          <w:szCs w:val="18"/>
          <w:color w:val="auto"/>
        </w:rPr>
      </w:pPr>
    </w:p>
    <w:p>
      <w:pPr>
        <w:ind w:left="460" w:right="79" w:hanging="410"/>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the material terms of this plan, see “Item 8—Notes to Consolidated Financial Statements—Note 6—2024 Inducement Plan.”</w:t>
      </w:r>
    </w:p>
    <w:p>
      <w:pPr>
        <w:spacing w:after="0" w:line="161"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for the 2024 Inducement Plan gives effect to outstanding RSUs, which have no exercise price. Excluding the RSUs, the weighted average exercise price would be $2.57 per share.</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We have adopted a related person transactions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7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collect information that we deem reasonably necessary from each director, executive officer and, to the extent feasible, significant stockholder to enable us to identify any existing or potential related person transactions and to effectuate the terms of the policy. In addition, under our Code of Business Conduct and Ethics, our employees and directors have an affirmative responsibility to disclose any potential conflicts of interest. In considering related person transactions, our Audit Committee, or other independent body of our Board, takes into account the relevant available facts and circumstances including, but not limited to:</w:t>
      </w:r>
    </w:p>
    <w:p>
      <w:pPr>
        <w:spacing w:after="0" w:line="188" w:lineRule="exact"/>
        <w:rPr>
          <w:sz w:val="20"/>
          <w:szCs w:val="20"/>
          <w:color w:val="auto"/>
        </w:rPr>
      </w:pPr>
    </w:p>
    <w:p>
      <w:pPr>
        <w:ind w:left="1380" w:hanging="331"/>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Except as described below, there have been no transactions since January 1, 2024 to which we have been a participant in which the amount involved exceeded or will exceed the lesser of (1) $120,000 or (2) 1% of the average of our total assets for the last two completed fiscal years, and in which any of our directors, executive officers or holders of more than 5% of our capital stock, or any members of their immediate family, had or will have a direct or indirect material interest, other than compensation arrangements which are described under “Executive Compensation” and “Non-Employee Director Compensation.”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Private Placement</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 November 2024, Anand Mehra, a member of our Board, purchased 666,666 shares of our common stock at a price per share of $2.25 in connection with a private placement for an aggregate purchase price of $1.5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compensation arrangements with our directors and executive officers, we have entered into indemnity agreements with each of them which provide, among other things, that we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officer or other agent, and otherwise to the fullest extent permitted under Delaware law and our bylaws.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Nasdaq, as in effect from time to time.</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our company, senior management and independent auditors, the Board has affirmatively determined that six of our eight current directors are independent directors within the meaning of the applicable Nasdaq listing standards: Mr. Humphries, Dr. Mehra, Mr. Molineaux, Dr. Schiff, Dr. Gowen and Mr. Milano. In making these determinations, the Board found that none of these directors had a material or other disqualifying relationship with our company. Dr. Walker, as our Chief Executive Officer, and Dr. Davis, as our President and Chief Operating Officer, are not independent as a result of their employment by our company.</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 ended December 31, 2025 and 2024 by PricewaterhouseCoopers LLP, our principal accountant.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577,120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507,000</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audit fees were pre-approved by the Audit Committee.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1080" w:hanging="382"/>
        <w:spacing w:after="0"/>
        <w:tabs>
          <w:tab w:leader="none" w:pos="108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following documents are filed as part of this report:</w:t>
      </w:r>
    </w:p>
    <w:p>
      <w:pPr>
        <w:spacing w:after="0" w:line="225" w:lineRule="exact"/>
        <w:rPr>
          <w:rFonts w:ascii="Times New Roman" w:cs="Times New Roman" w:eastAsia="Times New Roman" w:hAnsi="Times New Roman"/>
          <w:sz w:val="18"/>
          <w:szCs w:val="18"/>
          <w:b w:val="1"/>
          <w:bCs w:val="1"/>
          <w:i w:val="1"/>
          <w:iCs w:val="1"/>
          <w:color w:val="auto"/>
        </w:rPr>
      </w:pPr>
    </w:p>
    <w:p>
      <w:pPr>
        <w:ind w:left="1420" w:hanging="398"/>
        <w:spacing w:after="0"/>
        <w:tabs>
          <w:tab w:leader="none" w:pos="1420" w:val="left"/>
        </w:tabs>
        <w:numPr>
          <w:ilvl w:val="1"/>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Statements</w:t>
      </w:r>
    </w:p>
    <w:p>
      <w:pPr>
        <w:spacing w:after="0" w:line="229" w:lineRule="exact"/>
        <w:rPr>
          <w:sz w:val="20"/>
          <w:szCs w:val="20"/>
          <w:color w:val="auto"/>
        </w:rPr>
      </w:pPr>
    </w:p>
    <w:p>
      <w:pPr>
        <w:ind w:left="1080" w:right="59" w:firstLine="324"/>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58" w:lineRule="exact"/>
        <w:rPr>
          <w:sz w:val="20"/>
          <w:szCs w:val="20"/>
          <w:color w:val="auto"/>
        </w:rPr>
      </w:pPr>
    </w:p>
    <w:p>
      <w:pPr>
        <w:ind w:left="1420" w:hanging="398"/>
        <w:spacing w:after="0"/>
        <w:tabs>
          <w:tab w:leader="none" w:pos="1420"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229" w:lineRule="exact"/>
        <w:rPr>
          <w:sz w:val="20"/>
          <w:szCs w:val="20"/>
          <w:color w:val="auto"/>
        </w:rPr>
      </w:pPr>
    </w:p>
    <w:p>
      <w:pPr>
        <w:jc w:val="both"/>
        <w:ind w:left="1080" w:right="79" w:firstLine="324"/>
        <w:spacing w:after="0" w:line="266" w:lineRule="auto"/>
        <w:rPr>
          <w:sz w:val="20"/>
          <w:szCs w:val="20"/>
          <w:color w:val="auto"/>
        </w:rPr>
      </w:pPr>
      <w:r>
        <w:rPr>
          <w:rFonts w:ascii="Times New Roman" w:cs="Times New Roman" w:eastAsia="Times New Roman" w:hAnsi="Times New Roman"/>
          <w:sz w:val="18"/>
          <w:szCs w:val="18"/>
          <w:color w:val="auto"/>
        </w:rPr>
        <w:t>Financial statement schedules have been omitted in this report because they are not applicable, not required under the instructions, or the information required is set forth in the consolidated financial statements or related notes thereto.</w:t>
      </w:r>
    </w:p>
    <w:p>
      <w:pPr>
        <w:spacing w:after="0" w:line="172" w:lineRule="exact"/>
        <w:rPr>
          <w:sz w:val="20"/>
          <w:szCs w:val="20"/>
          <w:color w:val="auto"/>
        </w:rPr>
      </w:pPr>
    </w:p>
    <w:p>
      <w:pPr>
        <w:ind w:left="1420" w:hanging="398"/>
        <w:spacing w:after="0"/>
        <w:tabs>
          <w:tab w:leader="none" w:pos="142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p>
    <w:p>
      <w:pPr>
        <w:spacing w:after="0" w:line="229"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exhibits listed under part (b) below.</w:t>
      </w:r>
    </w:p>
    <w:p>
      <w:pPr>
        <w:spacing w:after="0" w:line="221" w:lineRule="exact"/>
        <w:rPr>
          <w:rFonts w:ascii="Times New Roman" w:cs="Times New Roman" w:eastAsia="Times New Roman" w:hAnsi="Times New Roman"/>
          <w:sz w:val="18"/>
          <w:szCs w:val="18"/>
          <w:b w:val="1"/>
          <w:bCs w:val="1"/>
          <w:color w:val="auto"/>
        </w:rPr>
      </w:pPr>
    </w:p>
    <w:p>
      <w:pPr>
        <w:ind w:left="1080" w:hanging="382"/>
        <w:spacing w:after="0"/>
        <w:tabs>
          <w:tab w:leader="none" w:pos="1080"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19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8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4"/>
                <w:szCs w:val="14"/>
                <w:color w:val="auto"/>
              </w:rPr>
              <w:t>​​</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wp:posOffset>
            </wp:positionV>
            <wp:extent cx="56489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20" w:lineRule="exact"/>
        <w:rPr>
          <w:sz w:val="20"/>
          <w:szCs w:val="20"/>
          <w:color w:val="auto"/>
        </w:rPr>
      </w:pPr>
    </w:p>
    <w:p>
      <w:pPr>
        <w:jc w:val="both"/>
        <w:ind w:left="940" w:right="79" w:hanging="696"/>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46">
        <w:r>
          <w:rPr>
            <w:rFonts w:ascii="Times New Roman" w:cs="Times New Roman" w:eastAsia="Times New Roman" w:hAnsi="Times New Roman"/>
            <w:sz w:val="18"/>
            <w:szCs w:val="18"/>
            <w:u w:val="single" w:color="auto"/>
            <w:color w:val="0000EE"/>
          </w:rPr>
          <w:t>Agreement and Plan of Merger, dated as of August 3, 2017, by and among the Registrant, Aclaris Life</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Sciences, Inc., Confluence Life Sciences, Inc. and Fortis Advisors LLC (incorporated by reference to Exhibit</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2.1 to the Registrant’s Quarterly Report on Form 10-Q (File No. 001-37581), filed with the SEC on November</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7, 2017).</w:t>
        </w:r>
      </w:hyperlink>
    </w:p>
    <w:p>
      <w:pPr>
        <w:spacing w:after="0" w:line="112" w:lineRule="exact"/>
        <w:rPr>
          <w:rFonts w:ascii="Times New Roman" w:cs="Times New Roman" w:eastAsia="Times New Roman" w:hAnsi="Times New Roman"/>
          <w:sz w:val="18"/>
          <w:szCs w:val="18"/>
          <w:u w:val="single" w:color="auto"/>
          <w:color w:val="0000EE"/>
        </w:rPr>
      </w:pPr>
    </w:p>
    <w:p>
      <w:pPr>
        <w:jc w:val="both"/>
        <w:ind w:left="940" w:right="59" w:hanging="651"/>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47">
        <w:r>
          <w:rPr>
            <w:rFonts w:ascii="Times New Roman" w:cs="Times New Roman" w:eastAsia="Times New Roman" w:hAnsi="Times New Roman"/>
            <w:sz w:val="18"/>
            <w:szCs w:val="18"/>
            <w:u w:val="single" w:color="auto"/>
            <w:color w:val="0000EE"/>
          </w:rPr>
          <w:t>Amended and Restated Certificate of Incorporation of the Registrant (incorporated by reference to Exhibit 3.1</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to the Registrant’s Current Report on Form 8-K (File No. 001-37581), filed with the SEC on October 13,</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2015).</w:t>
        </w:r>
      </w:hyperlink>
    </w:p>
    <w:p>
      <w:pPr>
        <w:spacing w:after="0" w:line="108" w:lineRule="exact"/>
        <w:rPr>
          <w:rFonts w:ascii="Times New Roman" w:cs="Times New Roman" w:eastAsia="Times New Roman" w:hAnsi="Times New Roman"/>
          <w:sz w:val="18"/>
          <w:szCs w:val="18"/>
          <w:u w:val="single" w:color="auto"/>
          <w:color w:val="0000EE"/>
        </w:rPr>
      </w:pPr>
    </w:p>
    <w:p>
      <w:pPr>
        <w:jc w:val="both"/>
        <w:ind w:left="940" w:right="79" w:hanging="651"/>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48">
        <w:r>
          <w:rPr>
            <w:rFonts w:ascii="Times New Roman" w:cs="Times New Roman" w:eastAsia="Times New Roman" w:hAnsi="Times New Roman"/>
            <w:sz w:val="18"/>
            <w:szCs w:val="18"/>
            <w:u w:val="single" w:color="auto"/>
            <w:color w:val="0000EE"/>
          </w:rPr>
          <w:t>Certificate of Amendment to Amended and Restated Certificate of Incorporation of the Registrant</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(incorporated herein by reference to Exhibit 3.1 to the Registrant’s Current Report on Form 8-K (File No. 001-</w:t>
        </w:r>
      </w:hyperlink>
      <w:hyperlink r:id="rId148">
        <w:r>
          <w:rPr>
            <w:rFonts w:ascii="Times New Roman" w:cs="Times New Roman" w:eastAsia="Times New Roman" w:hAnsi="Times New Roman"/>
            <w:sz w:val="18"/>
            <w:szCs w:val="18"/>
            <w:u w:val="single" w:color="auto"/>
            <w:color w:val="0000EE"/>
          </w:rPr>
          <w:t>37581), filed with the SEC on June 5, 2025).</w:t>
        </w:r>
      </w:hyperlink>
    </w:p>
    <w:p>
      <w:pPr>
        <w:spacing w:after="0" w:line="108" w:lineRule="exact"/>
        <w:rPr>
          <w:rFonts w:ascii="Times New Roman" w:cs="Times New Roman" w:eastAsia="Times New Roman" w:hAnsi="Times New Roman"/>
          <w:sz w:val="18"/>
          <w:szCs w:val="18"/>
          <w:u w:val="single" w:color="auto"/>
          <w:color w:val="0000EE"/>
        </w:rPr>
      </w:pPr>
    </w:p>
    <w:p>
      <w:pPr>
        <w:jc w:val="both"/>
        <w:ind w:left="940" w:right="79" w:hanging="651"/>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149">
        <w:r>
          <w:rPr>
            <w:rFonts w:ascii="Times New Roman" w:cs="Times New Roman" w:eastAsia="Times New Roman" w:hAnsi="Times New Roman"/>
            <w:sz w:val="18"/>
            <w:szCs w:val="18"/>
            <w:u w:val="single" w:color="auto"/>
            <w:color w:val="0000EE"/>
          </w:rPr>
          <w:t>Amended and Restated Bylaws of the Registrant (incorporated by reference to Exhibit 3.1 to the Registrant’s</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Current Report on Form 8-K (File No. 001-37581), filed with the SEC on June 24, 2020).</w:t>
        </w:r>
      </w:hyperlink>
    </w:p>
    <w:p>
      <w:pPr>
        <w:spacing w:after="0" w:line="94" w:lineRule="exact"/>
        <w:rPr>
          <w:sz w:val="20"/>
          <w:szCs w:val="20"/>
          <w:color w:val="auto"/>
        </w:rPr>
      </w:pPr>
    </w:p>
    <w:p>
      <w:pPr>
        <w:ind w:left="240"/>
        <w:spacing w:after="0"/>
        <w:tabs>
          <w:tab w:leader="none" w:pos="9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Description of Securities.</w:t>
      </w:r>
    </w:p>
    <w:p>
      <w:pPr>
        <w:spacing w:after="0" w:line="158" w:lineRule="exact"/>
        <w:rPr>
          <w:sz w:val="20"/>
          <w:szCs w:val="20"/>
          <w:color w:val="auto"/>
        </w:rPr>
      </w:pPr>
    </w:p>
    <w:p>
      <w:pPr>
        <w:jc w:val="both"/>
        <w:ind w:left="940" w:right="59" w:hanging="747"/>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50">
        <w:r>
          <w:rPr>
            <w:rFonts w:ascii="Times New Roman" w:cs="Times New Roman" w:eastAsia="Times New Roman" w:hAnsi="Times New Roman"/>
            <w:sz w:val="18"/>
            <w:szCs w:val="18"/>
            <w:u w:val="single" w:color="auto"/>
            <w:color w:val="0000EE"/>
          </w:rPr>
          <w:t>2015 Equity Incentive Plan (incorporated by reference to Exhibit 4.6 to the Registrant’s Registration Statement</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on Form S-8 (File No. 333-207434), filed with the SEC on October 15, 2015).</w:t>
        </w:r>
      </w:hyperlink>
    </w:p>
    <w:p>
      <w:pPr>
        <w:spacing w:after="0" w:line="94" w:lineRule="exact"/>
        <w:rPr>
          <w:sz w:val="20"/>
          <w:szCs w:val="20"/>
          <w:color w:val="auto"/>
        </w:rPr>
      </w:pPr>
    </w:p>
    <w:p>
      <w:pPr>
        <w:jc w:val="both"/>
        <w:ind w:left="940" w:right="59" w:hanging="747"/>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51">
        <w:r>
          <w:rPr>
            <w:rFonts w:ascii="Times New Roman" w:cs="Times New Roman" w:eastAsia="Times New Roman" w:hAnsi="Times New Roman"/>
            <w:sz w:val="18"/>
            <w:szCs w:val="18"/>
            <w:u w:val="single" w:color="auto"/>
            <w:color w:val="0000EE"/>
          </w:rPr>
          <w:t>Form of Stock Option Grant Notice and Stock Option Agreement under 2015 Equity Incentive Plan</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(incorporated by reference to Exhibit 10.10 to Amendment No. 2 to the Registrant’s Registration Statement on</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Form S-1 (File No. 333-206437), filed with the SEC on September 25, 2015).</w:t>
        </w:r>
      </w:hyperlink>
    </w:p>
    <w:p>
      <w:pPr>
        <w:spacing w:after="0" w:line="108" w:lineRule="exact"/>
        <w:rPr>
          <w:rFonts w:ascii="Times New Roman" w:cs="Times New Roman" w:eastAsia="Times New Roman" w:hAnsi="Times New Roman"/>
          <w:sz w:val="18"/>
          <w:szCs w:val="18"/>
          <w:u w:val="single" w:color="auto"/>
          <w:color w:val="0000EE"/>
        </w:rPr>
      </w:pPr>
    </w:p>
    <w:p>
      <w:pPr>
        <w:jc w:val="both"/>
        <w:ind w:left="940" w:right="79" w:hanging="747"/>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52">
        <w:r>
          <w:rPr>
            <w:rFonts w:ascii="Times New Roman" w:cs="Times New Roman" w:eastAsia="Times New Roman" w:hAnsi="Times New Roman"/>
            <w:sz w:val="18"/>
            <w:szCs w:val="18"/>
            <w:u w:val="single" w:color="auto"/>
            <w:color w:val="0000EE"/>
          </w:rPr>
          <w:t>Form of Restricted Stock Unit Grant Notice and Restricted Stock Unit Award Agreement under 2015 Equity</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Incentive Plan (incorporated by reference to Exhibit 10.11 to Amendment No. 2 to the Registrant’s</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Registration Statement on Form S-1 (File No. 333-206437), filed with the SEC on September 25, 2015).</w:t>
        </w:r>
      </w:hyperlink>
    </w:p>
    <w:p>
      <w:pPr>
        <w:spacing w:after="0" w:line="108" w:lineRule="exact"/>
        <w:rPr>
          <w:rFonts w:ascii="Times New Roman" w:cs="Times New Roman" w:eastAsia="Times New Roman" w:hAnsi="Times New Roman"/>
          <w:sz w:val="18"/>
          <w:szCs w:val="18"/>
          <w:u w:val="single" w:color="auto"/>
          <w:color w:val="0000EE"/>
        </w:rPr>
      </w:pPr>
    </w:p>
    <w:p>
      <w:pPr>
        <w:jc w:val="both"/>
        <w:ind w:left="940" w:right="79" w:hanging="747"/>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53">
        <w:r>
          <w:rPr>
            <w:rFonts w:ascii="Times New Roman" w:cs="Times New Roman" w:eastAsia="Times New Roman" w:hAnsi="Times New Roman"/>
            <w:sz w:val="18"/>
            <w:szCs w:val="18"/>
            <w:u w:val="single" w:color="auto"/>
            <w:color w:val="0000EE"/>
          </w:rPr>
          <w:t>2017 Inducement Plan (incorporated herein by reference to Exhibit 10.1 to the Registrant’s Current Report on</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Form 8-K (File No. 001-37581), filed with the SEC on August 1, 2017).</w:t>
        </w:r>
      </w:hyperlink>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10.5+</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Stock Option Grant Notice and Stock Option Agreement used in connection with the 2017</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Inducement Plan (incorporated herein by reference to Exhibit 10.2 to the Registrant’s Current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8-K (File No. 001-37581), filed with the SEC on August 1, 2017).</w:t>
              </w:r>
            </w:hyperlink>
          </w:p>
        </w:tc>
        <w:tc>
          <w:tcPr>
            <w:tcW w:w="3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10.6+</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2024 Inducement Plan (incorporated herein by reference to Exhibit 10.4 to the Registrant’s Current Report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8-K (File No. 001-37581), filed with the SEC on November 18,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10.7+</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Stock Option Grant Notice and Stock Option Agreement used in connection with the 2024</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Inducement Plan (incorporated herein by reference to Exhibit 10.5 to the Registrant’s Current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8-K (File No. 001-37581), filed with the SEC on November 18,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10.8+</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Restricted Stock Unit Grant Notice and Restricted Stock Unit Award Agreement used in connection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with the 2024 Inducement Plan (incorporated herein by reference to Exhibit 10.6 to the Registrant’s Current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Report on Form 8-K (File No. 001-37581), filed with the SEC on November 18, 2024).</w:t>
              </w:r>
            </w:hyperlink>
          </w:p>
        </w:tc>
        <w:tc>
          <w:tcPr>
            <w:tcW w:w="17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10.9+</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2025 Equity Incentive Plan (incorporated herein by reference to Exhibit 10.1 to the Registrant’s Current Report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on Form 8-K (File No. 001-37581), filed with the SEC on June 5, 2025).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10.10+</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Stock Option Grant Notice and Option Agreement used in connection with the Aclaris Therapeutics,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Inc. 2025 Equity Incentive Plan (incorporated herein by reference to Exhibit 10.2 to the Registrant’s Current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Report on Form 8-K (File No. 001-37581), filed with the SEC on June 5, 2025).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10.11+</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Restricted Stock Unit Grant Notice and Restricted Stock Unit Award Agreement used in connection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with the Aclaris Therapeutics, Inc. 2025 Equity Incentive Plan (incorporated herein by reference to Exhibit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Registrant’s Current Report on Form 8-K (File No. 001-37581), filed with the SEC on June 5,</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61">
              <w:r>
                <w:rPr>
                  <w:rFonts w:ascii="Times New Roman" w:cs="Times New Roman" w:eastAsia="Times New Roman" w:hAnsi="Times New Roman"/>
                  <w:sz w:val="18"/>
                  <w:szCs w:val="18"/>
                  <w:color w:val="0000EE"/>
                  <w:w w:val="94"/>
                </w:rPr>
                <w:t>2025).</w:t>
              </w:r>
            </w:hyperlink>
          </w:p>
        </w:tc>
        <w:tc>
          <w:tcPr>
            <w:tcW w:w="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10.12+</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Tenth Amended and Restated Non-Employee Director Compensation Policy (incorporated herein by reference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to Exhibit 10.4 to the Registrant’s Quarterly Report on Form 10-Q (File No. 001-37581), filed with the SEC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62">
              <w:r>
                <w:rPr>
                  <w:rFonts w:ascii="Times New Roman" w:cs="Times New Roman" w:eastAsia="Times New Roman" w:hAnsi="Times New Roman"/>
                  <w:sz w:val="18"/>
                  <w:szCs w:val="18"/>
                  <w:color w:val="0000EE"/>
                  <w:w w:val="97"/>
                </w:rPr>
                <w:t>May 8, 2025).</w:t>
              </w:r>
            </w:hyperlink>
          </w:p>
        </w:tc>
        <w:tc>
          <w:tcPr>
            <w:tcW w:w="7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10.13+</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Indemnification  Agreement  (incorporated  by  reference  to  Exhibit  10.12  to  the  Registrant’s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7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Registration Statement on Form S-1 (File No. 333-206437), filed with the SEC on August 17, 2015).</w:t>
              </w:r>
            </w:hyperlink>
          </w:p>
        </w:tc>
        <w:tc>
          <w:tcPr>
            <w:tcW w:w="7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10.14+</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Employment Agreement, dated as of April 28, 2025, by and between the Registrant and Jesse Hall</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(incorporated herein by reference to Exhibit 10.3 to the Registrant’s Quarterly Report on Form 10-Q (File 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001-37581), filed with the SEC on May 8, 2025).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10.15+</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Employment Agreement, dated as of January 31, 2022, by and between the Registrant and James Loerop</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(incorporated herein by reference to Exhibit 10.16 to the Registrant’s Annual Report on Form 10-K (File 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001-37581), filed with the SEC on February 24, 2022).</w:t>
              </w:r>
            </w:hyperlink>
          </w:p>
        </w:tc>
        <w:tc>
          <w:tcPr>
            <w:tcW w:w="40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10.16+</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Employment Agreement, effective as of July 28, 2025, by and between the Registrant and Roland Kolbeck</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(incorporated herein by reference to Exhibit 10.1 to the Registrant’s Quarterly Report on Form 10-Q (File 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001-37581), filed with the SEC on November 6, 2025).</w:t>
              </w:r>
            </w:hyperlink>
          </w:p>
        </w:tc>
        <w:tc>
          <w:tcPr>
            <w:tcW w:w="40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10.17+</w:t>
            </w:r>
          </w:p>
        </w:tc>
        <w:tc>
          <w:tcPr>
            <w:tcW w:w="80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Employment Agreement, dated as of January 1, 2023, by and between the Registrant and Kevin Balthaser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(incorporated herein by reference to Exhibit 10.24 to the Registrant’s Annual Report on Form 10-K (File 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001-37581), filed with the SEC on February 23, 2023).</w:t>
              </w:r>
            </w:hyperlink>
          </w:p>
        </w:tc>
        <w:tc>
          <w:tcPr>
            <w:tcW w:w="404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10.18§+</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Employment Agreement, dated as of February 26, 2025, by and between the Registrant and Neal Walker</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(incorporated herein by reference to Exhibit 10.21 to the Registrant’s Annual Report on Form 10-K (File 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001-37581), filed with the SEC on February 27, 2025</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10.19+</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Employment Agreement, dated as of November 18, 2024, by and between the Registrant and Hugh Davis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(incorporated herein by reference to Exhibit 10.3 to the Registrant’s Current Report on Form 8-K (File 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001-37581), filed with the SEC on November 18,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0"/>
              </w:rPr>
              <w:t>10.20</w:t>
            </w:r>
            <w:r>
              <w:rPr>
                <w:rFonts w:ascii="Arial" w:cs="Arial" w:eastAsia="Arial" w:hAnsi="Arial"/>
                <w:sz w:val="26"/>
                <w:szCs w:val="26"/>
                <w:color w:val="auto"/>
                <w:w w:val="90"/>
                <w:vertAlign w:val="superscript"/>
              </w:rPr>
              <w:t>˄</w:t>
            </w:r>
          </w:p>
        </w:tc>
        <w:tc>
          <w:tcPr>
            <w:tcW w:w="4060" w:type="dxa"/>
            <w:vAlign w:val="bottom"/>
            <w:gridSpan w:val="7"/>
            <w:shd w:val="clear" w:color="auto" w:fill="0000EE"/>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vMerge w:val="continue"/>
          </w:tcPr>
          <w:p>
            <w:pPr>
              <w:spacing w:after="0"/>
              <w:rPr>
                <w:sz w:val="24"/>
                <w:szCs w:val="24"/>
                <w:color w:val="auto"/>
              </w:rPr>
            </w:pP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Office Lease, dated May 26, 2023, by and between the Registrant and CBCC – Lee Road Acquisitions, LLC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gridSpan w:val="16"/>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(incorporated herein by reference to Exhibit 10.1 to the Registrant’s Current Report on Form 8-K (File 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001-37581), filed with the SEC on June 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300"/>
        </w:trPr>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0"/>
              </w:rPr>
              <w:t>10.21</w:t>
            </w:r>
            <w:r>
              <w:rPr>
                <w:rFonts w:ascii="Arial" w:cs="Arial" w:eastAsia="Arial" w:hAnsi="Arial"/>
                <w:sz w:val="26"/>
                <w:szCs w:val="26"/>
                <w:color w:val="auto"/>
                <w:w w:val="90"/>
                <w:vertAlign w:val="superscript"/>
              </w:rPr>
              <w:t>˄</w:t>
            </w:r>
          </w:p>
        </w:tc>
        <w:tc>
          <w:tcPr>
            <w:tcW w:w="8020" w:type="dxa"/>
            <w:vAlign w:val="bottom"/>
            <w:gridSpan w:val="12"/>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Royalty Purchase Agreement, effective as of July 16, 2024, by and between the Registrant and OCM IP</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Healthcare Portfolio LP (incorporated herein by reference to Exhibit 10.1 to the Registrant’s Quarterly Report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2"/>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 xml:space="preserve">on Form 10-Q </w:t>
              </w:r>
              <w:r>
                <w:rPr>
                  <w:rFonts w:ascii="Times New Roman" w:cs="Times New Roman" w:eastAsia="Times New Roman" w:hAnsi="Times New Roman"/>
                  <w:sz w:val="18"/>
                  <w:szCs w:val="18"/>
                  <w:color w:val="0000EE"/>
                  <w:highlight w:val="white"/>
                </w:rPr>
                <w:t>(File No. 001-37581), filed with the SEC on August 7, 2024).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10.22</w:t>
            </w:r>
          </w:p>
        </w:tc>
        <w:tc>
          <w:tcPr>
            <w:tcW w:w="8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Amended and Restated Sales Agreement, dated February 27, 2025, by and among the Registrant, Leerink</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Partners LLC and Cantor Fitzgerald &amp; Co. (incorporated herein by reference to Exhibit 10.24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Registrant’s Annual Report on Form 10-K (File No. 001-37581), filed with the SEC on February 27, 2025).</w:t>
              </w:r>
            </w:hyperlink>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3"/>
              </w:rPr>
              <w:t xml:space="preserve">10.23 </w:t>
            </w:r>
            <w:r>
              <w:rPr>
                <w:rFonts w:ascii="Arial" w:cs="Arial" w:eastAsia="Arial" w:hAnsi="Arial"/>
                <w:sz w:val="26"/>
                <w:szCs w:val="26"/>
                <w:color w:val="auto"/>
                <w:w w:val="93"/>
                <w:vertAlign w:val="superscript"/>
              </w:rPr>
              <w:t>˄</w:t>
            </w:r>
            <w:r>
              <w:rPr>
                <w:rFonts w:ascii="Times New Roman" w:cs="Times New Roman" w:eastAsia="Times New Roman" w:hAnsi="Times New Roman"/>
                <w:sz w:val="18"/>
                <w:szCs w:val="18"/>
                <w:color w:val="auto"/>
                <w:w w:val="93"/>
              </w:rPr>
              <w:t>§</w:t>
            </w:r>
          </w:p>
        </w:tc>
        <w:tc>
          <w:tcPr>
            <w:tcW w:w="8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 xml:space="preserve">Exclusive </w:t>
              </w:r>
              <w:r>
                <w:rPr>
                  <w:rFonts w:ascii="Times New Roman" w:cs="Times New Roman" w:eastAsia="Times New Roman" w:hAnsi="Times New Roman"/>
                  <w:sz w:val="18"/>
                  <w:szCs w:val="18"/>
                  <w:color w:val="0000EE"/>
                  <w:highlight w:val="white"/>
                </w:rPr>
                <w:t>License Agreement, dated as of November 18, 2024, by and between the Registrant and Biosion,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Inc. (incorporated herein by reference to Exhibit 10.26 to the Registrant’s Annual Report on Form 10-K (File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2"/>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No. 001-37581), filed with the SEC on February 27, 2025).</w:t>
              </w:r>
            </w:hyperlink>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3"/>
              </w:rPr>
              <w:t xml:space="preserve">10.24 </w:t>
            </w:r>
            <w:r>
              <w:rPr>
                <w:rFonts w:ascii="Arial" w:cs="Arial" w:eastAsia="Arial" w:hAnsi="Arial"/>
                <w:sz w:val="26"/>
                <w:szCs w:val="26"/>
                <w:color w:val="auto"/>
                <w:w w:val="93"/>
                <w:vertAlign w:val="superscript"/>
              </w:rPr>
              <w:t>˄</w:t>
            </w:r>
            <w:r>
              <w:rPr>
                <w:rFonts w:ascii="Times New Roman" w:cs="Times New Roman" w:eastAsia="Times New Roman" w:hAnsi="Times New Roman"/>
                <w:sz w:val="18"/>
                <w:szCs w:val="18"/>
                <w:color w:val="auto"/>
                <w:w w:val="93"/>
              </w:rPr>
              <w:t>§</w:t>
            </w:r>
          </w:p>
        </w:tc>
        <w:tc>
          <w:tcPr>
            <w:tcW w:w="2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vMerge w:val="continue"/>
          </w:tcPr>
          <w:p>
            <w:pPr>
              <w:spacing w:after="0"/>
              <w:rPr>
                <w:sz w:val="24"/>
                <w:szCs w:val="24"/>
                <w:color w:val="auto"/>
              </w:rPr>
            </w:pPr>
          </w:p>
        </w:tc>
        <w:tc>
          <w:tcPr>
            <w:tcW w:w="8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Collaboration Agreement, dated as of November 18, 2024, by and among the Registrant, Biosion, Inc.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2"/>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and Chia Tai Tianqing Pharmaceutical Group, Co., Ltd. (incorporated herein by reference to Exhibit 10.27 to</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2"/>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the Registrant’s Annual Report on Form 10-K (File No. 001-37581), filed with the SEC on February 27, 2025).</w:t>
              </w:r>
            </w:hyperlink>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3"/>
              </w:rPr>
              <w:t>10.25</w:t>
            </w:r>
            <w:r>
              <w:rPr>
                <w:rFonts w:ascii="Arial" w:cs="Arial" w:eastAsia="Arial" w:hAnsi="Arial"/>
                <w:sz w:val="26"/>
                <w:szCs w:val="26"/>
                <w:color w:val="auto"/>
                <w:w w:val="93"/>
                <w:vertAlign w:val="superscript"/>
              </w:rPr>
              <w:t>˄</w:t>
            </w:r>
            <w:r>
              <w:rPr>
                <w:rFonts w:ascii="Times New Roman" w:cs="Times New Roman" w:eastAsia="Times New Roman" w:hAnsi="Times New Roman"/>
                <w:sz w:val="18"/>
                <w:szCs w:val="18"/>
                <w:color w:val="auto"/>
                <w:w w:val="93"/>
              </w:rPr>
              <w:t>§</w:t>
            </w:r>
          </w:p>
        </w:tc>
        <w:tc>
          <w:tcPr>
            <w:tcW w:w="2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vMerge w:val="continue"/>
          </w:tcPr>
          <w:p>
            <w:pPr>
              <w:spacing w:after="0"/>
              <w:rPr>
                <w:sz w:val="24"/>
                <w:szCs w:val="24"/>
                <w:color w:val="auto"/>
              </w:rPr>
            </w:pPr>
          </w:p>
        </w:tc>
        <w:tc>
          <w:tcPr>
            <w:tcW w:w="8020" w:type="dxa"/>
            <w:vAlign w:val="bottom"/>
            <w:gridSpan w:val="12"/>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Common Stock Purchase Warrant Agreement issued on November 18, 2024 (incorporated herein by</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2"/>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reference to Exhibit 10.28 to the Registrant’s Annual Report on Form 10-K (File No. 001-37581), filed with</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the SEC on February 27,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19.1</w:t>
            </w:r>
          </w:p>
        </w:tc>
        <w:tc>
          <w:tcPr>
            <w:tcW w:w="8020" w:type="dxa"/>
            <w:vAlign w:val="bottom"/>
            <w:gridSpan w:val="12"/>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Insider Trading Policy (incorporated by reference to Exhibit 19.1 to the Registrant’s Annual Report on Form</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10-K (File No. 001-37581), filed with the SEC on February 27,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21.1</w:t>
            </w:r>
          </w:p>
        </w:tc>
        <w:tc>
          <w:tcPr>
            <w:tcW w:w="8020" w:type="dxa"/>
            <w:vAlign w:val="bottom"/>
            <w:gridSpan w:val="12"/>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Subsidiaries of the Registrant (incorporated herein by reference to Exhibit 21.1 to the Registrant’s Annual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Report on Form 10-K (File No. 001-37581), filed with the SEC on February 27,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23.1*</w:t>
            </w:r>
          </w:p>
        </w:tc>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c>
          <w:tcPr>
            <w:tcW w:w="0" w:type="dxa"/>
            <w:vAlign w:val="bottom"/>
          </w:tcPr>
          <w:p>
            <w:pPr>
              <w:spacing w:after="0"/>
              <w:rPr>
                <w:sz w:val="1"/>
                <w:szCs w:val="1"/>
                <w:color w:val="auto"/>
              </w:rPr>
            </w:pPr>
          </w:p>
        </w:tc>
      </w:tr>
      <w:tr>
        <w:trPr>
          <w:trHeight w:val="345"/>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24.1*</w:t>
            </w:r>
          </w:p>
        </w:tc>
        <w:tc>
          <w:tcPr>
            <w:tcW w:w="40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Power of Attorney (contained on signature page hereto).</w:t>
            </w:r>
          </w:p>
        </w:tc>
        <w:tc>
          <w:tcPr>
            <w:tcW w:w="2340" w:type="dxa"/>
            <w:vAlign w:val="bottom"/>
            <w:tcBorders>
              <w:top w:val="single" w:sz="8" w:color="0000EE"/>
            </w:tcBorders>
            <w:gridSpan w:val="6"/>
          </w:tcPr>
          <w:p>
            <w:pPr>
              <w:spacing w:after="0"/>
              <w:rPr>
                <w:sz w:val="24"/>
                <w:szCs w:val="24"/>
                <w:color w:val="auto"/>
              </w:rPr>
            </w:pPr>
          </w:p>
        </w:tc>
        <w:tc>
          <w:tcPr>
            <w:tcW w:w="1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31.1*</w:t>
            </w:r>
          </w:p>
        </w:tc>
        <w:tc>
          <w:tcPr>
            <w:tcW w:w="8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promulgated under the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340" w:type="dxa"/>
            <w:vAlign w:val="bottom"/>
            <w:gridSpan w:val="4"/>
            <w:shd w:val="clear" w:color="auto" w:fill="0000EE"/>
          </w:tcPr>
          <w:p>
            <w:pPr>
              <w:spacing w:after="0" w:line="20" w:lineRule="exact"/>
              <w:rPr>
                <w:sz w:val="1"/>
                <w:szCs w:val="1"/>
                <w:color w:val="auto"/>
              </w:rPr>
            </w:pPr>
          </w:p>
        </w:tc>
        <w:tc>
          <w:tcPr>
            <w:tcW w:w="322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31.2*</w:t>
            </w:r>
          </w:p>
        </w:tc>
        <w:tc>
          <w:tcPr>
            <w:tcW w:w="8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promulgated under the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5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 adopted pursuant to section 302 of the Sarbanes-Oxley Act of 2002.</w:t>
            </w:r>
          </w:p>
        </w:tc>
        <w:tc>
          <w:tcPr>
            <w:tcW w:w="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32.1†</w:t>
            </w:r>
          </w:p>
        </w:tc>
        <w:tc>
          <w:tcPr>
            <w:tcW w:w="8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Rules 13a-14(b)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15d-14(b) promulgated under the Securities Exchange Act of 1934 and 18 U.S.C. Section 1350, as adopted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6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97.1</w:t>
            </w:r>
          </w:p>
        </w:tc>
        <w:tc>
          <w:tcPr>
            <w:tcW w:w="8020" w:type="dxa"/>
            <w:vAlign w:val="bottom"/>
            <w:gridSpan w:val="12"/>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Incentive Compensation Recoupment Policy (incorporated herein by reference to Exhibit 97.1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Registrant’s Annual Report on Form 10-K (File No. 001-37581), filed with the SEC on February 27, 2024).</w:t>
              </w:r>
            </w:hyperlink>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101.INS</w:t>
            </w:r>
          </w:p>
        </w:tc>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364"/>
        </w:trPr>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101.SCH</w:t>
            </w:r>
          </w:p>
        </w:tc>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65"/>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101.CAL</w:t>
            </w:r>
          </w:p>
        </w:tc>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101.DEF</w:t>
            </w:r>
          </w:p>
        </w:tc>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4"/>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101.LAB</w:t>
            </w:r>
          </w:p>
        </w:tc>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4"/>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101.PRE</w:t>
            </w:r>
          </w:p>
        </w:tc>
        <w:tc>
          <w:tcPr>
            <w:tcW w:w="80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right="1559" w:firstLine="198"/>
        <w:spacing w:after="0" w:line="414" w:lineRule="auto"/>
        <w:tabs>
          <w:tab w:leader="none" w:pos="94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-235585</wp:posOffset>
            </wp:positionV>
            <wp:extent cx="141414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right="79" w:hanging="330"/>
        <w:spacing w:after="0" w:line="282"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Annual Report pursuant to 18 U.S.C. Section 1350, and is not being filed for purposes of Section 18 of the Securities Exchange Act of 1934, as amended, and is not to be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8"/>
          <w:szCs w:val="18"/>
          <w:color w:val="auto"/>
        </w:rPr>
        <w:t>incorporated by reference into any filing of the Registrant, whether made before or after the date hereof, regardless of any general incorporation language in such filing.</w:t>
      </w:r>
    </w:p>
    <w:p>
      <w:pPr>
        <w:spacing w:after="0" w:line="27" w:lineRule="exact"/>
        <w:rPr>
          <w:sz w:val="20"/>
          <w:szCs w:val="20"/>
          <w:color w:val="auto"/>
        </w:rPr>
      </w:pPr>
    </w:p>
    <w:p>
      <w:pPr>
        <w:ind w:left="380" w:hanging="330"/>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77" w:lineRule="exact"/>
        <w:rPr>
          <w:sz w:val="20"/>
          <w:szCs w:val="20"/>
          <w:color w:val="auto"/>
        </w:rPr>
      </w:pPr>
    </w:p>
    <w:p>
      <w:pPr>
        <w:ind w:left="380" w:right="79" w:hanging="330"/>
        <w:spacing w:after="0" w:line="261"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portions of this exhibit (indicated by asterisks) and those portions have been separately filed with the SEC.</w:t>
      </w:r>
    </w:p>
    <w:p>
      <w:pPr>
        <w:spacing w:after="0" w:line="49" w:lineRule="exact"/>
        <w:rPr>
          <w:sz w:val="20"/>
          <w:szCs w:val="20"/>
          <w:color w:val="auto"/>
        </w:rPr>
      </w:pPr>
    </w:p>
    <w:p>
      <w:pPr>
        <w:jc w:val="both"/>
        <w:ind w:left="380" w:right="79" w:hanging="330"/>
        <w:spacing w:after="0" w:line="189" w:lineRule="auto"/>
        <w:tabs>
          <w:tab w:leader="none" w:pos="380" w:val="left"/>
        </w:tabs>
        <w:numPr>
          <w:ilvl w:val="0"/>
          <w:numId w:val="74"/>
        </w:numPr>
        <w:rPr>
          <w:rFonts w:ascii="Arial" w:cs="Arial" w:eastAsia="Arial" w:hAnsi="Arial"/>
          <w:sz w:val="43"/>
          <w:szCs w:val="43"/>
          <w:color w:val="auto"/>
          <w:vertAlign w:val="subscript"/>
        </w:rPr>
      </w:pPr>
      <w:r>
        <w:rPr>
          <w:rFonts w:ascii="Times New Roman" w:cs="Times New Roman" w:eastAsia="Times New Roman" w:hAnsi="Times New Roman"/>
          <w:sz w:val="18"/>
          <w:szCs w:val="18"/>
          <w:color w:val="auto"/>
        </w:rPr>
        <w:t>Pursuant to Item 601(b)(10)(iv) of Regulation S-K promulgated by the SEC, certain portions of this exhibit have been redacted because the Company has determined that the information is both not material and is the type that the Company treats as private or confidential. The Company hereby agrees to furnish supplementally to the SEC, upon its request, an unredacted copy of the exhibit.</w:t>
      </w:r>
    </w:p>
    <w:p>
      <w:pPr>
        <w:spacing w:after="0" w:line="296" w:lineRule="exact"/>
        <w:rPr>
          <w:sz w:val="20"/>
          <w:szCs w:val="20"/>
          <w:color w:val="auto"/>
        </w:rPr>
      </w:pPr>
    </w:p>
    <w:p>
      <w:pPr>
        <w:jc w:val="both"/>
        <w:ind w:left="380" w:right="79" w:hanging="330"/>
        <w:spacing w:after="0" w:line="239" w:lineRule="auto"/>
        <w:tabs>
          <w:tab w:leader="none" w:pos="3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Pursuant to Item 601(a)(5) of Regulation S-K promulgated by the SEC, certain exhibits and schedules to this agreement have been omitted. The Company hereby agrees to furnish supplementally to the SEC, upon its request, any or all of such omitted exhibits or schedules.</w:t>
      </w: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578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ACLARIS THERAPEUTICS, INC.</w:t>
            </w:r>
          </w:p>
        </w:tc>
      </w:tr>
      <w:tr>
        <w:trPr>
          <w:trHeight w:val="36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57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Neal Walker</w:t>
            </w:r>
          </w:p>
        </w:tc>
      </w:tr>
      <w:tr>
        <w:trPr>
          <w:trHeight w:val="191"/>
        </w:trPr>
        <w:tc>
          <w:tcPr>
            <w:tcW w:w="3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Neal Walker</w:t>
            </w:r>
          </w:p>
        </w:tc>
      </w:tr>
      <w:tr>
        <w:trPr>
          <w:trHeight w:val="234"/>
        </w:trPr>
        <w:tc>
          <w:tcPr>
            <w:tcW w:w="3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8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Neal Walker and Kevin Balthaser, jointly and severally, as his or her true and lawful attorneys-in-fact and agents, with full power of substitution and resubstitution, for him or her and in his or her name, place and stead, in any and all capacities, to sign this Annual Report on Form 10-K of Aclaris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0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38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45"/>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34"/>
        </w:trPr>
        <w:tc>
          <w:tcPr>
            <w:tcW w:w="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Neal Walker</w:t>
            </w:r>
          </w:p>
        </w:tc>
        <w:tc>
          <w:tcPr>
            <w:tcW w:w="200" w:type="dxa"/>
            <w:vAlign w:val="bottom"/>
          </w:tcPr>
          <w:p>
            <w:pPr>
              <w:spacing w:after="0"/>
              <w:rPr>
                <w:sz w:val="20"/>
                <w:szCs w:val="20"/>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 Directors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Neal Walker</w:t>
            </w:r>
          </w:p>
        </w:tc>
        <w:tc>
          <w:tcPr>
            <w:tcW w:w="200" w:type="dxa"/>
            <w:vAlign w:val="bottom"/>
          </w:tcPr>
          <w:p>
            <w:pPr>
              <w:spacing w:after="0"/>
              <w:rPr>
                <w:sz w:val="19"/>
                <w:szCs w:val="19"/>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Balthaser</w:t>
            </w:r>
          </w:p>
        </w:tc>
        <w:tc>
          <w:tcPr>
            <w:tcW w:w="200" w:type="dxa"/>
            <w:vAlign w:val="bottom"/>
          </w:tcPr>
          <w:p>
            <w:pPr>
              <w:spacing w:after="0"/>
              <w:rPr>
                <w:sz w:val="24"/>
                <w:szCs w:val="24"/>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176"/>
        </w:trPr>
        <w:tc>
          <w:tcPr>
            <w:tcW w:w="20" w:type="dxa"/>
            <w:vAlign w:val="bottom"/>
          </w:tcPr>
          <w:p>
            <w:pPr>
              <w:spacing w:after="0"/>
              <w:rPr>
                <w:sz w:val="15"/>
                <w:szCs w:val="15"/>
                <w:color w:val="auto"/>
              </w:rPr>
            </w:pPr>
          </w:p>
        </w:tc>
        <w:tc>
          <w:tcPr>
            <w:tcW w:w="2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Kevin Balthaser</w:t>
            </w:r>
          </w:p>
        </w:tc>
        <w:tc>
          <w:tcPr>
            <w:tcW w:w="200" w:type="dxa"/>
            <w:vAlign w:val="bottom"/>
          </w:tcPr>
          <w:p>
            <w:pPr>
              <w:spacing w:after="0"/>
              <w:rPr>
                <w:sz w:val="15"/>
                <w:szCs w:val="15"/>
                <w:color w:val="auto"/>
              </w:rPr>
            </w:pPr>
          </w:p>
        </w:tc>
        <w:tc>
          <w:tcPr>
            <w:tcW w:w="39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36"/>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Christopher Molineaux</w:t>
            </w:r>
          </w:p>
        </w:tc>
        <w:tc>
          <w:tcPr>
            <w:tcW w:w="200" w:type="dxa"/>
            <w:vAlign w:val="bottom"/>
          </w:tcPr>
          <w:p>
            <w:pPr>
              <w:spacing w:after="0"/>
              <w:rPr>
                <w:sz w:val="24"/>
                <w:szCs w:val="24"/>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Molineaux</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Anand Mehra, M.D.</w:t>
            </w:r>
          </w:p>
        </w:tc>
        <w:tc>
          <w:tcPr>
            <w:tcW w:w="200" w:type="dxa"/>
            <w:vAlign w:val="bottom"/>
          </w:tcPr>
          <w:p>
            <w:pPr>
              <w:spacing w:after="0"/>
              <w:rPr>
                <w:sz w:val="24"/>
                <w:szCs w:val="24"/>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Anand Mehra, M.D.</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Humphries</w:t>
            </w:r>
          </w:p>
        </w:tc>
        <w:tc>
          <w:tcPr>
            <w:tcW w:w="200" w:type="dxa"/>
            <w:vAlign w:val="bottom"/>
          </w:tcPr>
          <w:p>
            <w:pPr>
              <w:spacing w:after="0"/>
              <w:rPr>
                <w:sz w:val="24"/>
                <w:szCs w:val="24"/>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Humphries</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Schiff</w:t>
            </w:r>
          </w:p>
        </w:tc>
        <w:tc>
          <w:tcPr>
            <w:tcW w:w="200" w:type="dxa"/>
            <w:vAlign w:val="bottom"/>
          </w:tcPr>
          <w:p>
            <w:pPr>
              <w:spacing w:after="0"/>
              <w:rPr>
                <w:sz w:val="24"/>
                <w:szCs w:val="24"/>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Schiff</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Hugh Davis</w:t>
            </w:r>
          </w:p>
        </w:tc>
        <w:tc>
          <w:tcPr>
            <w:tcW w:w="200" w:type="dxa"/>
            <w:vAlign w:val="bottom"/>
          </w:tcPr>
          <w:p>
            <w:pPr>
              <w:spacing w:after="0"/>
              <w:rPr>
                <w:sz w:val="24"/>
                <w:szCs w:val="24"/>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Hugh Davis</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Maxine Gowen</w:t>
            </w:r>
          </w:p>
        </w:tc>
        <w:tc>
          <w:tcPr>
            <w:tcW w:w="200" w:type="dxa"/>
            <w:vAlign w:val="bottom"/>
          </w:tcPr>
          <w:p>
            <w:pPr>
              <w:spacing w:after="0"/>
              <w:rPr>
                <w:sz w:val="24"/>
                <w:szCs w:val="24"/>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Maxine Gowen</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Vincent Milano</w:t>
            </w:r>
          </w:p>
        </w:tc>
        <w:tc>
          <w:tcPr>
            <w:tcW w:w="200" w:type="dxa"/>
            <w:vAlign w:val="bottom"/>
          </w:tcPr>
          <w:p>
            <w:pPr>
              <w:spacing w:after="0"/>
              <w:rPr>
                <w:sz w:val="24"/>
                <w:szCs w:val="24"/>
                <w:color w:val="auto"/>
              </w:rPr>
            </w:pP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r>
      <w:tr>
        <w:trPr>
          <w:trHeight w:val="228"/>
        </w:trPr>
        <w:tc>
          <w:tcPr>
            <w:tcW w:w="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Vincent Milano</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65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ACLARIS THERAPEUTICS, INC. CAPITAL STOCK</w:t>
      </w:r>
    </w:p>
    <w:p>
      <w:pPr>
        <w:spacing w:after="0" w:line="23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i w:val="1"/>
          <w:iCs w:val="1"/>
          <w:color w:val="auto"/>
        </w:rPr>
        <w:t>The following description of the common stock of Aclaris Therapeutics, Inc., or the Company, is a summary and does not purport to be complete. This summary is qualified in its entirety by reference to the provisions of the Delaware General Corporation Law, or the DGCL, and the complete text of the Company’s amended and restated certificate of incorporation, as amended, or the certificate of incorporation, which is incorporated by reference as Exhibits 3.1 and 3.2 of the Company’s Annual Report on Form 10-K, and amended and restated bylaws, or the bylaws, which is incorporated by reference as Exhibit 3.3 of the Company’s Annual Report on Form 10-K to which this description is also an exhibit. The Company encourages you to read that law and those documents carefully.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37" w:lineRule="exact"/>
        <w:rPr>
          <w:sz w:val="20"/>
          <w:szCs w:val="20"/>
          <w:color w:val="auto"/>
        </w:rPr>
      </w:pPr>
    </w:p>
    <w:p>
      <w:pPr>
        <w:ind w:right="160" w:firstLine="486"/>
        <w:spacing w:after="0" w:line="281" w:lineRule="auto"/>
        <w:rPr>
          <w:sz w:val="20"/>
          <w:szCs w:val="20"/>
          <w:color w:val="auto"/>
        </w:rPr>
      </w:pPr>
      <w:r>
        <w:rPr>
          <w:rFonts w:ascii="Times New Roman" w:cs="Times New Roman" w:eastAsia="Times New Roman" w:hAnsi="Times New Roman"/>
          <w:sz w:val="16"/>
          <w:szCs w:val="16"/>
          <w:color w:val="auto"/>
        </w:rPr>
        <w:t>Under the certificate of incorporation, the Company is authorized to issue up to 400,000,000 shares of common stock, $0.00001 par value per share, and 10,000,000 shares of preferred stock, $0.00001 par value per share, all of which shares of preferred stock are undesignated. The Company’s board of directors may establish the rights and preferences of the preferred stock from time to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239" w:lineRule="exact"/>
        <w:rPr>
          <w:sz w:val="20"/>
          <w:szCs w:val="20"/>
          <w:color w:val="auto"/>
        </w:rPr>
      </w:pPr>
    </w:p>
    <w:p>
      <w:pPr>
        <w:ind w:right="40" w:firstLine="486"/>
        <w:spacing w:after="0" w:line="275" w:lineRule="auto"/>
        <w:rPr>
          <w:sz w:val="20"/>
          <w:szCs w:val="20"/>
          <w:color w:val="auto"/>
        </w:rPr>
      </w:pPr>
      <w:r>
        <w:rPr>
          <w:rFonts w:ascii="Times New Roman" w:cs="Times New Roman" w:eastAsia="Times New Roman" w:hAnsi="Times New Roman"/>
          <w:sz w:val="16"/>
          <w:szCs w:val="16"/>
          <w:color w:val="auto"/>
        </w:rPr>
        <w:t>Each holder of common stock is entitled to one vote for each share on all matters submitted to a vote of the stockholders, including the election of directors. Under the certificate of incorporation and the bylaws, common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39" w:lineRule="exact"/>
        <w:rPr>
          <w:sz w:val="20"/>
          <w:szCs w:val="20"/>
          <w:color w:val="auto"/>
        </w:rPr>
      </w:pPr>
    </w:p>
    <w:p>
      <w:pPr>
        <w:ind w:right="240" w:firstLine="486"/>
        <w:spacing w:after="0" w:line="298" w:lineRule="auto"/>
        <w:rPr>
          <w:sz w:val="20"/>
          <w:szCs w:val="20"/>
          <w:color w:val="auto"/>
        </w:rPr>
      </w:pPr>
      <w:r>
        <w:rPr>
          <w:rFonts w:ascii="Times New Roman" w:cs="Times New Roman" w:eastAsia="Times New Roman" w:hAnsi="Times New Roman"/>
          <w:sz w:val="16"/>
          <w:szCs w:val="16"/>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w:t>
      </w:r>
    </w:p>
    <w:p>
      <w:pPr>
        <w:spacing w:after="0" w:line="239" w:lineRule="exact"/>
        <w:rPr>
          <w:sz w:val="20"/>
          <w:szCs w:val="20"/>
          <w:color w:val="auto"/>
        </w:rPr>
      </w:pPr>
    </w:p>
    <w:p>
      <w:pPr>
        <w:jc w:val="both"/>
        <w:ind w:right="140" w:firstLine="486"/>
        <w:spacing w:after="0" w:line="281" w:lineRule="auto"/>
        <w:rPr>
          <w:sz w:val="20"/>
          <w:szCs w:val="20"/>
          <w:color w:val="auto"/>
        </w:rPr>
      </w:pPr>
      <w:r>
        <w:rPr>
          <w:rFonts w:ascii="Times New Roman" w:cs="Times New Roman" w:eastAsia="Times New Roman" w:hAnsi="Times New Roman"/>
          <w:sz w:val="16"/>
          <w:szCs w:val="16"/>
          <w:color w:val="auto"/>
        </w:rPr>
        <w:t>In the event of the Company’s liquidation, dissolution or winding up, holders of common stock will be entitled to share ratably in the net assets legally available for distribution to stockholders after the payment of all of debts and other liabilities and the satisfaction of any liquidation preference granted to the holders of any then-outstanding shares of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and Preferences</w:t>
      </w:r>
    </w:p>
    <w:p>
      <w:pPr>
        <w:spacing w:after="0" w:line="239"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6"/>
          <w:szCs w:val="16"/>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Section 203 of the DGCL</w:t>
      </w:r>
    </w:p>
    <w:p>
      <w:pPr>
        <w:spacing w:after="0" w:line="239" w:lineRule="exact"/>
        <w:rPr>
          <w:sz w:val="20"/>
          <w:szCs w:val="20"/>
          <w:color w:val="auto"/>
        </w:rPr>
      </w:pPr>
    </w:p>
    <w:p>
      <w:pPr>
        <w:ind w:right="120" w:firstLine="486"/>
        <w:spacing w:after="0" w:line="281" w:lineRule="auto"/>
        <w:rPr>
          <w:sz w:val="20"/>
          <w:szCs w:val="20"/>
          <w:color w:val="auto"/>
        </w:rPr>
      </w:pPr>
      <w:r>
        <w:rPr>
          <w:rFonts w:ascii="Times New Roman" w:cs="Times New Roman" w:eastAsia="Times New Roman" w:hAnsi="Times New Roman"/>
          <w:sz w:val="16"/>
          <w:szCs w:val="16"/>
          <w:color w:val="auto"/>
        </w:rPr>
        <w:t>The Company is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77" w:lineRule="exact"/>
        <w:rPr>
          <w:sz w:val="20"/>
          <w:szCs w:val="20"/>
          <w:color w:val="auto"/>
        </w:rPr>
      </w:pPr>
    </w:p>
    <w:p>
      <w:pPr>
        <w:ind w:left="820" w:right="220" w:hanging="326"/>
        <w:spacing w:after="0" w:line="268"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before such date, the board of directors of the corporation approved either the business combination or the transaction that resulted in the stockholder becoming an interested stockholder;</w:t>
      </w:r>
    </w:p>
    <w:p>
      <w:pPr>
        <w:spacing w:after="0" w:line="184" w:lineRule="exact"/>
        <w:rPr>
          <w:rFonts w:ascii="Times New Roman" w:cs="Times New Roman" w:eastAsia="Times New Roman" w:hAnsi="Times New Roman"/>
          <w:sz w:val="18"/>
          <w:szCs w:val="18"/>
          <w:color w:val="auto"/>
        </w:rPr>
      </w:pPr>
    </w:p>
    <w:p>
      <w:pPr>
        <w:ind w:left="820" w:right="100" w:hanging="326"/>
        <w:spacing w:after="0" w:line="264"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610235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34" w:name="page135"/>
    <w:bookmarkEnd w:id="134"/>
    <w:p>
      <w:pPr>
        <w:ind w:left="820" w:right="20" w:hanging="326"/>
        <w:spacing w:after="0" w:line="264" w:lineRule="auto"/>
        <w:tabs>
          <w:tab w:leader="none" w:pos="8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In general, Section 203 defines a “business combination” to include the following:</w:t>
      </w:r>
    </w:p>
    <w:p>
      <w:pPr>
        <w:spacing w:after="0" w:line="235" w:lineRule="exact"/>
        <w:rPr>
          <w:sz w:val="20"/>
          <w:szCs w:val="20"/>
          <w:color w:val="auto"/>
        </w:rPr>
      </w:pPr>
    </w:p>
    <w:p>
      <w:pPr>
        <w:ind w:left="820" w:hanging="326"/>
        <w:spacing w:after="0"/>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sale, transfer, pledge or other disposition of 10% or more of the assets of the corporation involving the interested stockholder;</w:t>
      </w:r>
    </w:p>
    <w:p>
      <w:pPr>
        <w:spacing w:after="0" w:line="225" w:lineRule="exact"/>
        <w:rPr>
          <w:rFonts w:ascii="Times New Roman" w:cs="Times New Roman" w:eastAsia="Times New Roman" w:hAnsi="Times New Roman"/>
          <w:sz w:val="18"/>
          <w:szCs w:val="18"/>
          <w:color w:val="auto"/>
        </w:rPr>
      </w:pPr>
    </w:p>
    <w:p>
      <w:pPr>
        <w:ind w:left="820" w:right="80" w:hanging="326"/>
        <w:spacing w:after="0" w:line="268" w:lineRule="auto"/>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subject to certain exceptions, any transaction that results in the issuance or transfer by the corporation of any stock of the corporation to the interested stockholder;</w:t>
      </w:r>
    </w:p>
    <w:p>
      <w:pPr>
        <w:spacing w:after="0" w:line="184" w:lineRule="exact"/>
        <w:rPr>
          <w:rFonts w:ascii="Times New Roman" w:cs="Times New Roman" w:eastAsia="Times New Roman" w:hAnsi="Times New Roman"/>
          <w:sz w:val="18"/>
          <w:szCs w:val="18"/>
          <w:color w:val="auto"/>
        </w:rPr>
      </w:pPr>
    </w:p>
    <w:p>
      <w:pPr>
        <w:ind w:left="820" w:right="220" w:hanging="326"/>
        <w:spacing w:after="0" w:line="268" w:lineRule="auto"/>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transaction involving the corporation that has the effect of increasing the proportionate share of the stock or any class or series of the corporation beneficially owned by the interested stockholder; or</w:t>
      </w:r>
    </w:p>
    <w:p>
      <w:pPr>
        <w:spacing w:after="0" w:line="184" w:lineRule="exact"/>
        <w:rPr>
          <w:rFonts w:ascii="Times New Roman" w:cs="Times New Roman" w:eastAsia="Times New Roman" w:hAnsi="Times New Roman"/>
          <w:sz w:val="18"/>
          <w:szCs w:val="18"/>
          <w:color w:val="auto"/>
        </w:rPr>
      </w:pPr>
    </w:p>
    <w:p>
      <w:pPr>
        <w:ind w:left="820" w:right="120" w:hanging="326"/>
        <w:spacing w:after="0" w:line="268" w:lineRule="auto"/>
        <w:tabs>
          <w:tab w:leader="none" w:pos="8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receipt by the interested stockholder of the benefit of any loans, advances, guarantees, pledges or other financial benefits by or through the corporation.</w:t>
      </w:r>
    </w:p>
    <w:p>
      <w:pPr>
        <w:spacing w:after="0" w:line="184" w:lineRule="exact"/>
        <w:rPr>
          <w:sz w:val="20"/>
          <w:szCs w:val="20"/>
          <w:color w:val="auto"/>
        </w:rPr>
      </w:pPr>
    </w:p>
    <w:p>
      <w:pPr>
        <w:ind w:right="380" w:firstLine="486"/>
        <w:spacing w:after="0" w:line="281" w:lineRule="auto"/>
        <w:rPr>
          <w:sz w:val="20"/>
          <w:szCs w:val="20"/>
          <w:color w:val="auto"/>
        </w:rPr>
      </w:pPr>
      <w:r>
        <w:rPr>
          <w:rFonts w:ascii="Times New Roman" w:cs="Times New Roman" w:eastAsia="Times New Roman" w:hAnsi="Times New Roman"/>
          <w:sz w:val="16"/>
          <w:szCs w:val="16"/>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Certificate of Incorporation and Bylaws</w:t>
      </w:r>
    </w:p>
    <w:p>
      <w:pPr>
        <w:spacing w:after="0" w:line="239" w:lineRule="exact"/>
        <w:rPr>
          <w:sz w:val="20"/>
          <w:szCs w:val="20"/>
          <w:color w:val="auto"/>
        </w:rPr>
      </w:pPr>
    </w:p>
    <w:p>
      <w:pPr>
        <w:ind w:right="40" w:firstLine="486"/>
        <w:spacing w:after="0" w:line="269" w:lineRule="auto"/>
        <w:rPr>
          <w:sz w:val="20"/>
          <w:szCs w:val="20"/>
          <w:color w:val="auto"/>
        </w:rPr>
      </w:pPr>
      <w:r>
        <w:rPr>
          <w:rFonts w:ascii="Times New Roman" w:cs="Times New Roman" w:eastAsia="Times New Roman" w:hAnsi="Times New Roman"/>
          <w:sz w:val="16"/>
          <w:szCs w:val="16"/>
          <w:color w:val="auto"/>
        </w:rPr>
        <w:t>The certificate of incorporation provides for the Company’s board of directors to be divided into three classes with staggered three-year terms. Only one class of directors will be elected at each annual meeting of stockholders, with the other classes continuing for the remainder of their respective three-year terms. Because the Company’s stockholders do not have cumulative voting rights, stockholders holding a majority of the shares of common stock outstanding will be able to elect all of the Company’s directors. The certificate of incorporation and bylaws also provide that directors may be removed by the stockholders only for cause upon the vote of 66 2/3% or more of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6" w:lineRule="exact"/>
        <w:rPr>
          <w:sz w:val="20"/>
          <w:szCs w:val="20"/>
          <w:color w:val="auto"/>
        </w:rPr>
      </w:pPr>
    </w:p>
    <w:p>
      <w:pPr>
        <w:ind w:firstLine="486"/>
        <w:spacing w:after="0" w:line="275" w:lineRule="auto"/>
        <w:rPr>
          <w:sz w:val="20"/>
          <w:szCs w:val="20"/>
          <w:color w:val="auto"/>
        </w:rPr>
      </w:pPr>
      <w:r>
        <w:rPr>
          <w:rFonts w:ascii="Times New Roman" w:cs="Times New Roman" w:eastAsia="Times New Roman" w:hAnsi="Times New Roman"/>
          <w:sz w:val="16"/>
          <w:szCs w:val="16"/>
          <w:color w:val="auto"/>
        </w:rPr>
        <w:t>The certificate of incorporation and bylaws also provide that all stockholder actions must be effected at a duly called meeting of stockholders and will eliminate the right of stockholders to act by written consent without a meeting. The bylaws also provide that only the Company’s chairman of the board, chief executive officer or the board of directors pursuant to a resolution adopted by a majority of the total number of authorized directors may call a special meeting of stockholders.</w:t>
      </w:r>
    </w:p>
    <w:p>
      <w:pPr>
        <w:spacing w:after="0" w:line="183" w:lineRule="exact"/>
        <w:rPr>
          <w:sz w:val="20"/>
          <w:szCs w:val="20"/>
          <w:color w:val="auto"/>
        </w:rPr>
      </w:pPr>
    </w:p>
    <w:p>
      <w:pPr>
        <w:ind w:right="160" w:firstLine="486"/>
        <w:spacing w:after="0" w:line="281" w:lineRule="auto"/>
        <w:rPr>
          <w:sz w:val="20"/>
          <w:szCs w:val="20"/>
          <w:color w:val="auto"/>
        </w:rPr>
      </w:pPr>
      <w:r>
        <w:rPr>
          <w:rFonts w:ascii="Times New Roman" w:cs="Times New Roman" w:eastAsia="Times New Roman" w:hAnsi="Times New Roman"/>
          <w:sz w:val="16"/>
          <w:szCs w:val="16"/>
          <w:color w:val="auto"/>
        </w:rPr>
        <w:t>The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177" w:lineRule="exact"/>
        <w:rPr>
          <w:sz w:val="20"/>
          <w:szCs w:val="20"/>
          <w:color w:val="auto"/>
        </w:rPr>
      </w:pPr>
    </w:p>
    <w:p>
      <w:pPr>
        <w:ind w:right="40" w:firstLine="486"/>
        <w:spacing w:after="0" w:line="298" w:lineRule="auto"/>
        <w:rPr>
          <w:sz w:val="20"/>
          <w:szCs w:val="20"/>
          <w:color w:val="auto"/>
        </w:rPr>
      </w:pPr>
      <w:r>
        <w:rPr>
          <w:rFonts w:ascii="Times New Roman" w:cs="Times New Roman" w:eastAsia="Times New Roman" w:hAnsi="Times New Roman"/>
          <w:sz w:val="16"/>
          <w:szCs w:val="16"/>
          <w:color w:val="auto"/>
        </w:rPr>
        <w:t>The certificate of incorporation and bylaws provide that the stockholders cannot amend many of the provisions described above except by a vote of 66 2/3% or more of outstanding common stock.</w:t>
      </w:r>
    </w:p>
    <w:p>
      <w:pPr>
        <w:spacing w:after="0" w:line="164" w:lineRule="exact"/>
        <w:rPr>
          <w:sz w:val="20"/>
          <w:szCs w:val="20"/>
          <w:color w:val="auto"/>
        </w:rPr>
      </w:pPr>
    </w:p>
    <w:p>
      <w:pPr>
        <w:ind w:right="160" w:firstLine="486"/>
        <w:spacing w:after="0" w:line="272" w:lineRule="auto"/>
        <w:rPr>
          <w:sz w:val="20"/>
          <w:szCs w:val="20"/>
          <w:color w:val="auto"/>
        </w:rPr>
      </w:pPr>
      <w:r>
        <w:rPr>
          <w:rFonts w:ascii="Times New Roman" w:cs="Times New Roman" w:eastAsia="Times New Roman" w:hAnsi="Times New Roman"/>
          <w:sz w:val="16"/>
          <w:szCs w:val="16"/>
          <w:color w:val="auto"/>
        </w:rPr>
        <w:t>The combination of these provisions make it more difficult for the Company’s existing stockholders to replace the board of directors as well as for another party to obtain control of the Company by replacing its board of directors. Since the Company’s board of directors has the power to retain and discharge the Company’s officers, these provisions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the Company’s control.</w:t>
      </w:r>
    </w:p>
    <w:p>
      <w:pPr>
        <w:spacing w:after="0" w:line="186" w:lineRule="exact"/>
        <w:rPr>
          <w:sz w:val="20"/>
          <w:szCs w:val="20"/>
          <w:color w:val="auto"/>
        </w:rPr>
      </w:pPr>
    </w:p>
    <w:p>
      <w:pPr>
        <w:ind w:firstLine="486"/>
        <w:spacing w:after="0" w:line="269" w:lineRule="auto"/>
        <w:rPr>
          <w:sz w:val="20"/>
          <w:szCs w:val="20"/>
          <w:color w:val="auto"/>
        </w:rPr>
      </w:pPr>
      <w:r>
        <w:rPr>
          <w:rFonts w:ascii="Times New Roman" w:cs="Times New Roman" w:eastAsia="Times New Roman" w:hAnsi="Times New Roman"/>
          <w:sz w:val="16"/>
          <w:szCs w:val="16"/>
          <w:color w:val="auto"/>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its control or management. As a consequence, these provisions may also inhibit fluctuations in the market price of the Company’s stock that could result from actual or rumored takeover attempts. The Company believes that the benefits of these provisions, including increased protection of its potential ability to negotiate with the proponent of an unfriendly or unsolicited proposal to acquire or restructure the company, outweigh the disadvantages of discouraging takeover proposals, because negotiation of takeover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598805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color w:val="auto"/>
        </w:rPr>
        <w:t>Choice of Forum</w:t>
      </w:r>
    </w:p>
    <w:p>
      <w:pPr>
        <w:spacing w:after="0" w:line="23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6"/>
          <w:szCs w:val="16"/>
          <w:color w:val="auto"/>
        </w:rPr>
        <w:t>The Company’s certificate of incorporation provides that the Court of Chancery of the State of Delaware is the exclusive forum for the following types of actions or proceedings under Delaware statutory or common law: (i) any derivative action or proceeding brought on the Company’s behalf, (ii) any action asserting a claim for breach of a fiduciary duty owed by any of the Company’s directors, officers or other employees to the Company or its stockholders, (iii) any action asserting a claim arising pursuant to any provision of the DGCL, the Company’s certificate of incorporation or bylaws or</w:t>
      </w:r>
    </w:p>
    <w:p>
      <w:pPr>
        <w:spacing w:after="0" w:line="2" w:lineRule="exact"/>
        <w:rPr>
          <w:sz w:val="20"/>
          <w:szCs w:val="20"/>
          <w:color w:val="auto"/>
        </w:rPr>
      </w:pPr>
    </w:p>
    <w:p>
      <w:pPr>
        <w:ind w:right="40" w:firstLine="8"/>
        <w:spacing w:after="0" w:line="288" w:lineRule="auto"/>
        <w:tabs>
          <w:tab w:leader="none" w:pos="27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governed by the internal affairs doctrine. However, this exclusive forum provision would not apply to suits brought to enforce a duty or liability created by the Securities Act of 1933, as amended, or the Securities Act, or the Securities Exchange Act of 1934, as amended.</w:t>
      </w:r>
    </w:p>
    <w:p>
      <w:pPr>
        <w:spacing w:after="0" w:line="172" w:lineRule="exact"/>
        <w:rPr>
          <w:sz w:val="20"/>
          <w:szCs w:val="20"/>
          <w:color w:val="auto"/>
        </w:rPr>
      </w:pPr>
    </w:p>
    <w:p>
      <w:pPr>
        <w:ind w:right="260" w:firstLine="486"/>
        <w:spacing w:after="0" w:line="275" w:lineRule="auto"/>
        <w:rPr>
          <w:sz w:val="20"/>
          <w:szCs w:val="20"/>
          <w:color w:val="auto"/>
        </w:rPr>
      </w:pPr>
      <w:r>
        <w:rPr>
          <w:rFonts w:ascii="Times New Roman" w:cs="Times New Roman" w:eastAsia="Times New Roman" w:hAnsi="Times New Roman"/>
          <w:sz w:val="16"/>
          <w:szCs w:val="16"/>
          <w:color w:val="auto"/>
        </w:rPr>
        <w:t>In addition, the Company’s bylaws provide that unless the Company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and that any person or entity purchasing or otherwise acquiring or holding any interest in shares of capital stock of the Company shall be deemed to have notice of and consented to the federal forum selection provision.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237" w:lineRule="exact"/>
        <w:rPr>
          <w:sz w:val="20"/>
          <w:szCs w:val="20"/>
          <w:color w:val="auto"/>
        </w:rPr>
      </w:pPr>
    </w:p>
    <w:p>
      <w:pPr>
        <w:ind w:right="120" w:firstLine="486"/>
        <w:spacing w:after="0" w:line="298" w:lineRule="auto"/>
        <w:rPr>
          <w:sz w:val="20"/>
          <w:szCs w:val="20"/>
          <w:color w:val="auto"/>
        </w:rPr>
      </w:pPr>
      <w:r>
        <w:rPr>
          <w:rFonts w:ascii="Times New Roman" w:cs="Times New Roman" w:eastAsia="Times New Roman" w:hAnsi="Times New Roman"/>
          <w:sz w:val="16"/>
          <w:szCs w:val="16"/>
          <w:color w:val="auto"/>
        </w:rPr>
        <w:t>The transfer agent and registrar for the Company’s common stock is Broadridge Corporate Issuer Solutions, Inc. The transfer agent’s address is 1717 Arch Street, Suite 1300, Philadelphia, Pennsylvania 19103.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Listing on the NASDAQ Global Select Market</w:t>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Company’s common stock is listed on the Nasdaq Global Select Market under the symbol “ACRS.”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475" w:right="10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333-285370 and 333-283942) and Form S-8 (Nos. 333-287812, 333-283506, 333-279169, 333-271718, 333-264813, 333-255922, 333-238079, 333-230614, 333-223922, 333-220149, 333-216703, 333-210379, and 333-207434) of Aclaris Therapeutics, Inc. of our report dated February 26, 2026 relating to the financial statements,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0"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Neal Walker, certify that:</w:t>
      </w:r>
    </w:p>
    <w:p>
      <w:pPr>
        <w:spacing w:after="0" w:line="212"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Aclaris Therapeutics, Inc. (the “registrant”);</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40" w:right="160" w:hanging="331"/>
        <w:spacing w:after="0" w:line="266" w:lineRule="auto"/>
        <w:tabs>
          <w:tab w:leader="none" w:pos="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2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2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58" w:lineRule="auto"/>
        <w:tabs>
          <w:tab w:leader="none" w:pos="63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1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2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Neal Walker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Balthaser, certify that:</w:t>
      </w:r>
    </w:p>
    <w:p>
      <w:pPr>
        <w:spacing w:after="0" w:line="212"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Aclaris Therapeutics, Inc. (the “registrant”);</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3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58" w:lineRule="auto"/>
        <w:tabs>
          <w:tab w:leader="none" w:pos="63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1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0" w:lineRule="exact"/>
        <w:rPr>
          <w:sz w:val="20"/>
          <w:szCs w:val="20"/>
          <w:color w:val="auto"/>
        </w:rPr>
      </w:pPr>
    </w:p>
    <w:p>
      <w:pPr>
        <w:spacing w:after="0" w:line="2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Kevin Balthaser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Kevin Balthaser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Neal Walker, Chief Executive Officer of Aclaris Therapeutics, Inc. (the “Company”), and Kevin Balthaser, Chief Financial Officer of the Company, each hereby certifies that, to the best of his knowledge:</w:t>
      </w:r>
    </w:p>
    <w:p>
      <w:pPr>
        <w:spacing w:after="0" w:line="180" w:lineRule="exact"/>
        <w:rPr>
          <w:sz w:val="20"/>
          <w:szCs w:val="20"/>
          <w:color w:val="auto"/>
        </w:rPr>
      </w:pPr>
    </w:p>
    <w:p>
      <w:pPr>
        <w:ind w:left="760" w:right="200" w:hanging="320"/>
        <w:spacing w:after="0" w:line="258"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2025 (the “Annual Report”), to which this Certification is attached as Exhibit 32.1, fully complies with the requirements of Section 13(a) or Section 15(d) of the Exchange Act, and</w:t>
      </w:r>
    </w:p>
    <w:p>
      <w:pPr>
        <w:spacing w:after="0" w:line="196" w:lineRule="exact"/>
        <w:rPr>
          <w:rFonts w:ascii="Times New Roman" w:cs="Times New Roman" w:eastAsia="Times New Roman" w:hAnsi="Times New Roman"/>
          <w:sz w:val="18"/>
          <w:szCs w:val="18"/>
          <w:color w:val="auto"/>
        </w:rPr>
      </w:pPr>
    </w:p>
    <w:p>
      <w:pPr>
        <w:ind w:left="760" w:right="220" w:hanging="320"/>
        <w:spacing w:after="0" w:line="258"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of the Company as of the end of the period covered by the Annual Report and results of operations of the Company for the periods covered by the Annual Report.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set their hands hereto as of the 26th day of February 2026.</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Neal Walker</w:t>
            </w:r>
          </w:p>
        </w:tc>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 Kevin Balthaser</w:t>
            </w:r>
          </w:p>
        </w:tc>
      </w:tr>
      <w:tr>
        <w:trPr>
          <w:trHeight w:val="198"/>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Neal Walker</w:t>
            </w:r>
          </w:p>
        </w:tc>
        <w:tc>
          <w:tcPr>
            <w:tcW w:w="180" w:type="dxa"/>
            <w:vAlign w:val="bottom"/>
          </w:tcPr>
          <w:p>
            <w:pPr>
              <w:spacing w:after="0"/>
              <w:rPr>
                <w:sz w:val="17"/>
                <w:szCs w:val="17"/>
                <w:color w:val="auto"/>
              </w:rPr>
            </w:pPr>
          </w:p>
        </w:tc>
        <w:tc>
          <w:tcPr>
            <w:tcW w:w="47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Kevin Balthaser</w:t>
            </w: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322" w:lineRule="exact"/>
        <w:rPr>
          <w:sz w:val="20"/>
          <w:szCs w:val="20"/>
          <w:color w:val="auto"/>
        </w:rPr>
      </w:pPr>
    </w:p>
    <w:p>
      <w:pPr>
        <w:ind w:left="200" w:right="80" w:hanging="192"/>
        <w:spacing w:after="0" w:line="255" w:lineRule="auto"/>
        <w:tabs>
          <w:tab w:leader="none" w:pos="2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499110</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decimal"/>
      <w:start w:val="3"/>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2"/>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1"/>
    </w:lvl>
    <w:lvl w:ilvl="1">
      <w:lvlJc w:val="left"/>
      <w:lvlText w:val="(%2)"/>
      <w:numFmt w:val="decimal"/>
      <w:start w:val="1"/>
    </w:lvl>
  </w:abstractNum>
  <w:abstractNum w:abstractNumId="46">
    <w:nsid w:val="2F305DEF"/>
    <w:multiLevelType w:val="hybridMultilevel"/>
    <w:lvl w:ilvl="0">
      <w:lvlJc w:val="left"/>
      <w:lvlText w:val="%1."/>
      <w:numFmt w:val="decimal"/>
      <w:start w:val="4"/>
    </w:lvl>
    <w:lvl w:ilvl="1">
      <w:lvlJc w:val="left"/>
      <w:lvlText w:val="%2"/>
      <w:numFmt w:val="decimal"/>
      <w:start w:val="1"/>
    </w:lvl>
  </w:abstractNum>
  <w:abstractNum w:abstractNumId="47">
    <w:nsid w:val="25A70BF7"/>
    <w:multiLevelType w:val="hybridMultilevel"/>
    <w:lvl w:ilvl="0">
      <w:lvlJc w:val="left"/>
      <w:lvlText w:val="%1."/>
      <w:numFmt w:val="decimal"/>
      <w:start w:val="5"/>
    </w:lvl>
  </w:abstractNum>
  <w:abstractNum w:abstractNumId="48">
    <w:nsid w:val="1DBABF00"/>
    <w:multiLevelType w:val="hybridMultilevel"/>
    <w:lvl w:ilvl="0">
      <w:lvlJc w:val="left"/>
      <w:lvlText w:val="%1."/>
      <w:numFmt w:val="decimal"/>
      <w:start w:val="11"/>
    </w:lvl>
  </w:abstractNum>
  <w:abstractNum w:abstractNumId="49">
    <w:nsid w:val="4AD084E9"/>
    <w:multiLevelType w:val="hybridMultilevel"/>
    <w:lvl w:ilvl="0">
      <w:lvlJc w:val="left"/>
      <w:lvlText w:val="(%1)"/>
      <w:numFmt w:val="lowerRoman"/>
      <w:start w:val="1"/>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decimal"/>
      <w:start w:val="2"/>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7"/>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5"/>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1)"/>
      <w:numFmt w:val="lowerLetter"/>
      <w:start w:val="1"/>
    </w:lvl>
    <w:lvl w:ilvl="1">
      <w:lvlJc w:val="left"/>
      <w:lvlText w:val="(%2)"/>
      <w:numFmt w:val="decimal"/>
      <w:start w:val="1"/>
    </w:lvl>
  </w:abstractNum>
  <w:abstractNum w:abstractNumId="66">
    <w:nsid w:val="7BD3EE7B"/>
    <w:multiLevelType w:val="hybridMultilevel"/>
    <w:lvl w:ilvl="0">
      <w:lvlJc w:val="left"/>
      <w:lvlText w:val="(%1)"/>
      <w:numFmt w:val="decimal"/>
      <w:start w:val="2"/>
    </w:lvl>
  </w:abstractNum>
  <w:abstractNum w:abstractNumId="67">
    <w:nsid w:val="51D9C564"/>
    <w:multiLevelType w:val="hybridMultilevel"/>
    <w:lvl w:ilvl="0">
      <w:lvlJc w:val="left"/>
      <w:lvlText w:val="%1"/>
      <w:numFmt w:val="lowerLetter"/>
      <w:start w:val="1"/>
    </w:lvl>
    <w:lvl w:ilvl="1">
      <w:lvlJc w:val="left"/>
      <w:lvlText w:val="(%2)"/>
      <w:numFmt w:val="decimal"/>
      <w:start w:val="3"/>
    </w:lvl>
  </w:abstractNum>
  <w:abstractNum w:abstractNumId="68">
    <w:nsid w:val="613EFDC5"/>
    <w:multiLevelType w:val="hybridMultilevel"/>
    <w:lvl w:ilvl="0">
      <w:lvlJc w:val="left"/>
      <w:lvlText w:val="(%1)"/>
      <w:numFmt w:val="lowerLetter"/>
      <w:start w:val="2"/>
    </w:lvl>
    <w:lvl w:ilvl="1">
      <w:lvlJc w:val="left"/>
      <w:lvlText w:val="%2"/>
      <w:numFmt w:val="decimal"/>
      <w:start w:val="1"/>
    </w:lvl>
  </w:abstractNum>
  <w:abstractNum w:abstractNumId="69">
    <w:nsid w:val="BF72B14"/>
    <w:multiLevelType w:val="hybridMultilevel"/>
    <w:lvl w:ilvl="0">
      <w:lvlJc w:val="left"/>
      <w:lvlText w:val="*"/>
      <w:numFmt w:val="bullet"/>
      <w:start w:val="1"/>
    </w:lvl>
    <w:lvl w:ilvl="1">
      <w:lvlJc w:val="left"/>
      <w:lvlText w:val="%2"/>
      <w:numFmt w:val="decimal"/>
      <w:start w:val="104"/>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lowerRoman"/>
      <w:start w:val="4"/>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4" Type="http://schemas.openxmlformats.org/officeDocument/2006/relationships/image" Target="media/image139.png"/><Relationship Id="rId171"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46" Type="http://schemas.openxmlformats.org/officeDocument/2006/relationships/hyperlink" Target="http://www.sec.gov/Archives/edgar/data/1557746/000155837017008320/acrs-20170930ex21d9ed579.htm" TargetMode="External"/><Relationship Id="rId147" Type="http://schemas.openxmlformats.org/officeDocument/2006/relationships/hyperlink" Target="http://www.sec.gov/Archives/edgar/data/1557746/000110465915070341/a15-21034_1ex3d1.htm" TargetMode="External"/><Relationship Id="rId148" Type="http://schemas.openxmlformats.org/officeDocument/2006/relationships/hyperlink" Target="https://www.sec.gov/Archives/edgar/data/1557746/000155837025008430/acrs-20250605xex3d1.htm" TargetMode="External"/><Relationship Id="rId149" Type="http://schemas.openxmlformats.org/officeDocument/2006/relationships/hyperlink" Target="https://www.sec.gov/Archives/edgar/data/1557746/000155837020007743/tmb-20200623xex3d1.htm" TargetMode="External"/><Relationship Id="rId150" Type="http://schemas.openxmlformats.org/officeDocument/2006/relationships/hyperlink" Target="http://www.sec.gov/Archives/edgar/data/1557746/000110465915070883/a15-21110_1ex4d6.htm" TargetMode="External"/><Relationship Id="rId151" Type="http://schemas.openxmlformats.org/officeDocument/2006/relationships/hyperlink" Target="http://www.sec.gov/Archives/edgar/data/1557746/000104746915007533/a2225995zex-10_10.htm" TargetMode="External"/><Relationship Id="rId152" Type="http://schemas.openxmlformats.org/officeDocument/2006/relationships/hyperlink" Target="http://www.sec.gov/Archives/edgar/data/1557746/000104746915007533/a2225995zex-10_11.htm" TargetMode="External"/><Relationship Id="rId153" Type="http://schemas.openxmlformats.org/officeDocument/2006/relationships/hyperlink" Target="https://www.sec.gov/Archives/edgar/data/1557746/000155837017005594/ex-10d1.htm" TargetMode="External"/><Relationship Id="rId155" Type="http://schemas.openxmlformats.org/officeDocument/2006/relationships/hyperlink" Target="http://www.sec.gov/Archives/edgar/data/1557746/000155837017005594/ex-10d2.htm" TargetMode="External"/><Relationship Id="rId156" Type="http://schemas.openxmlformats.org/officeDocument/2006/relationships/hyperlink" Target="https://www.sec.gov/Archives/edgar/data/1557746/000155837024015838/acrs-20241116xex10d4.htm" TargetMode="External"/><Relationship Id="rId157" Type="http://schemas.openxmlformats.org/officeDocument/2006/relationships/hyperlink" Target="https://www.sec.gov/Archives/edgar/data/1557746/000155837024015838/acrs-20241116xex10d5.htm" TargetMode="External"/><Relationship Id="rId158" Type="http://schemas.openxmlformats.org/officeDocument/2006/relationships/hyperlink" Target="https://www.sec.gov/Archives/edgar/data/1557746/000155837024015838/acrs-20241116xex10d6.htm" TargetMode="External"/><Relationship Id="rId159" Type="http://schemas.openxmlformats.org/officeDocument/2006/relationships/hyperlink" Target="https://www.sec.gov/Archives/edgar/data/1557746/000155837025008430/acrs-20250605xex10d1.htm" TargetMode="External"/><Relationship Id="rId160" Type="http://schemas.openxmlformats.org/officeDocument/2006/relationships/hyperlink" Target="https://www.sec.gov/Archives/edgar/data/1557746/000155837025008430/acrs-20250605xex10d2.htm" TargetMode="External"/><Relationship Id="rId161" Type="http://schemas.openxmlformats.org/officeDocument/2006/relationships/hyperlink" Target="https://www.sec.gov/Archives/edgar/data/1557746/000155837025008430/acrs-20250605xex10d3.htm" TargetMode="External"/><Relationship Id="rId162" Type="http://schemas.openxmlformats.org/officeDocument/2006/relationships/hyperlink" Target="https://www.sec.gov/Archives/edgar/data/1557746/000155837025006993/acrs-20250331xex10d4.htm" TargetMode="External"/><Relationship Id="rId163" Type="http://schemas.openxmlformats.org/officeDocument/2006/relationships/hyperlink" Target="http://www.sec.gov/Archives/edgar/data/1557746/000104746915006870/a2225650zex-10_12.htm" TargetMode="External"/><Relationship Id="rId164" Type="http://schemas.openxmlformats.org/officeDocument/2006/relationships/hyperlink" Target="https://www.sec.gov/Archives/edgar/data/1557746/000155837025006993/acrs-20250331xex10d3.htm" TargetMode="External"/><Relationship Id="rId165" Type="http://schemas.openxmlformats.org/officeDocument/2006/relationships/hyperlink" Target="https://www.sec.gov/Archives/edgar/data/1557746/000155837022001838/acrs-20211231xex10d16.htm" TargetMode="External"/><Relationship Id="rId166" Type="http://schemas.openxmlformats.org/officeDocument/2006/relationships/hyperlink" Target="https://www.sec.gov/Archives/edgar/data/1557746/000110465925107788/acrs-20250930xex10d1.htm" TargetMode="External"/><Relationship Id="rId167" Type="http://schemas.openxmlformats.org/officeDocument/2006/relationships/hyperlink" Target="https://www.sec.gov/Archives/edgar/data/1557746/000155837023001829/acrs-20221231xex10d24.htm" TargetMode="External"/><Relationship Id="rId168" Type="http://schemas.openxmlformats.org/officeDocument/2006/relationships/hyperlink" Target="https://www.sec.gov/Archives/edgar/data/1557746/000155837025001819/acrs-20241231xex10d21.htm" TargetMode="External"/><Relationship Id="rId169" Type="http://schemas.openxmlformats.org/officeDocument/2006/relationships/hyperlink" Target="https://www.sec.gov/Archives/edgar/data/1557746/000155837024015838/acrs-20241116xex10d3.htm" TargetMode="External"/><Relationship Id="rId170" Type="http://schemas.openxmlformats.org/officeDocument/2006/relationships/hyperlink" Target="https://www.sec.gov/Archives/edgar/data/1557746/000155837023010719/acrs-20230526xex10d1.htm" TargetMode="External"/><Relationship Id="rId172" Type="http://schemas.openxmlformats.org/officeDocument/2006/relationships/hyperlink" Target="https://www.sec.gov/Archives/edgar/data/1557746/000155837024011376/acrs-20240630xex10d1.htm" TargetMode="External"/><Relationship Id="rId173" Type="http://schemas.openxmlformats.org/officeDocument/2006/relationships/hyperlink" Target="https://www.sec.gov/Archives/edgar/data/1557746/000155837025001819/acrs-20241231xex10d24.htm" TargetMode="External"/><Relationship Id="rId174" Type="http://schemas.openxmlformats.org/officeDocument/2006/relationships/hyperlink" Target="https://www.sec.gov/Archives/edgar/data/1557746/000155837025001819/acrs-20241231xex10d26.htm" TargetMode="External"/><Relationship Id="rId175" Type="http://schemas.openxmlformats.org/officeDocument/2006/relationships/hyperlink" Target="https://www.sec.gov/Archives/edgar/data/1557746/000155837025001819/acrs-20241231xex10d27.htm" TargetMode="External"/><Relationship Id="rId176" Type="http://schemas.openxmlformats.org/officeDocument/2006/relationships/hyperlink" Target="https://www.sec.gov/Archives/edgar/data/1557746/000155837025001819/acrs-20241231xex10d28.htm" TargetMode="External"/><Relationship Id="rId177" Type="http://schemas.openxmlformats.org/officeDocument/2006/relationships/hyperlink" Target="https://www.sec.gov/Archives/edgar/data/1557746/000155837025001819/acrs-20241231xex19d1.htm" TargetMode="External"/><Relationship Id="rId178" Type="http://schemas.openxmlformats.org/officeDocument/2006/relationships/hyperlink" Target="https://www.sec.gov/Archives/edgar/data/1557746/000155837024001753/acrs-20231231xex21d1.htm" TargetMode="External"/><Relationship Id="rId179" Type="http://schemas.openxmlformats.org/officeDocument/2006/relationships/hyperlink" Target="https://www.sec.gov/Archives/edgar/data/1557746/000155837024001753/acrs-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2026-02-26T16:31:29Z</dcterms:created>
  <dcterms:modified xsi:type="dcterms:W3CDTF">2026-02-26T16:31:29Z</dcterms:modified>
</cp:coreProperties>
</file>