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53340</wp:posOffset>
            </wp:positionV>
            <wp:extent cx="570357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03570" cy="228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99060</wp:posOffset>
            </wp:positionV>
            <wp:extent cx="5703570" cy="22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3570" cy="22860"/>
                    </a:xfrm>
                    <a:prstGeom prst="rect">
                      <a:avLst/>
                    </a:prstGeom>
                    <a:noFill/>
                  </pic:spPr>
                </pic:pic>
              </a:graphicData>
            </a:graphic>
          </wp:anchor>
        </w:drawing>
      </w:r>
    </w:p>
    <w:p>
      <w:pPr>
        <w:spacing w:after="0" w:line="29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5"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ind w:left="388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2145665</wp:posOffset>
            </wp:positionH>
            <wp:positionV relativeFrom="paragraph">
              <wp:posOffset>134620</wp:posOffset>
            </wp:positionV>
            <wp:extent cx="142875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8750" cy="11430"/>
                    </a:xfrm>
                    <a:prstGeom prst="rect">
                      <a:avLst/>
                    </a:prstGeom>
                    <a:noFill/>
                  </pic:spPr>
                </pic:pic>
              </a:graphicData>
            </a:graphic>
          </wp:anchor>
        </w:drawing>
      </w:r>
    </w:p>
    <w:p>
      <w:pPr>
        <w:spacing w:after="0" w:line="380"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145"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1"/>
          <w:szCs w:val="11"/>
          <w:b w:val="1"/>
          <w:bCs w:val="1"/>
          <w:color w:val="auto"/>
        </w:rPr>
        <w:t>CURRENT REPORT</w:t>
      </w:r>
    </w:p>
    <w:p>
      <w:pPr>
        <w:spacing w:after="0" w:line="16"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1"/>
          <w:szCs w:val="11"/>
          <w:b w:val="1"/>
          <w:bCs w:val="1"/>
          <w:color w:val="auto"/>
        </w:rPr>
        <w:t>Pursuant to Section 13 or 15(d) of</w:t>
      </w:r>
    </w:p>
    <w:p>
      <w:pPr>
        <w:spacing w:after="0" w:line="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1"/>
          <w:szCs w:val="11"/>
          <w:b w:val="1"/>
          <w:bCs w:val="1"/>
          <w:color w:val="auto"/>
        </w:rPr>
        <w:t>The Securities Exchange Act of 1934</w:t>
      </w:r>
    </w:p>
    <w:p>
      <w:pPr>
        <w:spacing w:after="0" w:line="100"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1"/>
          <w:szCs w:val="11"/>
          <w:b w:val="1"/>
          <w:bCs w:val="1"/>
          <w:color w:val="auto"/>
        </w:rPr>
        <w:t>Date of Report (Date of earliest event reported): January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2145665</wp:posOffset>
            </wp:positionH>
            <wp:positionV relativeFrom="paragraph">
              <wp:posOffset>144145</wp:posOffset>
            </wp:positionV>
            <wp:extent cx="14287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8750" cy="5715"/>
                    </a:xfrm>
                    <a:prstGeom prst="rect">
                      <a:avLst/>
                    </a:prstGeom>
                    <a:noFill/>
                  </pic:spPr>
                </pic:pic>
              </a:graphicData>
            </a:graphic>
          </wp:anchor>
        </w:drawing>
      </w:r>
    </w:p>
    <w:p>
      <w:pPr>
        <w:spacing w:after="0" w:line="395"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Aclaris Therapeutics, Inc.</w:t>
      </w:r>
    </w:p>
    <w:p>
      <w:pPr>
        <w:spacing w:after="0" w:line="22"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39" w:lineRule="exact"/>
        <w:rPr>
          <w:sz w:val="24"/>
          <w:szCs w:val="24"/>
          <w:color w:val="auto"/>
        </w:rPr>
      </w:pPr>
    </w:p>
    <w:tbl>
      <w:tblPr>
        <w:tblLayout w:type="fixed"/>
        <w:tblInd w:w="380" w:type="dxa"/>
        <w:tblCellMar>
          <w:top w:w="0" w:type="dxa"/>
          <w:left w:w="0" w:type="dxa"/>
          <w:bottom w:w="0" w:type="dxa"/>
          <w:right w:w="0" w:type="dxa"/>
        </w:tblCellMar>
      </w:tblPr>
      <w:tr>
        <w:trPr>
          <w:trHeight w:val="126"/>
        </w:trPr>
        <w:tc>
          <w:tcPr>
            <w:tcW w:w="74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1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300" w:type="dxa"/>
            <w:vAlign w:val="bottom"/>
            <w:gridSpan w:val="2"/>
          </w:tcPr>
          <w:p>
            <w:pPr>
              <w:jc w:val="right"/>
              <w:ind w:right="1840"/>
              <w:spacing w:after="0"/>
              <w:rPr>
                <w:sz w:val="20"/>
                <w:szCs w:val="20"/>
                <w:color w:val="auto"/>
              </w:rPr>
            </w:pPr>
            <w:r>
              <w:rPr>
                <w:rFonts w:ascii="Times New Roman" w:cs="Times New Roman" w:eastAsia="Times New Roman" w:hAnsi="Times New Roman"/>
                <w:sz w:val="11"/>
                <w:szCs w:val="11"/>
                <w:b w:val="1"/>
                <w:bCs w:val="1"/>
                <w:color w:val="auto"/>
                <w:w w:val="92"/>
              </w:rPr>
              <w:t>001-37581</w:t>
            </w:r>
          </w:p>
        </w:tc>
        <w:tc>
          <w:tcPr>
            <w:tcW w:w="1440" w:type="dxa"/>
            <w:vAlign w:val="bottom"/>
            <w:gridSpan w:val="3"/>
          </w:tcPr>
          <w:p>
            <w:pPr>
              <w:jc w:val="center"/>
              <w:ind w:left="586"/>
              <w:spacing w:after="0"/>
              <w:rPr>
                <w:sz w:val="20"/>
                <w:szCs w:val="20"/>
                <w:color w:val="auto"/>
              </w:rPr>
            </w:pPr>
            <w:r>
              <w:rPr>
                <w:rFonts w:ascii="Times New Roman" w:cs="Times New Roman" w:eastAsia="Times New Roman" w:hAnsi="Times New Roman"/>
                <w:sz w:val="11"/>
                <w:szCs w:val="11"/>
                <w:b w:val="1"/>
                <w:bCs w:val="1"/>
                <w:color w:val="auto"/>
                <w:w w:val="97"/>
              </w:rPr>
              <w:t>46-0571712</w:t>
            </w:r>
          </w:p>
        </w:tc>
      </w:tr>
      <w:tr>
        <w:trPr>
          <w:trHeight w:val="20"/>
        </w:trPr>
        <w:tc>
          <w:tcPr>
            <w:tcW w:w="7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33"/>
        </w:trPr>
        <w:tc>
          <w:tcPr>
            <w:tcW w:w="2360" w:type="dxa"/>
            <w:vAlign w:val="bottom"/>
            <w:gridSpan w:val="3"/>
          </w:tcPr>
          <w:p>
            <w:pPr>
              <w:jc w:val="center"/>
              <w:ind w:right="460"/>
              <w:spacing w:after="0"/>
              <w:rPr>
                <w:sz w:val="20"/>
                <w:szCs w:val="20"/>
                <w:color w:val="auto"/>
              </w:rPr>
            </w:pPr>
            <w:r>
              <w:rPr>
                <w:rFonts w:ascii="Times New Roman" w:cs="Times New Roman" w:eastAsia="Times New Roman" w:hAnsi="Times New Roman"/>
                <w:sz w:val="11"/>
                <w:szCs w:val="11"/>
                <w:color w:val="auto"/>
                <w:w w:val="98"/>
              </w:rPr>
              <w:t>(State or other jurisdiction of incorporation)</w:t>
            </w:r>
          </w:p>
        </w:tc>
        <w:tc>
          <w:tcPr>
            <w:tcW w:w="374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color w:val="auto"/>
                <w:w w:val="98"/>
              </w:rPr>
              <w:t>(Commission File Number)</w:t>
            </w:r>
          </w:p>
        </w:tc>
        <w:tc>
          <w:tcPr>
            <w:tcW w:w="1440" w:type="dxa"/>
            <w:vAlign w:val="bottom"/>
            <w:gridSpan w:val="3"/>
          </w:tcPr>
          <w:p>
            <w:pPr>
              <w:jc w:val="center"/>
              <w:ind w:left="606"/>
              <w:spacing w:after="0"/>
              <w:rPr>
                <w:sz w:val="20"/>
                <w:szCs w:val="20"/>
                <w:color w:val="auto"/>
              </w:rPr>
            </w:pPr>
            <w:r>
              <w:rPr>
                <w:rFonts w:ascii="Times New Roman" w:cs="Times New Roman" w:eastAsia="Times New Roman" w:hAnsi="Times New Roman"/>
                <w:sz w:val="11"/>
                <w:szCs w:val="11"/>
                <w:color w:val="auto"/>
                <w:w w:val="98"/>
              </w:rPr>
              <w:t>(IRS Employer</w:t>
            </w:r>
          </w:p>
        </w:tc>
      </w:tr>
      <w:tr>
        <w:trPr>
          <w:trHeight w:val="140"/>
        </w:trPr>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gridSpan w:val="3"/>
          </w:tcPr>
          <w:p>
            <w:pPr>
              <w:jc w:val="center"/>
              <w:ind w:left="586"/>
              <w:spacing w:after="0"/>
              <w:rPr>
                <w:sz w:val="20"/>
                <w:szCs w:val="20"/>
                <w:color w:val="auto"/>
              </w:rPr>
            </w:pPr>
            <w:r>
              <w:rPr>
                <w:rFonts w:ascii="Times New Roman" w:cs="Times New Roman" w:eastAsia="Times New Roman" w:hAnsi="Times New Roman"/>
                <w:sz w:val="11"/>
                <w:szCs w:val="11"/>
                <w:color w:val="auto"/>
                <w:w w:val="97"/>
              </w:rPr>
              <w:t>Identification No.)</w:t>
            </w:r>
          </w:p>
        </w:tc>
      </w:tr>
      <w:tr>
        <w:trPr>
          <w:trHeight w:val="227"/>
        </w:trPr>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74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701 Lee Road, Suite 103</w:t>
            </w: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37"/>
        </w:trPr>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7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Wayne, PA 19087</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0"/>
        </w:trPr>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7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color w:val="auto"/>
                <w:w w:val="97"/>
              </w:rPr>
              <w:t>(Address of principal executive offices, including zip code)</w:t>
            </w: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29"/>
        </w:trPr>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7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(484) 324-7933</w:t>
            </w: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40"/>
        </w:trPr>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74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color w:val="auto"/>
                <w:w w:val="97"/>
              </w:rPr>
              <w:t>(Registrant’s telephone number, including area code)</w:t>
            </w: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29"/>
        </w:trPr>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300" w:type="dxa"/>
            <w:vAlign w:val="bottom"/>
            <w:gridSpan w:val="2"/>
          </w:tcPr>
          <w:p>
            <w:pPr>
              <w:jc w:val="center"/>
              <w:ind w:right="1640"/>
              <w:spacing w:after="0"/>
              <w:rPr>
                <w:sz w:val="20"/>
                <w:szCs w:val="20"/>
                <w:color w:val="auto"/>
              </w:rPr>
            </w:pPr>
            <w:r>
              <w:rPr>
                <w:rFonts w:ascii="Times New Roman" w:cs="Times New Roman" w:eastAsia="Times New Roman" w:hAnsi="Times New Roman"/>
                <w:sz w:val="11"/>
                <w:szCs w:val="11"/>
                <w:b w:val="1"/>
                <w:bCs w:val="1"/>
                <w:color w:val="auto"/>
                <w:w w:val="94"/>
              </w:rPr>
              <w:t>N/A</w:t>
            </w: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40"/>
        </w:trPr>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74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color w:val="auto"/>
                <w:w w:val="98"/>
              </w:rPr>
              <w:t>(Former name or former address, if changed since last report)</w:t>
            </w: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r>
    </w:tbl>
    <w:p>
      <w:pPr>
        <w:spacing w:after="0" w:line="15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63" w:lineRule="exact"/>
        <w:rPr>
          <w:sz w:val="24"/>
          <w:szCs w:val="24"/>
          <w:color w:val="auto"/>
        </w:rPr>
      </w:pPr>
    </w:p>
    <w:p>
      <w:pPr>
        <w:ind w:left="140" w:hanging="125"/>
        <w:spacing w:after="0"/>
        <w:tabs>
          <w:tab w:leader="none" w:pos="14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71" w:lineRule="exact"/>
        <w:rPr>
          <w:rFonts w:ascii="MS PGothic" w:cs="MS PGothic" w:eastAsia="MS PGothic" w:hAnsi="MS PGothic"/>
          <w:sz w:val="11"/>
          <w:szCs w:val="11"/>
          <w:color w:val="auto"/>
        </w:rPr>
      </w:pPr>
    </w:p>
    <w:p>
      <w:pPr>
        <w:ind w:left="140" w:hanging="125"/>
        <w:spacing w:after="0"/>
        <w:tabs>
          <w:tab w:leader="none" w:pos="14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71" w:lineRule="exact"/>
        <w:rPr>
          <w:rFonts w:ascii="MS PGothic" w:cs="MS PGothic" w:eastAsia="MS PGothic" w:hAnsi="MS PGothic"/>
          <w:sz w:val="11"/>
          <w:szCs w:val="11"/>
          <w:color w:val="auto"/>
        </w:rPr>
      </w:pPr>
    </w:p>
    <w:p>
      <w:pPr>
        <w:ind w:left="140" w:hanging="125"/>
        <w:spacing w:after="0"/>
        <w:tabs>
          <w:tab w:leader="none" w:pos="14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62" w:lineRule="exact"/>
        <w:rPr>
          <w:rFonts w:ascii="MS PGothic" w:cs="MS PGothic" w:eastAsia="MS PGothic" w:hAnsi="MS PGothic"/>
          <w:sz w:val="11"/>
          <w:szCs w:val="11"/>
          <w:color w:val="auto"/>
        </w:rPr>
      </w:pPr>
    </w:p>
    <w:p>
      <w:pPr>
        <w:ind w:left="140" w:hanging="125"/>
        <w:spacing w:after="0"/>
        <w:tabs>
          <w:tab w:leader="none" w:pos="14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0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p>
      <w:pPr>
        <w:spacing w:after="0" w:line="351" w:lineRule="exact"/>
        <w:rPr>
          <w:sz w:val="24"/>
          <w:szCs w:val="24"/>
          <w:color w:val="auto"/>
        </w:rPr>
      </w:pPr>
    </w:p>
    <w:tbl>
      <w:tblPr>
        <w:tblLayout w:type="fixed"/>
        <w:tblInd w:w="20" w:type="dxa"/>
        <w:tblCellMar>
          <w:top w:w="0" w:type="dxa"/>
          <w:left w:w="0" w:type="dxa"/>
          <w:bottom w:w="0" w:type="dxa"/>
          <w:right w:w="0" w:type="dxa"/>
        </w:tblCellMar>
      </w:tblPr>
      <w:tr>
        <w:trPr>
          <w:trHeight w:val="140"/>
        </w:trPr>
        <w:tc>
          <w:tcPr>
            <w:tcW w:w="32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w w:val="98"/>
              </w:rPr>
              <w:t>Title of Each Class:</w:t>
            </w:r>
          </w:p>
        </w:tc>
        <w:tc>
          <w:tcPr>
            <w:tcW w:w="19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Trading 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Name of Each Exchange on which Registered</w:t>
            </w:r>
          </w:p>
        </w:tc>
      </w:tr>
      <w:tr>
        <w:trPr>
          <w:trHeight w:val="133"/>
        </w:trPr>
        <w:tc>
          <w:tcPr>
            <w:tcW w:w="3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Common Stock, $0.00001 par value</w:t>
            </w:r>
          </w:p>
        </w:tc>
        <w:tc>
          <w:tcPr>
            <w:tcW w:w="160" w:type="dxa"/>
            <w:vAlign w:val="bottom"/>
          </w:tcPr>
          <w:p>
            <w:pPr>
              <w:spacing w:after="0"/>
              <w:rPr>
                <w:sz w:val="11"/>
                <w:szCs w:val="11"/>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ACRS</w:t>
            </w:r>
          </w:p>
        </w:tc>
        <w:tc>
          <w:tcPr>
            <w:tcW w:w="160" w:type="dxa"/>
            <w:vAlign w:val="bottom"/>
          </w:tcPr>
          <w:p>
            <w:pPr>
              <w:spacing w:after="0"/>
              <w:rPr>
                <w:sz w:val="11"/>
                <w:szCs w:val="11"/>
                <w:color w:val="auto"/>
              </w:rPr>
            </w:pPr>
          </w:p>
        </w:tc>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The Nasdaq Stock Market, LLC</w:t>
            </w:r>
          </w:p>
        </w:tc>
      </w:tr>
    </w:tbl>
    <w:p>
      <w:pPr>
        <w:spacing w:after="0" w:line="121" w:lineRule="exact"/>
        <w:rPr>
          <w:sz w:val="24"/>
          <w:szCs w:val="24"/>
          <w:color w:val="auto"/>
        </w:rPr>
      </w:pPr>
    </w:p>
    <w:p>
      <w:pPr>
        <w:jc w:val="both"/>
        <w:ind w:left="20" w:right="660"/>
        <w:spacing w:after="0" w:line="282" w:lineRule="auto"/>
        <w:rPr>
          <w:sz w:val="20"/>
          <w:szCs w:val="20"/>
          <w:color w:val="auto"/>
        </w:rPr>
      </w:pPr>
      <w:r>
        <w:rPr>
          <w:rFonts w:ascii="Times New Roman" w:cs="Times New Roman" w:eastAsia="Times New Roman" w:hAnsi="Times New Roman"/>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8" w:lineRule="exact"/>
        <w:rPr>
          <w:sz w:val="24"/>
          <w:szCs w:val="24"/>
          <w:color w:val="auto"/>
        </w:rPr>
      </w:pPr>
    </w:p>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32" w:lineRule="exact"/>
        <w:rPr>
          <w:sz w:val="24"/>
          <w:szCs w:val="24"/>
          <w:color w:val="auto"/>
        </w:rPr>
      </w:pPr>
    </w:p>
    <w:p>
      <w:pPr>
        <w:jc w:val="both"/>
        <w:ind w:left="20" w:right="660"/>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381000</wp:posOffset>
            </wp:positionV>
            <wp:extent cx="57035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03570" cy="171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83820</wp:posOffset>
            </wp:positionV>
            <wp:extent cx="5703570" cy="2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3570" cy="228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129540</wp:posOffset>
            </wp:positionV>
            <wp:extent cx="5703570"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3570" cy="22860"/>
                    </a:xfrm>
                    <a:prstGeom prst="rect">
                      <a:avLst/>
                    </a:prstGeom>
                    <a:noFill/>
                  </pic:spPr>
                </pic:pic>
              </a:graphicData>
            </a:graphic>
          </wp:anchor>
        </w:drawing>
      </w:r>
    </w:p>
    <w:p>
      <w:pPr>
        <w:sectPr>
          <w:pgSz w:w="11900" w:h="16838" w:orient="portrait"/>
          <w:cols w:equalWidth="0" w:num="1">
            <w:col w:w="9660"/>
          </w:cols>
          <w:pgMar w:left="1440" w:top="278" w:right="79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77" w:lineRule="exact"/>
        <w:rPr>
          <w:sz w:val="20"/>
          <w:szCs w:val="20"/>
          <w:color w:val="auto"/>
        </w:rPr>
      </w:pPr>
    </w:p>
    <w:p>
      <w:pPr>
        <w:jc w:val="both"/>
        <w:ind w:left="20" w:right="39" w:firstLine="432"/>
        <w:spacing w:after="0" w:line="286" w:lineRule="auto"/>
        <w:rPr>
          <w:sz w:val="20"/>
          <w:szCs w:val="20"/>
          <w:color w:val="auto"/>
        </w:rPr>
      </w:pPr>
      <w:r>
        <w:rPr>
          <w:rFonts w:ascii="Times New Roman" w:cs="Times New Roman" w:eastAsia="Times New Roman" w:hAnsi="Times New Roman"/>
          <w:sz w:val="12"/>
          <w:szCs w:val="12"/>
          <w:color w:val="auto"/>
        </w:rPr>
        <w:t>On January 13, 2025, Aclaris Therapeutics, Inc.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updated its corporate overview presentation, a copy of which is furnished as Exhibit 99.1 to this Current Report on Form 8-K. The updated corporate overview presentation is also available on the Company’s website.</w:t>
      </w:r>
    </w:p>
    <w:p>
      <w:pPr>
        <w:spacing w:after="0" w:line="125" w:lineRule="exact"/>
        <w:rPr>
          <w:sz w:val="20"/>
          <w:szCs w:val="20"/>
          <w:color w:val="auto"/>
        </w:rPr>
      </w:pPr>
    </w:p>
    <w:p>
      <w:pPr>
        <w:jc w:val="both"/>
        <w:ind w:left="20" w:right="19" w:firstLine="432"/>
        <w:spacing w:after="0" w:line="260" w:lineRule="auto"/>
        <w:rPr>
          <w:sz w:val="20"/>
          <w:szCs w:val="20"/>
          <w:color w:val="auto"/>
        </w:rPr>
      </w:pPr>
      <w:r>
        <w:rPr>
          <w:rFonts w:ascii="Times New Roman" w:cs="Times New Roman" w:eastAsia="Times New Roman" w:hAnsi="Times New Roman"/>
          <w:sz w:val="12"/>
          <w:szCs w:val="12"/>
          <w:color w:val="auto"/>
        </w:rPr>
        <w:t>In accordance with General Instruction B.2. of Form 8-K, the information in this Item 7.01 and Exhibit 99.1 hereto shall not be deemed “filed” for purposes of Section 18 of the Securities Exchange Act of 1934, as amended (the “</w:t>
      </w:r>
      <w:r>
        <w:rPr>
          <w:rFonts w:ascii="Times New Roman" w:cs="Times New Roman" w:eastAsia="Times New Roman" w:hAnsi="Times New Roman"/>
          <w:sz w:val="12"/>
          <w:szCs w:val="12"/>
          <w:b w:val="1"/>
          <w:bCs w:val="1"/>
          <w:i w:val="1"/>
          <w:iCs w:val="1"/>
          <w:color w:val="auto"/>
        </w:rPr>
        <w:t>Exchange Act</w:t>
      </w:r>
      <w:r>
        <w:rPr>
          <w:rFonts w:ascii="Times New Roman" w:cs="Times New Roman" w:eastAsia="Times New Roman" w:hAnsi="Times New Roman"/>
          <w:sz w:val="12"/>
          <w:szCs w:val="12"/>
          <w:color w:val="auto"/>
        </w:rPr>
        <w:t>”), or otherwise subject to the liability of that section, nor shall it be deemed incorporated by reference in any of the Company’s filings under the Securities Act of 1933, as amended, or under the Exchange Act, whether made before or after the date hereof, regardless of any incorporation language in such a filing, except as expressly set forth by specific reference in such a filing.</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3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120" w:type="dxa"/>
            <w:vAlign w:val="bottom"/>
          </w:tcPr>
          <w:p>
            <w:pPr>
              <w:spacing w:after="0"/>
              <w:rPr>
                <w:sz w:val="10"/>
                <w:szCs w:val="10"/>
                <w:color w:val="auto"/>
              </w:rPr>
            </w:pPr>
          </w:p>
        </w:tc>
        <w:tc>
          <w:tcPr>
            <w:tcW w:w="6540" w:type="dxa"/>
            <w:vAlign w:val="bottom"/>
            <w:vMerge w:val="restart"/>
          </w:tcPr>
          <w:p>
            <w:pPr>
              <w:ind w:left="2300"/>
              <w:spacing w:after="0"/>
              <w:rPr>
                <w:sz w:val="20"/>
                <w:szCs w:val="20"/>
                <w:color w:val="auto"/>
              </w:rPr>
            </w:pPr>
            <w:r>
              <w:rPr>
                <w:rFonts w:ascii="Times New Roman" w:cs="Times New Roman" w:eastAsia="Times New Roman" w:hAnsi="Times New Roman"/>
                <w:sz w:val="10"/>
                <w:szCs w:val="10"/>
                <w:b w:val="1"/>
                <w:bCs w:val="1"/>
                <w:color w:val="auto"/>
              </w:rPr>
              <w:t>Exhibit Description</w:t>
            </w:r>
          </w:p>
        </w:tc>
        <w:tc>
          <w:tcPr>
            <w:tcW w:w="0" w:type="dxa"/>
            <w:vAlign w:val="bottom"/>
          </w:tcPr>
          <w:p>
            <w:pPr>
              <w:spacing w:after="0"/>
              <w:rPr>
                <w:sz w:val="1"/>
                <w:szCs w:val="1"/>
                <w:color w:val="auto"/>
              </w:rPr>
            </w:pPr>
          </w:p>
        </w:tc>
      </w:tr>
      <w:tr>
        <w:trPr>
          <w:trHeight w:val="115"/>
        </w:trPr>
        <w:tc>
          <w:tcPr>
            <w:tcW w:w="13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1120" w:type="dxa"/>
            <w:vAlign w:val="bottom"/>
          </w:tcPr>
          <w:p>
            <w:pPr>
              <w:spacing w:after="0"/>
              <w:rPr>
                <w:sz w:val="10"/>
                <w:szCs w:val="10"/>
                <w:color w:val="auto"/>
              </w:rPr>
            </w:pPr>
          </w:p>
        </w:tc>
        <w:tc>
          <w:tcPr>
            <w:tcW w:w="6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180" w:type="dxa"/>
            <w:vAlign w:val="bottom"/>
            <w:tcBorders>
              <w:top w:val="single" w:sz="8" w:color="auto"/>
            </w:tcBorders>
          </w:tcPr>
          <w:p>
            <w:pPr>
              <w:jc w:val="right"/>
              <w:ind w:right="428"/>
              <w:spacing w:after="0" w:line="106" w:lineRule="exact"/>
              <w:rPr>
                <w:sz w:val="20"/>
                <w:szCs w:val="20"/>
                <w:color w:val="auto"/>
              </w:rPr>
            </w:pPr>
            <w:r>
              <w:rPr>
                <w:rFonts w:ascii="Times New Roman" w:cs="Times New Roman" w:eastAsia="Times New Roman" w:hAnsi="Times New Roman"/>
                <w:sz w:val="12"/>
                <w:szCs w:val="12"/>
                <w:color w:val="auto"/>
              </w:rPr>
              <w:t>99.1</w:t>
            </w:r>
          </w:p>
        </w:tc>
        <w:tc>
          <w:tcPr>
            <w:tcW w:w="120" w:type="dxa"/>
            <w:vAlign w:val="bottom"/>
          </w:tcPr>
          <w:p>
            <w:pPr>
              <w:spacing w:after="0"/>
              <w:rPr>
                <w:sz w:val="9"/>
                <w:szCs w:val="9"/>
                <w:color w:val="auto"/>
              </w:rPr>
            </w:pPr>
          </w:p>
        </w:tc>
        <w:tc>
          <w:tcPr>
            <w:tcW w:w="1120" w:type="dxa"/>
            <w:vAlign w:val="bottom"/>
            <w:tcBorders>
              <w:top w:val="single" w:sz="8" w:color="auto"/>
              <w:bottom w:val="single" w:sz="8" w:color="0000EE"/>
            </w:tcBorders>
          </w:tcPr>
          <w:p>
            <w:pPr>
              <w:spacing w:after="0" w:line="106" w:lineRule="exact"/>
              <w:rPr>
                <w:sz w:val="20"/>
                <w:szCs w:val="20"/>
                <w:color w:val="auto"/>
              </w:rPr>
            </w:pPr>
            <w:r>
              <w:rPr>
                <w:rFonts w:ascii="Times New Roman" w:cs="Times New Roman" w:eastAsia="Times New Roman" w:hAnsi="Times New Roman"/>
                <w:sz w:val="12"/>
                <w:szCs w:val="12"/>
                <w:color w:val="0000EE"/>
                <w:w w:val="98"/>
              </w:rPr>
              <w:t>Company Presentation.</w:t>
            </w:r>
          </w:p>
        </w:tc>
        <w:tc>
          <w:tcPr>
            <w:tcW w:w="65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1320" w:hanging="805"/>
        <w:spacing w:after="0"/>
        <w:tabs>
          <w:tab w:leader="none" w:pos="13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212529"/>
        </w:rPr>
        <w:t>The cover page from Aclaris Therapeutics, Inc.’s Form 8-K filed on January 13, 2025, formatted in Inline XBRL.</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23" w:lineRule="exact"/>
        <w:rPr>
          <w:rFonts w:ascii="Times New Roman" w:cs="Times New Roman" w:eastAsia="Times New Roman" w:hAnsi="Times New Roman"/>
          <w:sz w:val="12"/>
          <w:szCs w:val="12"/>
          <w:color w:val="auto"/>
        </w:rPr>
      </w:pPr>
    </w:p>
    <w:p>
      <w:pPr>
        <w:ind w:left="44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 w:right="39" w:firstLine="444"/>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Date: January 13, 2025</w:t>
      </w:r>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b w:val="1"/>
          <w:bCs w:val="1"/>
          <w:color w:val="auto"/>
        </w:rPr>
        <w:t>ACLARIS THERAPEUTICS,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/s/ Kevin Balthaser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10795</wp:posOffset>
            </wp:positionV>
            <wp:extent cx="263461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34615" cy="57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2"/>
          <w:szCs w:val="12"/>
          <w:color w:val="auto"/>
        </w:rPr>
        <w:t>Kevin Balthaser</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Chief Financial Officer</w:t>
      </w:r>
    </w:p>
    <w:p>
      <w:pPr>
        <w:sectPr>
          <w:pgSz w:w="11900" w:h="16838" w:orient="portrait"/>
          <w:cols w:equalWidth="0" w:num="2">
            <w:col w:w="4540" w:space="120"/>
            <w:col w:w="4359"/>
          </w:cols>
          <w:pgMar w:left="1440" w:top="125" w:right="1440"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2025-01-13T06:35:34Z</dcterms:created>
  <dcterms:modified xsi:type="dcterms:W3CDTF">2025-01-13T06:35:34Z</dcterms:modified>
</cp:coreProperties>
</file>