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5"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-615950</wp:posOffset>
            </wp:positionV>
            <wp:extent cx="57785" cy="629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285"/>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-615950</wp:posOffset>
            </wp:positionV>
            <wp:extent cx="57785" cy="629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2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729615</wp:posOffset>
            </wp:positionV>
            <wp:extent cx="6995795" cy="59975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795" cy="5997575"/>
                    </a:xfrm>
                    <a:prstGeom prst="rect">
                      <a:avLst/>
                    </a:prstGeom>
                    <a:noFill/>
                  </pic:spPr>
                </pic:pic>
              </a:graphicData>
            </a:graphic>
          </wp:anchor>
        </w:drawing>
      </w:r>
    </w:p>
    <w:p>
      <w:pPr>
        <w:spacing w:after="0" w:line="1155" w:lineRule="exact"/>
        <w:rPr>
          <w:sz w:val="24"/>
          <w:szCs w:val="24"/>
          <w:color w:val="auto"/>
        </w:rPr>
      </w:pPr>
    </w:p>
    <w:p>
      <w:pPr>
        <w:sectPr>
          <w:pgSz w:w="11900" w:h="16838" w:orient="portrait"/>
          <w:cols w:equalWidth="0" w:num="2">
            <w:col w:w="2280" w:space="340"/>
            <w:col w:w="8460"/>
          </w:cols>
          <w:pgMar w:left="460" w:top="216" w:right="359" w:bottom="355"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20" w:type="dxa"/>
            <w:vAlign w:val="bottom"/>
            <w:gridSpan w:val="2"/>
            <w:vMerge w:val="restart"/>
          </w:tcPr>
          <w:p>
            <w:pPr>
              <w:spacing w:after="0"/>
              <w:rPr>
                <w:rFonts w:ascii="Times New Roman" w:cs="Times New Roman" w:eastAsia="Times New Roman" w:hAnsi="Times New Roman"/>
                <w:sz w:val="20"/>
                <w:szCs w:val="20"/>
                <w:color w:val="0000EE"/>
                <w:w w:val="99"/>
              </w:rPr>
            </w:pPr>
            <w:hyperlink r:id="rId13">
              <w:r>
                <w:rPr>
                  <w:rFonts w:ascii="Times New Roman" w:cs="Times New Roman" w:eastAsia="Times New Roman" w:hAnsi="Times New Roman"/>
                  <w:sz w:val="20"/>
                  <w:szCs w:val="20"/>
                  <w:color w:val="0000EE"/>
                  <w:w w:val="99"/>
                </w:rPr>
                <w:t>SCHIFF ANDREW N</w:t>
              </w:r>
            </w:hyperlink>
          </w:p>
        </w:tc>
        <w:tc>
          <w:tcPr>
            <w:tcW w:w="6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tcPr>
          <w:p>
            <w:pPr>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Aclaris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ACRS</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2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100" w:type="dxa"/>
            <w:vAlign w:val="bottom"/>
            <w:tcBorders>
              <w:bottom w:val="single" w:sz="8" w:color="0000EE"/>
            </w:tcBorders>
          </w:tcPr>
          <w:p>
            <w:pPr>
              <w:spacing w:after="0"/>
              <w:rPr>
                <w:sz w:val="5"/>
                <w:szCs w:val="5"/>
                <w:color w:val="auto"/>
              </w:rPr>
            </w:pPr>
          </w:p>
        </w:tc>
        <w:tc>
          <w:tcPr>
            <w:tcW w:w="168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1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820" w:type="dxa"/>
            <w:vAlign w:val="bottom"/>
            <w:tcBorders>
              <w:bottom w:val="single" w:sz="8" w:color="0000EE"/>
            </w:tcBorders>
            <w:gridSpan w:val="2"/>
            <w:vMerge w:val="continue"/>
          </w:tcPr>
          <w:p>
            <w:pPr>
              <w:spacing w:after="0"/>
              <w:rPr>
                <w:sz w:val="5"/>
                <w:szCs w:val="5"/>
                <w:color w:val="auto"/>
              </w:rPr>
            </w:pPr>
          </w:p>
        </w:tc>
        <w:tc>
          <w:tcPr>
            <w:tcW w:w="60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1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820" w:type="dxa"/>
            <w:vAlign w:val="bottom"/>
            <w:gridSpan w:val="2"/>
          </w:tcPr>
          <w:p>
            <w:pPr>
              <w:spacing w:after="0"/>
              <w:rPr>
                <w:sz w:val="6"/>
                <w:szCs w:val="6"/>
                <w:color w:val="auto"/>
              </w:rPr>
            </w:pPr>
          </w:p>
        </w:tc>
        <w:tc>
          <w:tcPr>
            <w:tcW w:w="60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2C2C2C"/>
            </w:tcBorders>
          </w:tcPr>
          <w:p>
            <w:pPr>
              <w:spacing w:after="0" w:line="20" w:lineRule="exact"/>
              <w:rPr>
                <w:sz w:val="1"/>
                <w:szCs w:val="1"/>
                <w:color w:val="auto"/>
              </w:rPr>
            </w:pPr>
          </w:p>
        </w:tc>
        <w:tc>
          <w:tcPr>
            <w:tcW w:w="3780" w:type="dxa"/>
            <w:vAlign w:val="bottom"/>
            <w:tcBorders>
              <w:top w:val="single" w:sz="8" w:color="2C2C2C"/>
            </w:tcBorders>
            <w:gridSpan w:val="2"/>
            <w:vMerge w:val="restart"/>
          </w:tcPr>
          <w:p>
            <w:pPr>
              <w:spacing w:after="0" w:line="148" w:lineRule="exact"/>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1820" w:type="dxa"/>
            <w:vAlign w:val="bottom"/>
          </w:tcPr>
          <w:p>
            <w:pPr>
              <w:ind w:left="580"/>
              <w:spacing w:after="0" w:line="127"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2240" w:type="dxa"/>
            <w:vAlign w:val="bottom"/>
            <w:gridSpan w:val="3"/>
            <w:vMerge w:val="restart"/>
          </w:tcPr>
          <w:p>
            <w:pPr>
              <w:ind w:left="140"/>
              <w:spacing w:after="0"/>
              <w:rPr>
                <w:sz w:val="20"/>
                <w:szCs w:val="20"/>
                <w:color w:val="auto"/>
              </w:rPr>
            </w:pPr>
            <w:r>
              <w:rPr>
                <w:rFonts w:ascii="Times New Roman" w:cs="Times New Roman" w:eastAsia="Times New Roman" w:hAnsi="Times New Roman"/>
                <w:sz w:val="16"/>
                <w:szCs w:val="16"/>
                <w:color w:val="0000FF"/>
              </w:rPr>
              <w:t>06/04/2026</w:t>
            </w:r>
          </w:p>
        </w:tc>
        <w:tc>
          <w:tcPr>
            <w:tcW w:w="168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color w:val="0000FF"/>
              </w:rPr>
              <w:t>C/O ACLARIS THERAPEUTICS, INC.</w:t>
            </w:r>
          </w:p>
        </w:tc>
        <w:tc>
          <w:tcPr>
            <w:tcW w:w="2240" w:type="dxa"/>
            <w:vAlign w:val="bottom"/>
            <w:gridSpan w:val="3"/>
            <w:vMerge w:val="continue"/>
          </w:tcPr>
          <w:p>
            <w:pPr>
              <w:spacing w:after="0"/>
              <w:rPr>
                <w:sz w:val="10"/>
                <w:szCs w:val="10"/>
                <w:color w:val="auto"/>
              </w:rPr>
            </w:pPr>
          </w:p>
        </w:tc>
        <w:tc>
          <w:tcPr>
            <w:tcW w:w="16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color w:val="0000FF"/>
              </w:rPr>
              <w:t>701 LEE ROAD, SUITE 103</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100" w:type="dxa"/>
            <w:vAlign w:val="bottom"/>
            <w:tcBorders>
              <w:bottom w:val="single" w:sz="8" w:color="2C2C2C"/>
            </w:tcBorders>
          </w:tcPr>
          <w:p>
            <w:pPr>
              <w:spacing w:after="0"/>
              <w:rPr>
                <w:sz w:val="11"/>
                <w:szCs w:val="11"/>
                <w:color w:val="auto"/>
              </w:rPr>
            </w:pPr>
          </w:p>
        </w:tc>
        <w:tc>
          <w:tcPr>
            <w:tcW w:w="168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40" w:type="dxa"/>
            <w:vAlign w:val="bottom"/>
            <w:gridSpan w:val="4"/>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355" w:gutter="0" w:footer="0" w:header="0"/>
          <w:type w:val="continuous"/>
        </w:sectPr>
      </w:pPr>
    </w:p>
    <w:p>
      <w:pPr>
        <w:spacing w:after="0" w:line="16"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5"/>
        </w:trPr>
        <w:tc>
          <w:tcPr>
            <w:tcW w:w="20" w:type="dxa"/>
            <w:vAlign w:val="bottom"/>
          </w:tcPr>
          <w:p>
            <w:pPr>
              <w:spacing w:after="0"/>
              <w:rPr>
                <w:sz w:val="19"/>
                <w:szCs w:val="19"/>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WAYNE</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PA</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19087</w:t>
            </w:r>
          </w:p>
        </w:tc>
      </w:tr>
      <w:tr>
        <w:trPr>
          <w:trHeight w:val="145"/>
        </w:trPr>
        <w:tc>
          <w:tcPr>
            <w:tcW w:w="20" w:type="dxa"/>
            <w:vAlign w:val="bottom"/>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(City)</w:t>
            </w:r>
          </w:p>
        </w:tc>
        <w:tc>
          <w:tcPr>
            <w:tcW w:w="1120" w:type="dxa"/>
            <w:vAlign w:val="bottom"/>
          </w:tcPr>
          <w:p>
            <w:pPr>
              <w:ind w:left="3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1" w:lineRule="exact"/>
        <w:rPr>
          <w:sz w:val="20"/>
          <w:szCs w:val="20"/>
          <w:color w:val="auto"/>
        </w:rPr>
      </w:pPr>
    </w:p>
    <w:p>
      <w:pPr>
        <w:sectPr>
          <w:pgSz w:w="11900" w:h="16838" w:orient="portrait"/>
          <w:cols w:equalWidth="0" w:num="2">
            <w:col w:w="7540" w:space="720"/>
            <w:col w:w="2820"/>
          </w:cols>
          <w:pgMar w:left="460" w:top="216" w:right="359" w:bottom="355"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gridSpan w:val="2"/>
          </w:tcPr>
          <w:p>
            <w:pPr>
              <w:ind w:left="82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1"/>
                <w:szCs w:val="11"/>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jc w:val="center"/>
              <w:spacing w:after="0"/>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jc w:val="center"/>
              <w:ind w:left="675"/>
              <w:spacing w:after="0"/>
              <w:rPr>
                <w:sz w:val="20"/>
                <w:szCs w:val="20"/>
                <w:color w:val="auto"/>
              </w:rPr>
            </w:pPr>
            <w:r>
              <w:rPr>
                <w:rFonts w:ascii="Arial" w:cs="Arial" w:eastAsia="Arial" w:hAnsi="Arial"/>
                <w:sz w:val="11"/>
                <w:szCs w:val="11"/>
                <w:b w:val="1"/>
                <w:bCs w:val="1"/>
                <w:color w:val="auto"/>
              </w:rPr>
              <w:t>(Month/Day/Year)</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56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jc w:val="center"/>
              <w:ind w:right="20"/>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21"/>
                <w:szCs w:val="21"/>
                <w:color w:val="auto"/>
              </w:rPr>
            </w:pPr>
          </w:p>
        </w:tc>
        <w:tc>
          <w:tcPr>
            <w:tcW w:w="1840" w:type="dxa"/>
            <w:vAlign w:val="bottom"/>
            <w:gridSpan w:val="3"/>
          </w:tcPr>
          <w:p>
            <w:pPr>
              <w:jc w:val="center"/>
              <w:ind w:left="695"/>
              <w:spacing w:after="0"/>
              <w:rPr>
                <w:sz w:val="20"/>
                <w:szCs w:val="20"/>
                <w:color w:val="auto"/>
              </w:rPr>
            </w:pPr>
            <w:r>
              <w:rPr>
                <w:rFonts w:ascii="Times New Roman" w:cs="Times New Roman" w:eastAsia="Times New Roman" w:hAnsi="Times New Roman"/>
                <w:sz w:val="16"/>
                <w:szCs w:val="16"/>
                <w:color w:val="0000FF"/>
              </w:rPr>
              <w:t>06/05/2026</w:t>
            </w:r>
          </w:p>
        </w:tc>
        <w:tc>
          <w:tcPr>
            <w:tcW w:w="5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11,580</w:t>
            </w:r>
          </w:p>
        </w:tc>
        <w:tc>
          <w:tcPr>
            <w:tcW w:w="64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1"/>
                <w:szCs w:val="21"/>
                <w:color w:val="auto"/>
              </w:rPr>
            </w:pPr>
          </w:p>
        </w:tc>
        <w:tc>
          <w:tcPr>
            <w:tcW w:w="1260" w:type="dxa"/>
            <w:vAlign w:val="bottom"/>
            <w:gridSpan w:val="3"/>
          </w:tcPr>
          <w:p>
            <w:pPr>
              <w:jc w:val="right"/>
              <w:ind w:right="361"/>
              <w:spacing w:after="0"/>
              <w:rPr>
                <w:sz w:val="20"/>
                <w:szCs w:val="20"/>
                <w:color w:val="auto"/>
              </w:rPr>
            </w:pPr>
            <w:r>
              <w:rPr>
                <w:rFonts w:ascii="Times New Roman" w:cs="Times New Roman" w:eastAsia="Times New Roman" w:hAnsi="Times New Roman"/>
                <w:sz w:val="16"/>
                <w:szCs w:val="16"/>
                <w:color w:val="0000FF"/>
              </w:rPr>
              <w:t>25,540</w:t>
            </w:r>
          </w:p>
        </w:tc>
        <w:tc>
          <w:tcPr>
            <w:tcW w:w="28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By</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60" w:type="dxa"/>
            <w:vAlign w:val="bottom"/>
            <w:gridSpan w:val="3"/>
            <w:vMerge w:val="restart"/>
          </w:tcPr>
          <w:p>
            <w:pPr>
              <w:jc w:val="right"/>
              <w:ind w:right="321"/>
              <w:spacing w:after="0"/>
              <w:rPr>
                <w:sz w:val="20"/>
                <w:szCs w:val="20"/>
                <w:color w:val="auto"/>
              </w:rPr>
            </w:pPr>
            <w:r>
              <w:rPr>
                <w:rFonts w:ascii="Times New Roman" w:cs="Times New Roman" w:eastAsia="Times New Roman" w:hAnsi="Times New Roman"/>
                <w:sz w:val="16"/>
                <w:szCs w:val="16"/>
                <w:color w:val="0000FF"/>
              </w:rPr>
              <w:t>434,455</w:t>
            </w:r>
          </w:p>
        </w:tc>
        <w:tc>
          <w:tcPr>
            <w:tcW w:w="280" w:type="dxa"/>
            <w:vAlign w:val="bottom"/>
          </w:tcPr>
          <w:p>
            <w:pPr>
              <w:spacing w:after="0"/>
              <w:rPr>
                <w:sz w:val="17"/>
                <w:szCs w:val="17"/>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Aisling</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0000FF"/>
              </w:rPr>
              <w:t>Capital</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12"/>
        </w:trPr>
        <w:tc>
          <w:tcPr>
            <w:tcW w:w="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3"/>
          </w:tcPr>
          <w:p>
            <w:pPr>
              <w:ind w:left="20"/>
              <w:spacing w:after="0"/>
              <w:rPr>
                <w:sz w:val="20"/>
                <w:szCs w:val="20"/>
                <w:color w:val="auto"/>
              </w:rPr>
            </w:pPr>
            <w:r>
              <w:rPr>
                <w:rFonts w:ascii="Times New Roman" w:cs="Times New Roman" w:eastAsia="Times New Roman" w:hAnsi="Times New Roman"/>
                <w:sz w:val="16"/>
                <w:szCs w:val="16"/>
                <w:color w:val="0000FF"/>
              </w:rPr>
              <w:t>IV LP</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20" w:type="dxa"/>
            <w:vAlign w:val="bottom"/>
            <w:gridSpan w:val="12"/>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106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2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Transaction</w:t>
            </w:r>
          </w:p>
        </w:tc>
        <w:tc>
          <w:tcPr>
            <w:tcW w:w="106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23"/>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(Instr.</w:t>
            </w:r>
          </w:p>
        </w:tc>
        <w:tc>
          <w:tcPr>
            <w:tcW w:w="106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8)</w:t>
            </w:r>
          </w:p>
        </w:tc>
        <w:tc>
          <w:tcPr>
            <w:tcW w:w="106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100"/>
              <w:spacing w:after="0"/>
              <w:rPr>
                <w:sz w:val="20"/>
                <w:szCs w:val="20"/>
                <w:color w:val="auto"/>
              </w:rPr>
            </w:pPr>
            <w:r>
              <w:rPr>
                <w:rFonts w:ascii="Arial" w:cs="Arial" w:eastAsia="Arial" w:hAnsi="Arial"/>
                <w:sz w:val="11"/>
                <w:szCs w:val="11"/>
                <w:b w:val="1"/>
                <w:bCs w:val="1"/>
                <w:color w:val="auto"/>
              </w:rPr>
              <w:t>Disposed of</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100"/>
              <w:spacing w:after="0"/>
              <w:rPr>
                <w:sz w:val="20"/>
                <w:szCs w:val="20"/>
                <w:color w:val="auto"/>
              </w:rPr>
            </w:pPr>
            <w:r>
              <w:rPr>
                <w:rFonts w:ascii="Arial" w:cs="Arial" w:eastAsia="Arial" w:hAnsi="Arial"/>
                <w:sz w:val="11"/>
                <w:szCs w:val="11"/>
                <w:b w:val="1"/>
                <w:bCs w:val="1"/>
                <w:color w:val="auto"/>
              </w:rPr>
              <w:t>(D) (Instr. 3, 4</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and 5)</w:t>
            </w: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V</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4.71</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06/04/2026</w:t>
            </w: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jc w:val="center"/>
              <w:ind w:right="321"/>
              <w:spacing w:after="0"/>
              <w:rPr>
                <w:sz w:val="20"/>
                <w:szCs w:val="20"/>
                <w:color w:val="auto"/>
              </w:rPr>
            </w:pPr>
            <w:r>
              <w:rPr>
                <w:rFonts w:ascii="Times New Roman" w:cs="Times New Roman" w:eastAsia="Times New Roman" w:hAnsi="Times New Roman"/>
                <w:sz w:val="13"/>
                <w:szCs w:val="13"/>
                <w:color w:val="0000FF"/>
                <w:w w:val="84"/>
              </w:rPr>
              <w:t>A</w:t>
            </w:r>
          </w:p>
        </w:tc>
        <w:tc>
          <w:tcPr>
            <w:tcW w:w="50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42,350</w:t>
            </w:r>
          </w:p>
        </w:tc>
        <w:tc>
          <w:tcPr>
            <w:tcW w:w="560" w:type="dxa"/>
            <w:vAlign w:val="bottom"/>
          </w:tcPr>
          <w:p>
            <w:pPr>
              <w:spacing w:after="0"/>
              <w:rPr>
                <w:sz w:val="17"/>
                <w:szCs w:val="17"/>
                <w:color w:val="auto"/>
              </w:rPr>
            </w:pPr>
          </w:p>
        </w:tc>
        <w:tc>
          <w:tcPr>
            <w:tcW w:w="74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06/03/2036</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6"/>
                <w:szCs w:val="16"/>
                <w:color w:val="0000FF"/>
              </w:rPr>
              <w:t>42,350</w:t>
            </w:r>
          </w:p>
        </w:tc>
        <w:tc>
          <w:tcPr>
            <w:tcW w:w="40" w:type="dxa"/>
            <w:vAlign w:val="bottom"/>
          </w:tcPr>
          <w:p>
            <w:pPr>
              <w:spacing w:after="0"/>
              <w:rPr>
                <w:sz w:val="17"/>
                <w:szCs w:val="17"/>
                <w:color w:val="auto"/>
              </w:rPr>
            </w:pPr>
          </w:p>
        </w:tc>
        <w:tc>
          <w:tcPr>
            <w:tcW w:w="680" w:type="dxa"/>
            <w:vAlign w:val="bottom"/>
            <w:gridSpan w:val="2"/>
          </w:tcPr>
          <w:p>
            <w:pPr>
              <w:jc w:val="center"/>
              <w:ind w:right="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center"/>
              <w:spacing w:after="0" w:line="203" w:lineRule="exact"/>
              <w:rPr>
                <w:sz w:val="20"/>
                <w:szCs w:val="20"/>
                <w:color w:val="auto"/>
              </w:rPr>
            </w:pPr>
            <w:r>
              <w:rPr>
                <w:rFonts w:ascii="Times New Roman" w:cs="Times New Roman" w:eastAsia="Times New Roman" w:hAnsi="Times New Roman"/>
                <w:sz w:val="13"/>
                <w:szCs w:val="13"/>
                <w:color w:val="0000FF"/>
                <w:w w:val="88"/>
              </w:rPr>
              <w:t>42,350</w:t>
            </w:r>
            <w:r>
              <w:rPr>
                <w:rFonts w:ascii="Times New Roman" w:cs="Times New Roman" w:eastAsia="Times New Roman" w:hAnsi="Times New Roman"/>
                <w:sz w:val="21"/>
                <w:szCs w:val="21"/>
                <w:color w:val="008000"/>
                <w:w w:val="88"/>
                <w:vertAlign w:val="superscript"/>
              </w:rPr>
              <w:t>(4)</w:t>
            </w:r>
          </w:p>
        </w:tc>
        <w:tc>
          <w:tcPr>
            <w:tcW w:w="6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tcPr>
          <w:p>
            <w:pPr>
              <w:ind w:left="60"/>
              <w:spacing w:after="0" w:line="76" w:lineRule="exact"/>
              <w:rPr>
                <w:sz w:val="20"/>
                <w:szCs w:val="20"/>
                <w:color w:val="auto"/>
              </w:rPr>
            </w:pPr>
            <w:r>
              <w:rPr>
                <w:rFonts w:ascii="Times New Roman" w:cs="Times New Roman" w:eastAsia="Times New Roman" w:hAnsi="Times New Roman"/>
                <w:sz w:val="8"/>
                <w:szCs w:val="8"/>
                <w:color w:val="0000FF"/>
              </w:rPr>
              <w:t>(Right to</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jc w:val="center"/>
              <w:ind w:right="20"/>
              <w:spacing w:after="0" w:line="76" w:lineRule="exact"/>
              <w:rPr>
                <w:sz w:val="20"/>
                <w:szCs w:val="20"/>
                <w:color w:val="auto"/>
              </w:rPr>
            </w:pPr>
            <w:r>
              <w:rPr>
                <w:rFonts w:ascii="Times New Roman" w:cs="Times New Roman" w:eastAsia="Times New Roman" w:hAnsi="Times New Roman"/>
                <w:sz w:val="8"/>
                <w:szCs w:val="8"/>
                <w:color w:val="0000FF"/>
              </w:rPr>
              <w:t>Stock</w:t>
            </w: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10,987</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88"/>
              </w:rPr>
              <w:t>10,987</w:t>
            </w:r>
            <w:r>
              <w:rPr>
                <w:rFonts w:ascii="Times New Roman" w:cs="Times New Roman" w:eastAsia="Times New Roman" w:hAnsi="Times New Roman"/>
                <w:sz w:val="21"/>
                <w:szCs w:val="21"/>
                <w:color w:val="008000"/>
                <w:w w:val="88"/>
                <w:vertAlign w:val="superscript"/>
              </w:rPr>
              <w:t>(4)</w:t>
            </w: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06/04/2026</w:t>
            </w: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jc w:val="center"/>
              <w:ind w:right="321"/>
              <w:spacing w:after="0" w:line="140" w:lineRule="exact"/>
              <w:rPr>
                <w:sz w:val="20"/>
                <w:szCs w:val="20"/>
                <w:color w:val="auto"/>
              </w:rPr>
            </w:pPr>
            <w:r>
              <w:rPr>
                <w:rFonts w:ascii="Times New Roman" w:cs="Times New Roman" w:eastAsia="Times New Roman" w:hAnsi="Times New Roman"/>
                <w:sz w:val="13"/>
                <w:szCs w:val="13"/>
                <w:color w:val="0000FF"/>
                <w:w w:val="84"/>
              </w:rPr>
              <w:t>A</w:t>
            </w:r>
          </w:p>
        </w:tc>
        <w:tc>
          <w:tcPr>
            <w:tcW w:w="500" w:type="dxa"/>
            <w:vAlign w:val="bottom"/>
          </w:tcPr>
          <w:p>
            <w:pPr>
              <w:ind w:left="100"/>
              <w:spacing w:after="0" w:line="140" w:lineRule="exact"/>
              <w:rPr>
                <w:sz w:val="20"/>
                <w:szCs w:val="20"/>
                <w:color w:val="auto"/>
              </w:rPr>
            </w:pPr>
            <w:r>
              <w:rPr>
                <w:rFonts w:ascii="Times New Roman" w:cs="Times New Roman" w:eastAsia="Times New Roman" w:hAnsi="Times New Roman"/>
                <w:sz w:val="13"/>
                <w:szCs w:val="13"/>
                <w:color w:val="0000FF"/>
              </w:rPr>
              <w:t>10,987</w:t>
            </w:r>
          </w:p>
        </w:tc>
        <w:tc>
          <w:tcPr>
            <w:tcW w:w="5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continue"/>
          </w:tcPr>
          <w:p>
            <w:pPr>
              <w:spacing w:after="0"/>
              <w:rPr>
                <w:sz w:val="12"/>
                <w:szCs w:val="12"/>
                <w:color w:val="auto"/>
              </w:rPr>
            </w:pPr>
          </w:p>
        </w:tc>
        <w:tc>
          <w:tcPr>
            <w:tcW w:w="64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jc w:val="center"/>
              <w:ind w:right="20"/>
              <w:spacing w:after="0" w:line="127"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11,580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7"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60" w:type="dxa"/>
            <w:vAlign w:val="bottom"/>
          </w:tcPr>
          <w:p>
            <w:pPr>
              <w:jc w:val="center"/>
              <w:spacing w:after="0" w:line="127" w:lineRule="exact"/>
              <w:rPr>
                <w:sz w:val="20"/>
                <w:szCs w:val="20"/>
                <w:color w:val="auto"/>
              </w:rPr>
            </w:pPr>
            <w:r>
              <w:rPr>
                <w:rFonts w:ascii="Times New Roman" w:cs="Times New Roman" w:eastAsia="Times New Roman" w:hAnsi="Times New Roman"/>
                <w:sz w:val="13"/>
                <w:szCs w:val="13"/>
                <w:color w:val="0000FF"/>
                <w:w w:val="97"/>
              </w:rPr>
              <w:t>06/05/2026</w:t>
            </w: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jc w:val="center"/>
              <w:ind w:right="321"/>
              <w:spacing w:after="0" w:line="127"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11"/>
                <w:szCs w:val="11"/>
                <w:color w:val="auto"/>
              </w:rPr>
            </w:pPr>
          </w:p>
        </w:tc>
        <w:tc>
          <w:tcPr>
            <w:tcW w:w="560" w:type="dxa"/>
            <w:vAlign w:val="bottom"/>
          </w:tcPr>
          <w:p>
            <w:pPr>
              <w:ind w:left="80"/>
              <w:spacing w:after="0" w:line="127" w:lineRule="exact"/>
              <w:rPr>
                <w:sz w:val="20"/>
                <w:szCs w:val="20"/>
                <w:color w:val="auto"/>
              </w:rPr>
            </w:pPr>
            <w:r>
              <w:rPr>
                <w:rFonts w:ascii="Times New Roman" w:cs="Times New Roman" w:eastAsia="Times New Roman" w:hAnsi="Times New Roman"/>
                <w:sz w:val="13"/>
                <w:szCs w:val="13"/>
                <w:color w:val="0000FF"/>
              </w:rPr>
              <w:t>11,580</w:t>
            </w:r>
          </w:p>
        </w:tc>
        <w:tc>
          <w:tcPr>
            <w:tcW w:w="7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center"/>
              <w:ind w:right="3"/>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221"/>
              <w:spacing w:after="0" w:line="127" w:lineRule="exact"/>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11"/>
                <w:szCs w:val="11"/>
                <w:color w:val="auto"/>
              </w:rPr>
            </w:pPr>
          </w:p>
        </w:tc>
        <w:tc>
          <w:tcPr>
            <w:tcW w:w="640" w:type="dxa"/>
            <w:vAlign w:val="bottom"/>
          </w:tcPr>
          <w:p>
            <w:pPr>
              <w:ind w:left="340"/>
              <w:spacing w:after="0" w:line="127"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ind w:right="20"/>
              <w:spacing w:after="0" w:line="139"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-2595880</wp:posOffset>
            </wp:positionV>
            <wp:extent cx="28575" cy="26009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600960"/>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0"/>
          <w:szCs w:val="20"/>
          <w:color w:val="auto"/>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common stock of the issuer.</w:t>
      </w:r>
    </w:p>
    <w:p>
      <w:pPr>
        <w:spacing w:after="0" w:line="40" w:lineRule="exact"/>
        <w:rPr>
          <w:rFonts w:ascii="Times New Roman" w:cs="Times New Roman" w:eastAsia="Times New Roman" w:hAnsi="Times New Roman"/>
          <w:sz w:val="13"/>
          <w:szCs w:val="13"/>
          <w:color w:val="008000"/>
        </w:rPr>
      </w:pPr>
    </w:p>
    <w:p>
      <w:pPr>
        <w:ind w:left="40" w:right="220" w:hanging="1"/>
        <w:spacing w:after="0" w:line="258"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reportable securities are owned directly by Aisling Capital IV, LP ("Aisling"), and held indirectly by Aisling Capital Partners IV, LP ("Aisling GP"), as general partner of Aisling, Aisling Capital Partners IV LLC ("Aisling Partners"), as general partner of Aisling GP, and each of the individual managing members of Aisling Partners. The individual managing members (collectively, the "Managers") of Aisling Partners are Dr. Andrew Schiff and Steve Elms. Aisling GP, Aisling Partners, and the Managers share voting and dispositive power over the shares directly held by Aisling. Dr. Schiff disclaims beneficial ownership of these securities and this report is not an admission that he is the beneficial owner of such securities for purposes of Section 16 or for any other purpose, except to the extent of his pecuniary interest therein.</w:t>
      </w:r>
    </w:p>
    <w:p>
      <w:pPr>
        <w:spacing w:after="0" w:line="15" w:lineRule="exact"/>
        <w:rPr>
          <w:rFonts w:ascii="Times New Roman" w:cs="Times New Roman" w:eastAsia="Times New Roman" w:hAnsi="Times New Roman"/>
          <w:sz w:val="12"/>
          <w:szCs w:val="12"/>
          <w:color w:val="008000"/>
        </w:rPr>
      </w:pPr>
    </w:p>
    <w:p>
      <w:pPr>
        <w:ind w:left="40" w:right="380" w:hanging="1"/>
        <w:spacing w:after="0" w:line="24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this stock option will vest in twelve equal monthly installments commencing on July 4, 2026, subject to the Reporting Person's Continuous Service (as defined in the Issuer's 2025 Equity Incentive Plan, or the Plan) through each such vesting date.</w:t>
      </w:r>
    </w:p>
    <w:p>
      <w:pPr>
        <w:spacing w:after="0" w:line="2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grant was made pursuant to the issuer's tenth amended and restated non-employee director compensation policy.</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these restricted stock units will vest in one installment on June 4, 2027, subject to the Reporting Person's Continuous Service (as defined in the Plan) as of such date.</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these restricted stock units vested on June 5, 2026.</w:t>
      </w:r>
    </w:p>
    <w:p>
      <w:pPr>
        <w:ind w:left="6600"/>
        <w:spacing w:after="0" w:line="187" w:lineRule="auto"/>
        <w:rPr>
          <w:sz w:val="20"/>
          <w:szCs w:val="20"/>
          <w:color w:val="auto"/>
        </w:rPr>
      </w:pPr>
      <w:r>
        <w:rPr>
          <w:rFonts w:ascii="Times New Roman" w:cs="Times New Roman" w:eastAsia="Times New Roman" w:hAnsi="Times New Roman"/>
          <w:sz w:val="16"/>
          <w:szCs w:val="16"/>
          <w:color w:val="0000FF"/>
        </w:rPr>
        <w:t xml:space="preserve">/s/ Matthew Rothman, Attorney- </w:t>
      </w:r>
      <w:r>
        <w:rPr>
          <w:rFonts w:ascii="Times New Roman" w:cs="Times New Roman" w:eastAsia="Times New Roman" w:hAnsi="Times New Roman"/>
          <w:sz w:val="32"/>
          <w:szCs w:val="32"/>
          <w:color w:val="0000FF"/>
          <w:vertAlign w:val="subscript"/>
        </w:rPr>
        <w:t>06/08/2026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658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58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-14605</wp:posOffset>
            </wp:positionV>
            <wp:extent cx="2965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9654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-79375</wp:posOffset>
            </wp:positionV>
            <wp:extent cx="4768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6885" cy="8255"/>
                    </a:xfrm>
                    <a:prstGeom prst="rect">
                      <a:avLst/>
                    </a:prstGeom>
                    <a:noFill/>
                  </pic:spPr>
                </pic:pic>
              </a:graphicData>
            </a:graphic>
          </wp:anchor>
        </w:drawing>
      </w:r>
    </w:p>
    <w:p>
      <w:pPr>
        <w:spacing w:after="0" w:line="32"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20" w:hanging="1"/>
        <w:spacing w:after="0" w:line="330"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35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172252" TargetMode="External"/><Relationship Id="rId14" Type="http://schemas.openxmlformats.org/officeDocument/2006/relationships/hyperlink" Target="http://www.sec.gov/cgi-bin/browse-edgar?action=getcompany&amp;CIK=00015577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2026-06-08T15:23:55Z</dcterms:created>
  <dcterms:modified xsi:type="dcterms:W3CDTF">2026-06-08T15:23:55Z</dcterms:modified>
</cp:coreProperties>
</file>