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333-237163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142875</wp:posOffset>
            </wp:positionV>
            <wp:extent cx="1705610"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Up to </w:t>
      </w:r>
      <w:r>
        <w:rPr>
          <w:rFonts w:ascii="Arial" w:cs="Arial" w:eastAsia="Arial" w:hAnsi="Arial"/>
          <w:sz w:val="18"/>
          <w:szCs w:val="18"/>
          <w:color w:val="auto"/>
        </w:rPr>
        <w:t>$</w:t>
      </w:r>
      <w:r>
        <w:rPr>
          <w:rFonts w:ascii="Arial" w:cs="Arial" w:eastAsia="Arial" w:hAnsi="Arial"/>
          <w:sz w:val="18"/>
          <w:szCs w:val="18"/>
          <w:b w:val="1"/>
          <w:bCs w:val="1"/>
          <w:color w:val="auto"/>
        </w:rPr>
        <w:t>15,000,000 of Shares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and 121,584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right="200"/>
        <w:spacing w:after="0" w:line="296" w:lineRule="auto"/>
        <w:rPr>
          <w:sz w:val="20"/>
          <w:szCs w:val="20"/>
          <w:color w:val="auto"/>
        </w:rPr>
      </w:pPr>
      <w:r>
        <w:rPr>
          <w:rFonts w:ascii="Arial" w:cs="Arial" w:eastAsia="Arial" w:hAnsi="Arial"/>
          <w:sz w:val="16"/>
          <w:szCs w:val="16"/>
          <w:color w:val="auto"/>
        </w:rPr>
        <w:t>This prospectus supplement relates to the issuance and sale of up to $15,000,000 of shares of our common stock that we may sell to Lincoln Park Capital Fund, LLC, or Lincoln Park, from time to time pursuant to the purchase agreement, dated August 13, 2020, or the Purchase Agreement, that we have entered into with Lincoln Park, and an additional 121,584 shares of our common stock being issued to Lincoln Park as commitment shares under the Purchase Agreement. See “Lincoln Park Transaction” for a description of the Purchase Agreement and additional information regarding Lincoln Park. Lincoln Park is an “underwriter” within the meaning of Section 2(a)(11) of the Securities Act of 1933, as amended, or the Securities Act.</w:t>
      </w:r>
    </w:p>
    <w:p>
      <w:pPr>
        <w:spacing w:after="0" w:line="161" w:lineRule="exact"/>
        <w:rPr>
          <w:sz w:val="24"/>
          <w:szCs w:val="24"/>
          <w:color w:val="auto"/>
        </w:rPr>
      </w:pPr>
    </w:p>
    <w:p>
      <w:pPr>
        <w:jc w:val="both"/>
        <w:ind w:right="60"/>
        <w:spacing w:after="0" w:line="263" w:lineRule="auto"/>
        <w:rPr>
          <w:sz w:val="20"/>
          <w:szCs w:val="20"/>
          <w:color w:val="auto"/>
        </w:rPr>
      </w:pPr>
      <w:r>
        <w:rPr>
          <w:rFonts w:ascii="Arial" w:cs="Arial" w:eastAsia="Arial" w:hAnsi="Arial"/>
          <w:sz w:val="18"/>
          <w:szCs w:val="18"/>
          <w:color w:val="auto"/>
        </w:rPr>
        <w:t>The purchase price for the Purchase Shares will be based upon formulas set forth in the Purchase Agreement depending on the type of purchase notice we submit to Lincoln Park from time to time. We will pay the expenses incurred in registering the shares of our common stock, including legal and accounting fees. See “Plan of Distribution.”</w:t>
      </w:r>
    </w:p>
    <w:p>
      <w:pPr>
        <w:spacing w:after="0" w:line="18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Our common stock is traded on the Nasdaq Global Select Market, or the Exchange, under the symbol “ACRS.” On August 12, 2020, the last reported sale price of our common stock was $2.20 per share.</w:t>
      </w:r>
    </w:p>
    <w:p>
      <w:pPr>
        <w:spacing w:after="0" w:line="170" w:lineRule="exact"/>
        <w:rPr>
          <w:sz w:val="24"/>
          <w:szCs w:val="24"/>
          <w:color w:val="auto"/>
        </w:rPr>
      </w:pPr>
    </w:p>
    <w:p>
      <w:pPr>
        <w:ind w:right="760"/>
        <w:spacing w:after="0" w:line="308" w:lineRule="auto"/>
        <w:rPr>
          <w:sz w:val="20"/>
          <w:szCs w:val="20"/>
          <w:color w:val="auto"/>
        </w:rPr>
      </w:pPr>
      <w:r>
        <w:rPr>
          <w:rFonts w:ascii="Arial" w:cs="Arial" w:eastAsia="Arial" w:hAnsi="Arial"/>
          <w:sz w:val="17"/>
          <w:szCs w:val="17"/>
          <w:color w:val="auto"/>
        </w:rPr>
        <w:t>We are an “emerging growth company” under applicable Securities and Exchange Commission rules and are eligible for reduced public company disclosure requirements. See “Prospectus Supplement Summary—Implications of Being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307975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right="360"/>
        <w:spacing w:after="0" w:line="320"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You should review carefully the risks and uncertainties described under the heading “Risk Factors” on page S-4 of this prospectus supplement and under similar headings in the other documents that are incorporated by reference into this prospectus supplement and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156845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4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AND ACCOMPANYING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191770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540" w:type="dxa"/>
            <w:vAlign w:val="bottom"/>
          </w:tcPr>
          <w:p>
            <w:pPr>
              <w:spacing w:after="0"/>
              <w:rPr>
                <w:sz w:val="20"/>
                <w:szCs w:val="20"/>
                <w:color w:val="auto"/>
              </w:rPr>
            </w:pPr>
          </w:p>
        </w:tc>
      </w:tr>
      <w:tr>
        <w:trPr>
          <w:trHeight w:val="432"/>
        </w:trPr>
        <w:tc>
          <w:tcPr>
            <w:tcW w:w="8740" w:type="dxa"/>
            <w:vAlign w:val="bottom"/>
          </w:tcPr>
          <w:p>
            <w:pPr>
              <w:jc w:val="center"/>
              <w:ind w:left="2410"/>
              <w:spacing w:after="0"/>
              <w:rPr>
                <w:sz w:val="20"/>
                <w:szCs w:val="20"/>
                <w:color w:val="auto"/>
              </w:rPr>
            </w:pPr>
            <w:r>
              <w:rPr>
                <w:rFonts w:ascii="Arial" w:cs="Arial" w:eastAsia="Arial" w:hAnsi="Arial"/>
                <w:sz w:val="18"/>
                <w:szCs w:val="18"/>
                <w:b w:val="1"/>
                <w:bCs w:val="1"/>
                <w:color w:val="auto"/>
                <w:w w:val="98"/>
              </w:rPr>
              <w:t>TABLE OF CONTENTS</w:t>
            </w:r>
          </w:p>
        </w:tc>
        <w:tc>
          <w:tcPr>
            <w:tcW w:w="2540" w:type="dxa"/>
            <w:vAlign w:val="bottom"/>
          </w:tcPr>
          <w:p>
            <w:pPr>
              <w:spacing w:after="0"/>
              <w:rPr>
                <w:sz w:val="24"/>
                <w:szCs w:val="24"/>
                <w:color w:val="auto"/>
              </w:rPr>
            </w:pPr>
          </w:p>
        </w:tc>
      </w:tr>
      <w:tr>
        <w:trPr>
          <w:trHeight w:val="432"/>
        </w:trPr>
        <w:tc>
          <w:tcPr>
            <w:tcW w:w="8740" w:type="dxa"/>
            <w:vAlign w:val="bottom"/>
          </w:tcPr>
          <w:p>
            <w:pPr>
              <w:jc w:val="center"/>
              <w:ind w:left="2410"/>
              <w:spacing w:after="0"/>
              <w:rPr>
                <w:sz w:val="20"/>
                <w:szCs w:val="20"/>
                <w:color w:val="auto"/>
              </w:rPr>
            </w:pPr>
            <w:r>
              <w:rPr>
                <w:rFonts w:ascii="Arial" w:cs="Arial" w:eastAsia="Arial" w:hAnsi="Arial"/>
                <w:sz w:val="18"/>
                <w:szCs w:val="18"/>
                <w:b w:val="1"/>
                <w:bCs w:val="1"/>
                <w:color w:val="auto"/>
                <w:w w:val="87"/>
              </w:rPr>
              <w:t>Prospectus Supplement</w:t>
            </w:r>
          </w:p>
        </w:tc>
        <w:tc>
          <w:tcPr>
            <w:tcW w:w="2540" w:type="dxa"/>
            <w:vAlign w:val="bottom"/>
          </w:tcPr>
          <w:p>
            <w:pPr>
              <w:spacing w:after="0"/>
              <w:rPr>
                <w:sz w:val="24"/>
                <w:szCs w:val="24"/>
                <w:color w:val="auto"/>
              </w:rPr>
            </w:pPr>
          </w:p>
        </w:tc>
      </w:tr>
      <w:tr>
        <w:trPr>
          <w:trHeight w:val="418"/>
        </w:trPr>
        <w:tc>
          <w:tcPr>
            <w:tcW w:w="87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THE PROSPECTUS SUPPLEMENT</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S-i</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SUPPLEMENT SUMMARY</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SPECIAL NOTE REGARDING FORWARD-LOOKING STATEMENT</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USE OF PROCEEDS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LINCOLN PARK TRANSACTION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DESCRIPTION OF CAPITAL STOCK</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PLAN OF DISTRIBUTION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LEGAL MATTERS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EXPERTS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WHERE YOU CAN FIND MORE INFORMATION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30"/>
        </w:trPr>
        <w:tc>
          <w:tcPr>
            <w:tcW w:w="87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INCORPORATION OF CERTAIN INFORMATION BY REFERENCE</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432"/>
        </w:trPr>
        <w:tc>
          <w:tcPr>
            <w:tcW w:w="8740" w:type="dxa"/>
            <w:vAlign w:val="bottom"/>
          </w:tcPr>
          <w:p>
            <w:pPr>
              <w:jc w:val="center"/>
              <w:ind w:left="2410"/>
              <w:spacing w:after="0"/>
              <w:rPr>
                <w:sz w:val="20"/>
                <w:szCs w:val="20"/>
                <w:color w:val="auto"/>
              </w:rPr>
            </w:pPr>
            <w:r>
              <w:rPr>
                <w:rFonts w:ascii="Arial" w:cs="Arial" w:eastAsia="Arial" w:hAnsi="Arial"/>
                <w:sz w:val="18"/>
                <w:szCs w:val="18"/>
                <w:b w:val="1"/>
                <w:bCs w:val="1"/>
                <w:color w:val="auto"/>
                <w:w w:val="96"/>
              </w:rPr>
              <w:t>PROSPECTUS</w:t>
            </w:r>
          </w:p>
        </w:tc>
        <w:tc>
          <w:tcPr>
            <w:tcW w:w="2540" w:type="dxa"/>
            <w:vAlign w:val="bottom"/>
          </w:tcPr>
          <w:p>
            <w:pPr>
              <w:spacing w:after="0"/>
              <w:rPr>
                <w:sz w:val="24"/>
                <w:szCs w:val="24"/>
                <w:color w:val="auto"/>
              </w:rPr>
            </w:pPr>
          </w:p>
        </w:tc>
      </w:tr>
      <w:tr>
        <w:trPr>
          <w:trHeight w:val="418"/>
        </w:trPr>
        <w:tc>
          <w:tcPr>
            <w:tcW w:w="87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ABOUT THIS PROSPECTUS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SUMMARY</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SPECIAL NOTE REGARDING FORWARD-LOOKING STATEMENTS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USE OF PROCEEDS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DESCRIPTION OF CAPITAL STOCK</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WARRANTS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OWNERSHIP OF SECURITIES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PLAN OF DISTRIBUTION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MATTERS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EXPERTS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7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7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CERTAIN INFORMATION BY REFERENCE</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8"/>
        </w:trPr>
        <w:tc>
          <w:tcPr>
            <w:tcW w:w="87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prospectus supplement and accompanying prospectus relate to the offering of our common stock. Before buying any of the common stock that we are offering, we urge you to carefully read this prospectus supplement and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prospectus supplement and accompanying prospectus describes the terms of this offering of our common stock and also adds to and updates information contained in the documents incorporated by reference into this prospectus supplement and accompanying prospectus. To the extent there is a conflict between the information contained in this prospectus supplement and accompanying prospectus, on the one hand, and the information contained in any document incorporated by reference into this prospectus supplement and accompanying prospectus that was filed with the Securities and Exchange Commission, or SEC, before the date of this prospectus supplement and accompanying prospectus, on the other hand, you should rely on the information in this prospectus supplement and accompanying prospectus. If any statement in one of these documents is inconsistent with a statement in another document having a later date (for example, a document incorporated by reference into this prospectus supplement and accompanying prospectus) the statement in the document having the later date modifies or supersedes the earlier statement.</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supplement and accompanying prospectus and in any free writing prospectus that we have authorized for use in connection with this offering. We have not, and Lincoln Park has not, authorized anyone to provide you with different information. If anyone provides you with different or inconsistent information, you should not rely on it. We are not, and Lincoln Park is not, making an offer to sell these securities in any jurisdiction where the offer or sale is not permitted. You should assume that the information appearing in this prospectus supplement and accompanying prospectus, the documents incorporated by reference in this prospectus supplement and accompanying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and accompanying prospectus, the documents incorporated by reference in this prospectus supplement and accompanying prospectus, and any free writing prospectus that we have authorized for use in connection with this offering, in their entirety before making an investment decision.</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Unless otherwise stated, all references in this prospectus supplement and the accompanying prospectus to “we,” “us,” “our,” “Aclaris,” “company” and similar designations refer, collectively, to Aclaris Therapeutics, Inc. and, where appropriate, our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This summary highlights certain information about us, this offering and selected information contained elsewhere in or incorporated by reference into this prospectus supplement and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accompanying prospectus, including the information incorporated by reference in this prospectus supplement and accompanying prospectus, and the information included in any free writing prospectus that we have authorized for use in connection with this offering, including the information under the heading “Risk Factors” in this prospectus supplement on page S-4 and in the documents incorporated by reference into this prospectus supplement and accompanying prospectus.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a clinical-stage biopharmaceutical company focused on developing novel drug candidates for immuno-inflammatory diseases. We currently have a pipeline of drug candidates focused on immuno-inflammatory diseases, as well as one product approved by the U.S. Food and Drug Administration, or FDA, that we are not currently distributing, marketing or selling, and other investigational drug candidates. In September 2019, we announced the completion of a strategic review of our business, as a result of which we refocused our resources on our immuno-inflammatory development programs. We are pursuing strategic alternatives, including identifying and consummating transactions with third-party partners, to further develop, obtain marketing approval for and/or commercialize our drug candidates and ESKATA (hydrogen peroxide) topical solution, 40% (w/w), or ESKATA, our non-marketed FDA-approved product.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supplement summary and those described under similar headings in the documents incorporated by reference into this prospectus supplement and accompanying prospectus. These risks include:</w:t>
      </w:r>
    </w:p>
    <w:p>
      <w:pPr>
        <w:spacing w:after="0" w:line="184" w:lineRule="exact"/>
        <w:rPr>
          <w:sz w:val="20"/>
          <w:szCs w:val="20"/>
          <w:color w:val="auto"/>
        </w:rPr>
      </w:pPr>
    </w:p>
    <w:p>
      <w:pPr>
        <w:ind w:left="820" w:right="60" w:hanging="488"/>
        <w:spacing w:after="0" w:line="277" w:lineRule="auto"/>
        <w:tabs>
          <w:tab w:leader="none" w:pos="78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170" w:lineRule="exact"/>
        <w:rPr>
          <w:rFonts w:ascii="Arial" w:cs="Arial" w:eastAsia="Arial" w:hAnsi="Arial"/>
          <w:sz w:val="18"/>
          <w:szCs w:val="18"/>
          <w:color w:val="auto"/>
        </w:rPr>
      </w:pPr>
    </w:p>
    <w:p>
      <w:pPr>
        <w:ind w:left="820" w:right="400" w:hanging="488"/>
        <w:spacing w:after="0" w:line="277" w:lineRule="auto"/>
        <w:tabs>
          <w:tab w:leader="none" w:pos="78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need substantial additional funding to meet our financial obligations and to pursue our business objectives. If we are unable to raise capital when needed, we could be forced to curtail our planned operations.</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is dependent on the successful development of our investigational drug candidate, ATI-450.</w:t>
      </w:r>
    </w:p>
    <w:p>
      <w:pPr>
        <w:spacing w:after="0" w:line="225" w:lineRule="exact"/>
        <w:rPr>
          <w:rFonts w:ascii="Arial" w:cs="Arial" w:eastAsia="Arial" w:hAnsi="Arial"/>
          <w:sz w:val="18"/>
          <w:szCs w:val="18"/>
          <w:color w:val="auto"/>
        </w:rPr>
      </w:pPr>
    </w:p>
    <w:p>
      <w:pPr>
        <w:ind w:left="820" w:right="700" w:hanging="488"/>
        <w:spacing w:after="0" w:line="342" w:lineRule="auto"/>
        <w:tabs>
          <w:tab w:leader="none" w:pos="784"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a limited operating history and recently changed our strategic focus to focus on the development of our immuno-inflammatory portfolio, which may make it difficult for you to evaluate the success of our business to date and to assess our future viability.</w:t>
      </w:r>
    </w:p>
    <w:p>
      <w:pPr>
        <w:spacing w:after="0" w:line="123" w:lineRule="exact"/>
        <w:rPr>
          <w:rFonts w:ascii="Arial" w:cs="Arial" w:eastAsia="Arial" w:hAnsi="Arial"/>
          <w:sz w:val="16"/>
          <w:szCs w:val="16"/>
          <w:color w:val="auto"/>
        </w:rPr>
      </w:pPr>
    </w:p>
    <w:p>
      <w:pPr>
        <w:ind w:left="820" w:hanging="488"/>
        <w:spacing w:after="0" w:line="263" w:lineRule="auto"/>
        <w:tabs>
          <w:tab w:leader="none" w:pos="784"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are unable to successfully develop our drug candidates and to pursue strategic alternatives, including identifying and consummating transactions with third-party partners, to further develop, obtain marketing approval for and/or commercialize our drug candidates, or experience significant delays in doing so, our business will be harmed.</w:t>
      </w:r>
    </w:p>
    <w:p>
      <w:pPr>
        <w:spacing w:after="0" w:line="183" w:lineRule="exact"/>
        <w:rPr>
          <w:rFonts w:ascii="Arial" w:cs="Arial" w:eastAsia="Arial" w:hAnsi="Arial"/>
          <w:sz w:val="18"/>
          <w:szCs w:val="18"/>
          <w:color w:val="auto"/>
        </w:rPr>
      </w:pPr>
    </w:p>
    <w:p>
      <w:pPr>
        <w:ind w:left="780" w:hanging="448"/>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225" w:lineRule="exact"/>
        <w:rPr>
          <w:rFonts w:ascii="Arial" w:cs="Arial" w:eastAsia="Arial" w:hAnsi="Arial"/>
          <w:sz w:val="18"/>
          <w:szCs w:val="18"/>
          <w:color w:val="auto"/>
        </w:rPr>
      </w:pPr>
    </w:p>
    <w:p>
      <w:pPr>
        <w:ind w:left="820" w:right="340" w:hanging="488"/>
        <w:spacing w:after="0" w:line="263" w:lineRule="auto"/>
        <w:tabs>
          <w:tab w:leader="none" w:pos="78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intend to pursue strategic alternatives, including identifying and consummating transactions with third-party partners, to further develop, obtain marketing approval for and/or commercialize our drug candidates. If those arrangements are not successful, we may not be able to capitalize on the market potential of these drug candidates.</w:t>
      </w:r>
    </w:p>
    <w:p>
      <w:pPr>
        <w:spacing w:after="0" w:line="183" w:lineRule="exact"/>
        <w:rPr>
          <w:rFonts w:ascii="Arial" w:cs="Arial" w:eastAsia="Arial" w:hAnsi="Arial"/>
          <w:sz w:val="18"/>
          <w:szCs w:val="18"/>
          <w:color w:val="auto"/>
        </w:rPr>
      </w:pPr>
    </w:p>
    <w:p>
      <w:pPr>
        <w:ind w:left="820" w:right="40" w:hanging="488"/>
        <w:spacing w:after="0" w:line="263" w:lineRule="auto"/>
        <w:tabs>
          <w:tab w:leader="none" w:pos="778"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has been adversely impacted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40" w:right="740"/>
        <w:spacing w:after="0" w:line="277" w:lineRule="auto"/>
        <w:rPr>
          <w:sz w:val="20"/>
          <w:szCs w:val="20"/>
          <w:color w:val="auto"/>
        </w:rPr>
      </w:pPr>
      <w:r>
        <w:rPr>
          <w:rFonts w:ascii="Arial" w:cs="Arial" w:eastAsia="Arial" w:hAnsi="Arial"/>
          <w:sz w:val="18"/>
          <w:szCs w:val="18"/>
          <w:color w:val="auto"/>
        </w:rPr>
        <w:t>adversely affect our operations, including at our headquarters and at our clinical trial sites, as well as the business or operations of our manufacturers, contract research organizations or other third parties with whom we conduct business.</w:t>
      </w:r>
    </w:p>
    <w:p>
      <w:pPr>
        <w:spacing w:after="0" w:line="170" w:lineRule="exact"/>
        <w:rPr>
          <w:sz w:val="20"/>
          <w:szCs w:val="20"/>
          <w:color w:val="auto"/>
        </w:rPr>
      </w:pPr>
    </w:p>
    <w:p>
      <w:pPr>
        <w:ind w:left="820" w:right="560" w:hanging="488"/>
        <w:spacing w:after="0" w:line="259" w:lineRule="auto"/>
        <w:tabs>
          <w:tab w:leader="none" w:pos="784"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pursue strategic alternatives, including identifying and consummating transactions with potential third-party partners, to commercialize our technology and drug candidates may be impaired.</w:t>
      </w:r>
    </w:p>
    <w:p>
      <w:pPr>
        <w:spacing w:after="0" w:line="186" w:lineRule="exact"/>
        <w:rPr>
          <w:rFonts w:ascii="Arial" w:cs="Arial" w:eastAsia="Arial" w:hAnsi="Arial"/>
          <w:sz w:val="18"/>
          <w:szCs w:val="18"/>
          <w:color w:val="auto"/>
        </w:rPr>
      </w:pPr>
    </w:p>
    <w:p>
      <w:pPr>
        <w:ind w:left="820" w:right="60" w:hanging="488"/>
        <w:spacing w:after="0" w:line="277" w:lineRule="auto"/>
        <w:tabs>
          <w:tab w:leader="none" w:pos="78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drugs before or more successfully than we do.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were incorporated under the laws of the State of Delaware in July 2012. Our principal executive offices are located at 640 Lee Road, Suite 200, Wayne, PA 19087. Our telephone number is (484) 324-7933. Our common stock is listed on the Exchange under the symbol “ACRS.”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internet website address is www.aclaristx.com. The information contained on our website is not incorporated by reference into this prospectus supplement, and you should not consider any information contained on, or that can be accessed through, our website as part of this prospectus supplement or in deciding whether to purchase our securities.</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“Aclaris”, the Aclaris logo, ESKATA, KINECT and THWART and our other trademarks or service marks appearing in this prospectus supplement or incorporated herein by reference are our property. This prospectus supplement and the information incorporated herein by reference contains additional trade names, trademarks and service marks of others, which are the property of their respective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7" w:lineRule="exact"/>
        <w:rPr>
          <w:sz w:val="20"/>
          <w:szCs w:val="20"/>
          <w:color w:val="auto"/>
        </w:rPr>
      </w:pPr>
    </w:p>
    <w:p>
      <w:pPr>
        <w:ind w:left="1260" w:hanging="604"/>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46" w:lineRule="exact"/>
        <w:rPr>
          <w:rFonts w:ascii="Arial" w:cs="Arial" w:eastAsia="Arial" w:hAnsi="Arial"/>
          <w:sz w:val="16"/>
          <w:szCs w:val="16"/>
          <w:color w:val="auto"/>
        </w:rPr>
      </w:pPr>
    </w:p>
    <w:p>
      <w:pPr>
        <w:ind w:left="660" w:hanging="4"/>
        <w:spacing w:after="0" w:line="281" w:lineRule="auto"/>
        <w:tabs>
          <w:tab w:leader="none" w:pos="1272"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16"/>
          <w:szCs w:val="16"/>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9" w:lineRule="exact"/>
        <w:rPr>
          <w:rFonts w:ascii="Arial" w:cs="Arial" w:eastAsia="Arial" w:hAnsi="Arial"/>
          <w:sz w:val="18"/>
          <w:szCs w:val="18"/>
          <w:color w:val="auto"/>
        </w:rPr>
      </w:pPr>
    </w:p>
    <w:p>
      <w:pPr>
        <w:ind w:left="660" w:right="300" w:hanging="4"/>
        <w:spacing w:after="0" w:line="260" w:lineRule="auto"/>
        <w:tabs>
          <w:tab w:leader="none" w:pos="1272"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December 31, 2020.</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are subject to the same new or revised accounting standards as other public companies that are not emerging growth companies.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40"/>
          </w:cols>
          <w:pgMar w:left="320" w:top="125"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color w:val="auto"/>
        </w:rPr>
        <w:t>· 121,584 shares of our common stock being issued to Lincoln Park as consideration for its commitment to purchase shares of our common stock under the Purchase Agreement, or the Commitment Shares. We will not receive any cash proceeds from the issuance of these Commitment Shares.</w:t>
      </w:r>
    </w:p>
    <w:p>
      <w:pPr>
        <w:spacing w:after="0" w:line="140" w:lineRule="exact"/>
        <w:rPr>
          <w:sz w:val="20"/>
          <w:szCs w:val="20"/>
          <w:color w:val="auto"/>
        </w:rPr>
      </w:pPr>
    </w:p>
    <w:p>
      <w:pPr>
        <w:sectPr>
          <w:pgSz w:w="11900" w:h="16838" w:orient="portrait"/>
          <w:cols w:equalWidth="0" w:num="2">
            <w:col w:w="5020" w:space="720"/>
            <w:col w:w="5500"/>
          </w:cols>
          <w:pgMar w:left="320" w:top="125" w:right="33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  Up to $15,000,000 of shares of our common stock we may sell to Lincoln</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Park from time to time over the next 36 months, at our sole discretion, in</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accordance with the Purchase Agreement.</w:t>
      </w:r>
    </w:p>
    <w:p>
      <w:pPr>
        <w:sectPr>
          <w:pgSz w:w="11900" w:h="16838" w:orient="portrait"/>
          <w:cols w:equalWidth="0" w:num="1">
            <w:col w:w="11240"/>
          </w:cols>
          <w:pgMar w:left="320" w:top="125"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49,630,880 shares, assuming sale of 6,818,182 shares at a price of $2.20 per share, which was the closing price of our common stock on the Exchange on August 12, 2020. The actual number of shares issued will vary depending on the sales prices under this offering, but will not be greater than 8,544,555 shares, representing 19.99% of the shares of our common stock outstanding on the date of the Purchase Agreement, unless in accordance with Nasdaq Market rules.</w:t>
      </w:r>
    </w:p>
    <w:p>
      <w:pPr>
        <w:spacing w:after="0" w:line="177" w:lineRule="exact"/>
        <w:rPr>
          <w:sz w:val="20"/>
          <w:szCs w:val="20"/>
          <w:color w:val="auto"/>
        </w:rPr>
      </w:pPr>
    </w:p>
    <w:p>
      <w:pPr>
        <w:sectPr>
          <w:pgSz w:w="11900" w:h="16838" w:orient="portrait"/>
          <w:cols w:equalWidth="0" w:num="2">
            <w:col w:w="5020" w:space="720"/>
            <w:col w:w="5500"/>
          </w:cols>
          <w:pgMar w:left="320" w:top="125" w:right="3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0"/>
        <w:spacing w:after="0" w:line="311" w:lineRule="auto"/>
        <w:rPr>
          <w:sz w:val="20"/>
          <w:szCs w:val="20"/>
          <w:color w:val="auto"/>
        </w:rPr>
      </w:pPr>
      <w:r>
        <w:rPr>
          <w:rFonts w:ascii="Arial" w:cs="Arial" w:eastAsia="Arial" w:hAnsi="Arial"/>
          <w:sz w:val="16"/>
          <w:szCs w:val="16"/>
          <w:color w:val="auto"/>
        </w:rPr>
        <w:t>We currently intend to use any proceeds that we receive from sales to Lincoln Park under the Purchase Agreement for general corporate purposes. See “Use of Proceeds” on page S-6 of this prospectus supplement.</w:t>
      </w:r>
    </w:p>
    <w:p>
      <w:pPr>
        <w:spacing w:after="0" w:line="149" w:lineRule="exact"/>
        <w:rPr>
          <w:sz w:val="20"/>
          <w:szCs w:val="20"/>
          <w:color w:val="auto"/>
        </w:rPr>
      </w:pPr>
    </w:p>
    <w:p>
      <w:pPr>
        <w:sectPr>
          <w:pgSz w:w="11900" w:h="16838" w:orient="portrait"/>
          <w:cols w:equalWidth="0" w:num="2">
            <w:col w:w="5020" w:space="720"/>
            <w:col w:w="550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Investing in our common stock involves significant risks. See “Risk Factors” on page S-4 of this prospectus supplement, and under similar headings in other documents incorporated by reference into this prospectus supplement and accompanying prospectus.</w:t>
      </w:r>
    </w:p>
    <w:p>
      <w:pPr>
        <w:spacing w:after="0" w:line="187" w:lineRule="exact"/>
        <w:rPr>
          <w:sz w:val="20"/>
          <w:szCs w:val="20"/>
          <w:color w:val="auto"/>
        </w:rPr>
      </w:pPr>
    </w:p>
    <w:p>
      <w:pPr>
        <w:sectPr>
          <w:pgSz w:w="11900" w:h="16838" w:orient="portrait"/>
          <w:cols w:equalWidth="0" w:num="2">
            <w:col w:w="5020" w:space="720"/>
            <w:col w:w="550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“ACRS”</w:t>
      </w:r>
    </w:p>
    <w:p>
      <w:pPr>
        <w:spacing w:after="0" w:line="200" w:lineRule="exact"/>
        <w:rPr>
          <w:sz w:val="20"/>
          <w:szCs w:val="20"/>
          <w:color w:val="auto"/>
        </w:rPr>
      </w:pPr>
    </w:p>
    <w:p>
      <w:pPr>
        <w:sectPr>
          <w:pgSz w:w="11900" w:h="16838" w:orient="portrait"/>
          <w:cols w:equalWidth="0" w:num="2">
            <w:col w:w="5020" w:space="720"/>
            <w:col w:w="550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our common stock to be outstanding after this offering is based on 42,691,114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adjusted to include the issuance of 121,584 Commitment Shares being issued to Lincoln Park, and excludes:</w:t>
      </w:r>
    </w:p>
    <w:p>
      <w:pPr>
        <w:spacing w:after="0" w:line="211" w:lineRule="exact"/>
        <w:rPr>
          <w:sz w:val="20"/>
          <w:szCs w:val="20"/>
          <w:color w:val="auto"/>
        </w:rPr>
      </w:pPr>
    </w:p>
    <w:p>
      <w:pPr>
        <w:ind w:left="660" w:right="80" w:hanging="4"/>
        <w:spacing w:after="0" w:line="277" w:lineRule="auto"/>
        <w:tabs>
          <w:tab w:leader="none" w:pos="1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3,279,799 shares of our common stock issuable upon the exercise of stock options outstanding as of June 30, 2020, at a weighted average exercise price of $15.90 per share;</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2,528,401 shares of common stock subject to restricted stock units outstanding as of June 30, 2020; and</w:t>
      </w:r>
    </w:p>
    <w:p>
      <w:pPr>
        <w:spacing w:after="0" w:line="225" w:lineRule="exact"/>
        <w:rPr>
          <w:rFonts w:ascii="Arial" w:cs="Arial" w:eastAsia="Arial" w:hAnsi="Arial"/>
          <w:sz w:val="18"/>
          <w:szCs w:val="18"/>
          <w:color w:val="auto"/>
        </w:rPr>
      </w:pPr>
    </w:p>
    <w:p>
      <w:pPr>
        <w:ind w:left="660" w:right="80" w:hanging="4"/>
        <w:spacing w:after="0" w:line="277" w:lineRule="auto"/>
        <w:tabs>
          <w:tab w:leader="none" w:pos="1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aggregate of 1,922,147 shares of common stock reserved for future issuance under our 2015 equity incentive plan as of June 30, 2020, plus any additional shares of our common stock that may become available under our 2015 equity incentive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0"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Investing in our securities involves a high degree of risk. You should carefully review the risks and uncertainties described below and under the section </w:t>
      </w:r>
      <w:hyperlink r:id="rId20">
        <w:r>
          <w:rPr>
            <w:rFonts w:ascii="Arial" w:cs="Arial" w:eastAsia="Arial" w:hAnsi="Arial"/>
            <w:sz w:val="16"/>
            <w:szCs w:val="16"/>
            <w:i w:val="1"/>
            <w:iCs w:val="1"/>
            <w:color w:val="auto"/>
          </w:rPr>
          <w:t xml:space="preserve">titled “Risk Factors” in our Annual Report on Form </w:t>
        </w:r>
        <w:r>
          <w:rPr>
            <w:rFonts w:ascii="Arial" w:cs="Arial" w:eastAsia="Arial" w:hAnsi="Arial"/>
            <w:sz w:val="16"/>
            <w:szCs w:val="16"/>
            <w:i w:val="1"/>
            <w:iCs w:val="1"/>
            <w:u w:val="single" w:color="auto"/>
            <w:color w:val="0000EE"/>
          </w:rPr>
          <w:t>10-K for the fiscal year ended December 31, 2019</w:t>
        </w:r>
        <w:r>
          <w:rPr>
            <w:rFonts w:ascii="Arial" w:cs="Arial" w:eastAsia="Arial" w:hAnsi="Arial"/>
            <w:sz w:val="16"/>
            <w:szCs w:val="16"/>
            <w:i w:val="1"/>
            <w:iCs w:val="1"/>
            <w:color w:val="auto"/>
          </w:rPr>
          <w:t xml:space="preserve"> and in our Quarterly Report on </w:t>
        </w:r>
        <w:r>
          <w:rPr>
            <w:rFonts w:ascii="Arial" w:cs="Arial" w:eastAsia="Arial" w:hAnsi="Arial"/>
            <w:sz w:val="16"/>
            <w:szCs w:val="16"/>
            <w:i w:val="1"/>
            <w:iCs w:val="1"/>
            <w:u w:val="single" w:color="auto"/>
            <w:color w:val="0000EE"/>
          </w:rPr>
          <w:t>Form 10-Q for the</w:t>
        </w:r>
      </w:hyperlink>
      <w:r>
        <w:rPr>
          <w:rFonts w:ascii="Arial" w:cs="Arial" w:eastAsia="Arial" w:hAnsi="Arial"/>
          <w:sz w:val="16"/>
          <w:szCs w:val="16"/>
          <w:i w:val="1"/>
          <w:iCs w:val="1"/>
          <w:color w:val="auto"/>
        </w:rPr>
        <w:t xml:space="preserve"> </w:t>
      </w:r>
      <w:hyperlink r:id="rId20">
        <w:r>
          <w:rPr>
            <w:rFonts w:ascii="Arial" w:cs="Arial" w:eastAsia="Arial" w:hAnsi="Arial"/>
            <w:sz w:val="16"/>
            <w:szCs w:val="16"/>
            <w:i w:val="1"/>
            <w:iCs w:val="1"/>
            <w:u w:val="single" w:color="auto"/>
            <w:color w:val="0000EE"/>
          </w:rPr>
          <w:t>quarter ended June 30, 2020</w:t>
        </w:r>
        <w:r>
          <w:rPr>
            <w:rFonts w:ascii="Arial" w:cs="Arial" w:eastAsia="Arial" w:hAnsi="Arial"/>
            <w:sz w:val="16"/>
            <w:szCs w:val="16"/>
            <w:i w:val="1"/>
            <w:iCs w:val="1"/>
            <w:color w:val="000000"/>
          </w:rPr>
          <w:t>, as updated by our annual, quarterly and other reports and documents that are incorporated by reference into this prospectus</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supplement and accompanying prospectus, before deciding whether to purchase any of the securities being registered pursuant to the registration statement of which this prospectus supplement and accompanying prospectus are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13, 2020, we entered into the Purchase Agreement with Lincoln Park, pursuant to which Lincoln Park has committed to purchase up to $15,000,000 of our common stock. Upon the filing of this prospectus supplement, we are issuing 121,584 Commitment Shares to Lincoln Park as a fee for its commitment to purchase shares of our common stock under the Purchase Agreement. The remaining shares of our common stock that may be issued under the Purchase Agreement may be sold by us to Lincoln Park at our discretion from time to time over a 36-month period commencing after the satisfaction of certain conditions set forth in the Purchase Agreement, including that the registration statement that includes this prospectus supplement and accompanying prospectus is effective. The purchase price for the shares that we may sell to Lincoln Park under the Purchase Agreement will fluctuate based on the price of our common stock. Depending on market liquidity at the time, sales of such shares may cause the trading price of our common stock to fall.</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generally have the right to control the timing and amount of any future sales of our shares to Lincoln Park. Additional sales of our common stock, if any, to Lincoln Park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1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currently intend to use the net proceeds from this offering for general corporate purposes.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prospectus supplement and accompanying prospectus and the documents incorporated by reference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incorporated by reference from our most recent Annual Report on Form 10-K and Quarterly Report on Form 10-Q, as well as any amendments thereto, filed with the SEC.</w:t>
      </w:r>
    </w:p>
    <w:p>
      <w:pPr>
        <w:spacing w:after="0" w:line="17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Any statements in this prospectus supplement and accompanying prospectus, or incorporated herein, about our expectations, beliefs, plans, objectives, assumptions or future events or performance are not historical facts and are forward-looking statements. Within the meaning of Section 27A of the Securities Act and Section 21E of the Securities Exchange Act of 1934, as amended, or the Exchange Act, these forward-looking statements include statements regarding:</w:t>
      </w:r>
    </w:p>
    <w:p>
      <w:pPr>
        <w:spacing w:after="0" w:line="18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develop our drug candidates;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planned clinical trials of our drug candidates and the reporting of the results from these trials;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clinical utility of our drug candidates;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and expectations related to manufacturing capabilities and strategy;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coverage and reimbursement of our drug candidates, if approved;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regulatory filings and approvals for our drug candidates;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9" w:lineRule="exact"/>
        <w:rPr>
          <w:rFonts w:ascii="Arial" w:cs="Arial" w:eastAsia="Arial" w:hAnsi="Arial"/>
          <w:sz w:val="18"/>
          <w:szCs w:val="18"/>
          <w:color w:val="auto"/>
        </w:rPr>
      </w:pPr>
    </w:p>
    <w:p>
      <w:pPr>
        <w:ind w:left="660" w:right="60" w:hanging="328"/>
        <w:spacing w:after="0" w:line="265"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plans to pursue strategic alternatives, including identifying and consummating transactions with third-party partners, to further develop, obtain marketing approval for and/or commercialize our drug candidates and ESKATA, and earn revenue from such arrangements;</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continued reliance on third parties;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use of capital;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future revenue, expenses and needs for additional financing;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intended use of proceeds from this offering.</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You should refer to the “Risk Factors” section contained in this prospectus supplement and accompanying prospectus and any related free writing prospectus, and under similar headings in the other documents that are incorporated by reference into this prospectus supplement and accompanying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supplement and accompanying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Except as required by law, we assume no obligation to update these forward-looking statements publicly, or to revise any forward-looking statements to reflect events or developments occurring after the date of this prospectus supplement, even if new information becomes available in the future.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may receive up to $15,000,000 in aggregate gross proceeds under the Purchase Agreement from any sales we make to Lincoln Park pursuant to the Purchase Agreement after the date of this prospectus supplement. We estimate that the net proceeds to us from the sale of our common stock to Lincoln Park pursuant to the Purchase Agreement will be up to $14.9 million over an approximately 36-month period, assuming that we sell the full amount of our common stock that we have the right, but not the obligation, to sell to Lincoln Park under the Purchase Agreement, and after other estimated fees and expenses. We may sell fewer than all of the shares offered by this prospectus supplement, in which case our net offering proceeds will be less. Because we are not obligated to sell any shares of our common stock under the Purchase Agreement, other than the Commitment Shares, the actual total offering amount and proceeds to us, if any, are not determinable at this time. There can be no assurance that we will receive any proceeds under or fully utilize the Purchase Agreement. See “Plan of Distribution” elsewhere in this prospectus supplement for more information.</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intend to use the net proceeds of this offering for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 Pending these uses, we expect to invest the net proceeds in short-term, interest bearing obligations, certificates of deposit or direct or guaranteed obligations of the United States.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LINCOLN PARK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13, 2020, we entered into the Purchase Agreement with Lincoln Park. In connection with the Purchase Agreement, on August 13, 2020, we also entered into a registration rights agreement, or the Registration Rights Agreement, with Lincoln Park, pursuant to which we agreed to take specified actions to maintain the registration of the shares of our common stock subject to the offering described in this prospectus supplement and accompanying prospectus. Pursuant to the terms of the Purchase Agreement, Lincoln Park has agreed to purchase from us up to $15,000,000 of our common stock (subject to certain limitations) from time to time during the term of the Purchase Agreement. Pursuant to the terms of the Purchase Agreement and Registration Rights Agreement, we have filed with the SEC this prospectus supplement regarding the sale under the Securities Act of the shares issuable to Lincoln Park under the Purchase Agreement. Pursuant to the terms of the Purchase Agreement, on the date of this prospectus supplement, we are issuing 121,584 Commitment Shares to Lincoln Park as consideration for its commitment to purchase shares of our common stock under the Purchase Agreement.</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may, from time to time and at our sole discretion, direct Lincoln Park to purchase shares of our common stock upon the satisfaction of certain conditions set forth in the Purchase Agreement at a purchase price per share based on the market price of our common stock at the time of sale as computed under the Purchase Agreement. Lincoln Park may not assign or transfer its rights and obligations under the Purchase Agreement.</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applicable rules of the Exchange, in no event may we issue or sell to Lincoln Park under the Purchase Agreement shares of our common stock in excess of 8,544,555 shares (including the Commitment Shares), which represents 19.99% of the shares of our common stock outstanding immediately prior to the execution of the Purchase Agreement, or the Exchange Cap, unless (i) we obtain stockholder approval to issue shares of our common stock in excess of the Exchange Cap or (ii) the average price of all applicable sales of our common stock to Lincoln Park under the Purchase Agreement equals or exceeds $2.1912 per share (which represents the average of the official closing prices of our common stock on Nasdaq for the five trading days immediately preceding the signing of the Purchase Agreement), such that the transactions contemplated by the Purchase Agreement are exempt from the Exchange Cap limitation under applicable Nasdaq rules. In any event, the Purchase Agreement specifically provides that we may not issue or sell any shares of our common stock under the Purchase Agreement if such issuance or sale would breach any applicable rules or regulations of the Exchange.</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Purchase Agreement also prohibits us from directing Lincoln Park to purchase any shares of our common stock if those shares, when aggregated with all other shares of our common stock then beneficially owned by Lincoln Park, would result in Lincoln Park and its affiliates exceeding the Beneficial Ownership Limitation (as defined in the Purchase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Shares under the Purchase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Regular Purchases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Purchase Agreement, on any business day selected by us, if the closing sale price of our common stock on Nasdaq is not below $0.25, we may direct Lincoln Park to purchase up to 100,000 shares of our common stock on such business day (or the purchase date), which we refer to as a Regular Purchase, provided, however, that (i) a Regular Purchase may be increased to up to 125,000 shares if the closing sale price of our common stock on Nasdaq is not below $1.50 on the applicable purchase date, (ii) a Regular Purchase may be increased to up to 200,000 shares if the closing sale price of our common stock on Nasdaq is not below $2.50 on the applicable purchase date and (iii) a Regular Purchase may be increased to up to 250,000 shares, if the closing sale price of our common stock on Nasdaq is not below $3.00 on the applicable purchase date. In each case, upon the parties mutual agreement, the maximum amount of any single Regular Purchase may be increased up to $2,000,000 of shares. We may direct Lincoln Park to purchase shares in Regular Purchases as often as every business day. The foregoing share amounts and per share prices will be adjusted for any reorganization, recapitalization, non-cash dividend, stock split, reverse stock split or other similar transaction occurring after the date of the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per share for each such Regular Purchase will be equal to the lesser of:</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lowest sale price for our common stock on Nasdaq on the purchase date of such shares; and</w:t>
      </w:r>
    </w:p>
    <w:p>
      <w:pPr>
        <w:spacing w:after="0" w:line="225" w:lineRule="exact"/>
        <w:rPr>
          <w:rFonts w:ascii="Arial" w:cs="Arial" w:eastAsia="Arial" w:hAnsi="Arial"/>
          <w:sz w:val="18"/>
          <w:szCs w:val="18"/>
          <w:color w:val="auto"/>
        </w:rPr>
      </w:pPr>
    </w:p>
    <w:p>
      <w:pPr>
        <w:ind w:left="700" w:right="80" w:hanging="368"/>
        <w:spacing w:after="0" w:line="277"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average of the three lowest closing sale prices for our common stock on Nasdaq during the 10 consecutive business days prior to the purchase date of such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Purchases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may also direct Lincoln Park, on any business day on which we have properly submitted a Regular Purchase notice for the maximum amount allowed for such Regular Purchase and the closing sale price of our common stock on Nasdaq is not below $0.50 (subject to adjustment as described above), to purchase an additional amount of our common stock, which we refer to as an Accelerated Purchase, of up to the lesser of:</w:t>
      </w:r>
    </w:p>
    <w:p>
      <w:pPr>
        <w:spacing w:after="0" w:line="16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times the number of shares purchased pursuant to such Regular Purchase; and</w:t>
      </w:r>
    </w:p>
    <w:p>
      <w:pPr>
        <w:spacing w:after="0" w:line="225" w:lineRule="exact"/>
        <w:rPr>
          <w:rFonts w:ascii="Arial" w:cs="Arial" w:eastAsia="Arial" w:hAnsi="Arial"/>
          <w:sz w:val="18"/>
          <w:szCs w:val="18"/>
          <w:color w:val="auto"/>
        </w:rPr>
      </w:pPr>
    </w:p>
    <w:p>
      <w:pPr>
        <w:ind w:left="700" w:right="20" w:hanging="368"/>
        <w:spacing w:after="0" w:line="259"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of the aggregate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per share for each such Accelerated Purchase will be equal to 97% of the lower of:</w:t>
      </w:r>
    </w:p>
    <w:p>
      <w:pPr>
        <w:spacing w:after="0" w:line="225" w:lineRule="exact"/>
        <w:rPr>
          <w:sz w:val="20"/>
          <w:szCs w:val="20"/>
          <w:color w:val="auto"/>
        </w:rPr>
      </w:pPr>
    </w:p>
    <w:p>
      <w:pPr>
        <w:ind w:left="700" w:right="420" w:hanging="368"/>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volume-weighted average price of our common stock on Nasdaq during the applicable Accelerated Purchase Measurement Period on the applicable Accelerated Purchase date;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closing sale price of our common stock on Nasdaq on the applicable Accelerated Purchase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Accelerated Purchases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may also direct Lincoln Park on any business day on which an Accelerated Purchase has been completed and all of the shares to be purchased thereunder have been properly delivered to Lincoln Park in accordance with the Purchase Agreement, provided that the closing price of our common stock on the business day immediately preceding such business day is not below $0.50 (subject to adjustment as described above), to purchase an additional amount of our common stock, which we refer to as an Additional Accelerated Purchase, of up to the lesser of:</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times the number of shares purchased pursuant to the applicable corresponding Regular Purchase; and</w:t>
      </w:r>
    </w:p>
    <w:p>
      <w:pPr>
        <w:spacing w:after="0" w:line="225" w:lineRule="exact"/>
        <w:rPr>
          <w:rFonts w:ascii="Arial" w:cs="Arial" w:eastAsia="Arial" w:hAnsi="Arial"/>
          <w:sz w:val="18"/>
          <w:szCs w:val="18"/>
          <w:color w:val="auto"/>
        </w:rPr>
      </w:pPr>
    </w:p>
    <w:p>
      <w:pPr>
        <w:ind w:left="700" w:right="600" w:hanging="368"/>
        <w:spacing w:after="0" w:line="286" w:lineRule="auto"/>
        <w:tabs>
          <w:tab w:leader="none" w:pos="666" w:val="left"/>
        </w:tabs>
        <w:numPr>
          <w:ilvl w:val="0"/>
          <w:numId w:val="9"/>
        </w:numPr>
        <w:rPr>
          <w:rFonts w:ascii="Arial" w:cs="Arial" w:eastAsia="Arial" w:hAnsi="Arial"/>
          <w:sz w:val="17"/>
          <w:szCs w:val="17"/>
          <w:color w:val="auto"/>
        </w:rPr>
      </w:pPr>
      <w:r>
        <w:rPr>
          <w:rFonts w:ascii="Arial" w:cs="Arial" w:eastAsia="Arial" w:hAnsi="Arial"/>
          <w:sz w:val="17"/>
          <w:szCs w:val="17"/>
          <w:color w:val="auto"/>
        </w:rPr>
        <w:t>30% of the aggregate shares of our common stock traded on Nasdaq during a certain portion of the normal trading hours on the applicable Additional Accelerated Purchase date as determined in accordance with the Purchase Agreement, which period of time on the applicable Additional Accelerated Purchase date we refer to as the Additional Accelerated Purchase Measurement Period.</w:t>
      </w:r>
    </w:p>
    <w:p>
      <w:pPr>
        <w:spacing w:after="0" w:line="16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may, in our sole discretion, submit multiple Additional Accelerated Purchase notices to Lincoln Park on a single Accelerated Purchase date, provided that all prior Accelerated Purchases and Additional Accelerated Purchases (including those that have occurred earlier on the same day) have been completed and all of the shares to be purchased thereunder have been properly delivered to Lincoln Park in accordance with the Purchase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per share for each such Additional Accelerated Purchase will be equal to 97% of the lower of:</w:t>
      </w:r>
    </w:p>
    <w:p>
      <w:pPr>
        <w:spacing w:after="0" w:line="225" w:lineRule="exact"/>
        <w:rPr>
          <w:sz w:val="20"/>
          <w:szCs w:val="20"/>
          <w:color w:val="auto"/>
        </w:rPr>
      </w:pPr>
    </w:p>
    <w:p>
      <w:pPr>
        <w:ind w:left="700" w:right="100" w:hanging="368"/>
        <w:spacing w:after="0" w:line="277" w:lineRule="auto"/>
        <w:tabs>
          <w:tab w:leader="none" w:pos="6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volume-weighted average price of our common stock on Nasdaq during the applicable Additional Accelerated Purchase Measurement Period on the applicable Additional Accelerated Purchase date;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closing sale price of our common stock on Nasdaq on the applicable Additional Accelerated Purchase date.</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8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Other than as described above, there are no trading volume requirements or restrictions under the Purchase Agreement, and we will control the timing and amount of any sales of our common stock to Lincoln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Events of default under the Purchase Agreement include the following:</w:t>
      </w:r>
    </w:p>
    <w:p>
      <w:pPr>
        <w:spacing w:after="0" w:line="225" w:lineRule="exact"/>
        <w:rPr>
          <w:sz w:val="20"/>
          <w:szCs w:val="20"/>
          <w:color w:val="auto"/>
        </w:rPr>
      </w:pPr>
    </w:p>
    <w:p>
      <w:pPr>
        <w:ind w:left="700" w:hanging="368"/>
        <w:spacing w:after="0" w:line="301"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effectiveness of the registration statement of which this prospectus supplement and accompanying prospectus form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 but excluding a lapse or unavailability where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right="60" w:firstLine="1"/>
        <w:spacing w:after="0" w:line="296" w:lineRule="auto"/>
        <w:tabs>
          <w:tab w:leader="none" w:pos="935" w:val="left"/>
        </w:tabs>
        <w:numPr>
          <w:ilvl w:val="1"/>
          <w:numId w:val="12"/>
        </w:numPr>
        <w:rPr>
          <w:rFonts w:ascii="Arial" w:cs="Arial" w:eastAsia="Arial" w:hAnsi="Arial"/>
          <w:sz w:val="16"/>
          <w:szCs w:val="16"/>
          <w:color w:val="auto"/>
        </w:rPr>
      </w:pPr>
      <w:r>
        <w:rPr>
          <w:rFonts w:ascii="Arial" w:cs="Arial" w:eastAsia="Arial" w:hAnsi="Arial"/>
          <w:sz w:val="16"/>
          <w:szCs w:val="16"/>
          <w:color w:val="auto"/>
        </w:rPr>
        <w:t>we terminate a registration statement after Lincoln Park has confirmed in writing that all of the shares of our common stock covered thereby have been resold or (ii) we supersede one registration statement with another registration statement, including (without limitation) by terminating a prior registration statement when it is effectively replaced with a new registration statement covering the shares of our common stock covered by the Purchase Agreement (provided in the case of this clause (ii) that all of the shares of our common stock covered by the superseded (or terminated) registration statement that have not theretofore been resold are included in the superseding (or new) registration statement);</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 by the principal market of our common stock from trading for a period of one business day;</w:t>
      </w:r>
    </w:p>
    <w:p>
      <w:pPr>
        <w:spacing w:after="0" w:line="225" w:lineRule="exact"/>
        <w:rPr>
          <w:rFonts w:ascii="Arial" w:cs="Arial" w:eastAsia="Arial" w:hAnsi="Arial"/>
          <w:sz w:val="18"/>
          <w:szCs w:val="18"/>
          <w:color w:val="auto"/>
        </w:rPr>
      </w:pPr>
    </w:p>
    <w:p>
      <w:pPr>
        <w:ind w:left="700" w:right="520" w:hanging="368"/>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de-listing of our common stock from the Nasdaq Global Select Market, our principal market, unless our common stock is immediately thereafter trading on the Nasdaq Global Market, the New York Stock Exchange, the Nasdaq Capital Market, the NYSE American, the OTC Bulletin Board or the OTC Markets (or any other comparable market);</w:t>
      </w:r>
    </w:p>
    <w:p>
      <w:pPr>
        <w:spacing w:after="0" w:line="183" w:lineRule="exact"/>
        <w:rPr>
          <w:rFonts w:ascii="Arial" w:cs="Arial" w:eastAsia="Arial" w:hAnsi="Arial"/>
          <w:sz w:val="18"/>
          <w:szCs w:val="18"/>
          <w:color w:val="auto"/>
        </w:rPr>
      </w:pPr>
    </w:p>
    <w:p>
      <w:pPr>
        <w:jc w:val="both"/>
        <w:ind w:left="700" w:right="340" w:hanging="368"/>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for any reason by our transfer agent to issue shares of our common stock to Lincoln Park within one business day after any Regular Purchase date, Accelerated Purchase date or Additional Accelerated Purchase date, as applicable, on which Lincoln Park is entitled to receive such shares;</w:t>
      </w:r>
    </w:p>
    <w:p>
      <w:pPr>
        <w:spacing w:after="0" w:line="183" w:lineRule="exact"/>
        <w:rPr>
          <w:rFonts w:ascii="Arial" w:cs="Arial" w:eastAsia="Arial" w:hAnsi="Arial"/>
          <w:sz w:val="18"/>
          <w:szCs w:val="18"/>
          <w:color w:val="auto"/>
        </w:rPr>
      </w:pPr>
    </w:p>
    <w:p>
      <w:pPr>
        <w:ind w:left="700" w:hanging="368"/>
        <w:spacing w:after="0" w:line="255"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breach of the representations, warranties, covenants or other terms or conditions contained in the Purchase Agreement or Registration Rights Agreement that has or could have a Material Adverse Effect (as defined in the Purchase Agreement) and, in the case of a breach of a covenant that is reasonably curable, that is not cured within a period of at least five business days;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common stock ceases to be DTC authorized and ceases to participate in the DWAC/FAST systems;</w:t>
      </w:r>
    </w:p>
    <w:p>
      <w:pPr>
        <w:spacing w:after="0" w:line="210" w:lineRule="exact"/>
        <w:rPr>
          <w:rFonts w:ascii="Arial" w:cs="Arial" w:eastAsia="Arial" w:hAnsi="Arial"/>
          <w:sz w:val="18"/>
          <w:szCs w:val="18"/>
          <w:color w:val="auto"/>
        </w:rPr>
      </w:pPr>
    </w:p>
    <w:p>
      <w:pPr>
        <w:ind w:left="700" w:right="180" w:hanging="368"/>
        <w:spacing w:after="0" w:line="277"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at any time the Exchange Cap is reached and our stockholders have not approved the transactions contemplated by the Purchase Agreement in accordance with the applicable rules and regulations of the Exchange, to the extent applicable;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voluntary or involuntary participation or threatened participation in insolvency or bankruptcy proceedings by or against us.</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Lincoln Park does not have the right to terminate the Purchase Agreement upon any of the events of default set forth above, however, the Purchase Agreement will automatically terminate upon initiation of insolvency or bankruptcy proceedings by or against us. During an event of default, all of which are outside of Lincoln Park’s control, we may not direct Lincoln Park to purchase any shares of our common stock under the Purchase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Termination Rights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the unconditional right, at any time, for any reason and without any payment or liability to us, to give notice to Lincoln Park to terminate the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Short-Selling or Hedging by Lincoln Park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Lincoln Park has agreed that neither it nor any of its affiliates shall engage in any direct or indirect short-selling or hedging of our common stock during any time prior to the termination of the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Financings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Subject to specified exceptions included in the Purchase Agreement, we are limited in our ability to enter into any new “equity line” or similar transaction whereby an investor is irrevocably bound to purchase securities over a period of time from the Company at a price based on the market price of the Common Stock at the time of such purchase.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Performance of the Purchase Agreement on our Stockholders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All shares registered in this offering that have been or may be issued or sold by us to Lincoln Park under the Purchase Agreement are expected to be freely tradable. Shares registered in this offering may be sold over a period of up to 36 months commencing on the date of this prospectus supplement. The sale by Lincoln Park of a significant amount of shares registered in this offering at any given time could cause the market price of our common stock to decline and to be highly volatile. Sales of our common stock to Lincoln Park, if any,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has acquired the shares, Lincoln Park may resell all, some or none of those shares at any time or from time to time in its discretion. Therefore, sales to Lincoln Park by us under the Purchase Agreement may result in substantial dilution to the interests of other holders of our common stock. In addition, if we sell a substantial number of shares to Lincoln Park under the Purchase Agreement, or if investors expect that we will do so, the actual sales of shares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shares to Lincoln Park and the Purchase Agreement may be terminated by us at any time at our discretion without any cost to us.</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Pursuant to the terms of the Purchase Agreement, we have the right, but not the obligation, to direct Lincoln Park to purchase up to $15,000,000 of our common stock, exclusive of the 121,584 Commitment Shares being issued to Lincoln Park as consideration for its commitment to purchase shares of our common stock under the Purchase Agreement. The Purchase Agreement prohibits us from issuing or selling to Lincoln Park under the Purchase Agreement</w:t>
      </w:r>
    </w:p>
    <w:p>
      <w:pPr>
        <w:spacing w:after="0" w:line="2" w:lineRule="exact"/>
        <w:rPr>
          <w:sz w:val="20"/>
          <w:szCs w:val="20"/>
          <w:color w:val="auto"/>
        </w:rPr>
      </w:pPr>
    </w:p>
    <w:p>
      <w:pPr>
        <w:ind w:right="20" w:firstLine="8"/>
        <w:spacing w:after="0" w:line="253"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our common stock in excess of the Exchange Cap, unless we obtain stockholder approval to issue shares in excess of the Exchange Cap or the average price of all applicable sales of our common stock to Lincoln Park under the Purchase Agreement equals or exceeds $2.1912 per share, such that the transactions contemplated by the Purchase Agreement are exempt from the Exchange Cap limitation under applicable Nasdaq rules and (ii) any shares of our common stock if those shares, when aggregated with all other shares of our common stock then beneficially owned by Lincoln Park, would exceed the Beneficial Ownership Limitation.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amount of gross proceeds we would receive from Lincoln Park from our sale of shares to Lincoln Park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at varying purchase prices: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Percentage of</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Gross Proceeds from the Sale</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Number of Registered</w:t>
            </w:r>
          </w:p>
        </w:tc>
        <w:tc>
          <w:tcPr>
            <w:tcW w:w="2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Outstanding Shares</w:t>
            </w:r>
          </w:p>
        </w:tc>
        <w:tc>
          <w:tcPr>
            <w:tcW w:w="2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Assumed Average</w:t>
            </w:r>
          </w:p>
        </w:tc>
        <w:tc>
          <w:tcPr>
            <w:tcW w:w="3020" w:type="dxa"/>
            <w:vAlign w:val="bottom"/>
            <w:gridSpan w:val="2"/>
            <w:vMerge w:val="continue"/>
          </w:tcPr>
          <w:p>
            <w:pPr>
              <w:spacing w:after="0"/>
              <w:rPr>
                <w:sz w:val="12"/>
                <w:szCs w:val="12"/>
                <w:color w:val="auto"/>
              </w:rPr>
            </w:pPr>
          </w:p>
        </w:tc>
        <w:tc>
          <w:tcPr>
            <w:tcW w:w="2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After Giving Effect to</w:t>
            </w: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 to Lincoln</w:t>
            </w:r>
          </w:p>
        </w:tc>
        <w:tc>
          <w:tcPr>
            <w:tcW w:w="0" w:type="dxa"/>
            <w:vAlign w:val="bottom"/>
          </w:tcPr>
          <w:p>
            <w:pPr>
              <w:spacing w:after="0"/>
              <w:rPr>
                <w:sz w:val="1"/>
                <w:szCs w:val="1"/>
                <w:color w:val="auto"/>
              </w:rPr>
            </w:pPr>
          </w:p>
        </w:tc>
      </w:tr>
      <w:tr>
        <w:trPr>
          <w:trHeight w:val="148"/>
        </w:trPr>
        <w:tc>
          <w:tcPr>
            <w:tcW w:w="3660" w:type="dxa"/>
            <w:vAlign w:val="bottom"/>
            <w:gridSpan w:val="2"/>
            <w:vMerge w:val="continue"/>
          </w:tcPr>
          <w:p>
            <w:pPr>
              <w:spacing w:after="0"/>
              <w:rPr>
                <w:sz w:val="12"/>
                <w:szCs w:val="12"/>
                <w:color w:val="auto"/>
              </w:rPr>
            </w:pPr>
          </w:p>
        </w:tc>
        <w:tc>
          <w:tcPr>
            <w:tcW w:w="3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 to be Issued if</w:t>
            </w:r>
          </w:p>
        </w:tc>
        <w:tc>
          <w:tcPr>
            <w:tcW w:w="2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the Issuance to</w:t>
            </w: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Park Under the</w:t>
            </w:r>
          </w:p>
        </w:tc>
        <w:tc>
          <w:tcPr>
            <w:tcW w:w="0" w:type="dxa"/>
            <w:vAlign w:val="bottom"/>
          </w:tcPr>
          <w:p>
            <w:pPr>
              <w:spacing w:after="0"/>
              <w:rPr>
                <w:sz w:val="1"/>
                <w:szCs w:val="1"/>
                <w:color w:val="auto"/>
              </w:rPr>
            </w:pPr>
          </w:p>
        </w:tc>
      </w:tr>
      <w:tr>
        <w:trPr>
          <w:trHeight w:val="17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Purchase Price Per Share</w:t>
            </w:r>
          </w:p>
        </w:tc>
        <w:tc>
          <w:tcPr>
            <w:tcW w:w="3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Full Purchase(1)</w:t>
            </w: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Lincoln Park(2)</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 Agreement</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$ 1.50</w:t>
            </w:r>
          </w:p>
        </w:tc>
        <w:tc>
          <w:tcPr>
            <w:tcW w:w="2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8,422,971</w:t>
            </w:r>
          </w:p>
        </w:tc>
        <w:tc>
          <w:tcPr>
            <w:tcW w:w="2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16.4%</w:t>
            </w:r>
          </w:p>
        </w:tc>
        <w:tc>
          <w:tcPr>
            <w:tcW w:w="26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rPr>
              <w:t>$ 12,634,457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7"/>
              </w:rPr>
              <w:t>7,500,000</w:t>
            </w:r>
          </w:p>
        </w:tc>
        <w:tc>
          <w:tcPr>
            <w:tcW w:w="280" w:type="dxa"/>
            <w:vAlign w:val="bottom"/>
          </w:tcPr>
          <w:p>
            <w:pPr>
              <w:spacing w:after="0"/>
              <w:rPr>
                <w:sz w:val="18"/>
                <w:szCs w:val="18"/>
                <w:color w:val="auto"/>
              </w:rPr>
            </w:pPr>
          </w:p>
        </w:tc>
        <w:tc>
          <w:tcPr>
            <w:tcW w:w="1780" w:type="dxa"/>
            <w:vAlign w:val="bottom"/>
          </w:tcPr>
          <w:p>
            <w:pPr>
              <w:jc w:val="right"/>
              <w:ind w:right="599"/>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2.20 (3)</w:t>
            </w:r>
          </w:p>
        </w:tc>
        <w:tc>
          <w:tcPr>
            <w:tcW w:w="28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6,818,182</w:t>
            </w: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13.7</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7"/>
              </w:rPr>
              <w:t>6,000,000</w:t>
            </w:r>
          </w:p>
        </w:tc>
        <w:tc>
          <w:tcPr>
            <w:tcW w:w="2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5"/>
              </w:rPr>
              <w:t>12.3</w:t>
            </w:r>
          </w:p>
        </w:tc>
        <w:tc>
          <w:tcPr>
            <w:tcW w:w="26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5,000,000</w:t>
            </w: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10.5</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420" w:right="160" w:hanging="412"/>
        <w:spacing w:after="0" w:line="255"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total number of shares of common stock that we would have sold under the Purchase Agreement at the corresponding assumed average purchase price set forth in the first column, up to the aggregate purchase price of $15,000,000, if available, while giving effect to the Exchange Cap and without regard for the Beneficial Ownership Limitation, and excludes the Commitment Shares.</w:t>
      </w:r>
    </w:p>
    <w:p>
      <w:pPr>
        <w:spacing w:after="0" w:line="2" w:lineRule="exact"/>
        <w:rPr>
          <w:rFonts w:ascii="Arial" w:cs="Arial" w:eastAsia="Arial" w:hAnsi="Arial"/>
          <w:sz w:val="18"/>
          <w:szCs w:val="18"/>
          <w:color w:val="auto"/>
        </w:rPr>
      </w:pPr>
    </w:p>
    <w:p>
      <w:pPr>
        <w:ind w:left="420" w:right="100" w:hanging="412"/>
        <w:spacing w:after="0" w:line="265"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denominator is based on 42,722,780 shares outstanding as of August 12, 2020, adjusted to include the issuance of (i) 121,584 Commitment Shares being issued to Lincoln Park as consideration for its commitment to purchase shares of our common stock under the Purchase Agreement and (ii) the number of shares set forth in the adjacent column that we would have sold to Lincoln Park, assuming the average purchase price in the first column. The numerator is based on the number of shares issuable under the Purchase Agreement (that are the subject of this offering) at the corresponding assumed average purchase price set forth in the first column.</w:t>
      </w: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closing sale price of our common stock on Nasdaq on August 12,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filed as exhibits to the registration statement of which this prospectus supplement and accompanying prospectus are a part.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our amended and restated certificate of incorporation we are authorized to issue up to 100,000,000 shares of common stock, $0.00001 par value per share, and 10,000,000 shares of preferred stock, $0.00001 par value per share, all of which shares of preferred stock are undesignated. Our board of directors may establish the rights and preferences of the preferred stock from time to time. As of June 30, 2020, we had outstanding 42,691,114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Pursuant to our amended and restated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the holders of shares of our common stock issued upon the conversion or reclassification of our redeemable convertible preferred stock have entered into an investors’ rights agreement. The registration rights provisions of this agreement provide those holders with demand, piggyback and Form S-3 registration rights with respect to the shares of common stock currently held by them. The following information is qualified entirely by reference to the applicable provisions of the investors’ rights agreement, which is incorporated by reference as an exhibit into the registration statement of which this prospectus supplement is a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holders of at least a majority of the outstanding shares issued upon conversion of our convertible preferred stock in the aggregate have the right to demand that we file up to a total of two registration statements, as long as the anticipated aggregate offering price, net of underwriting discounts and commissions, would exceed $5.0 million.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90 days after the receipt of such request. Certain of our pre-initial public offering stockholders are entitled to these demand registration rights.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shares of common stock that have been issued upon conversion of our convertible preferred stock are entitled to notice of the registration and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Certain of our pre-initial public offering stockholders are entitled to these piggyback registration rights. The requisite holders of piggyback registration rights under our investors’ rights agreement have waived these rights as they may apply to offerings pursuant to the registration statement of which this prospectus supplement is a part.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holders of shares of common stock that were issued upon conversion of our convertible preferred stock are entitled, upon the written request of holders of at least 30% of such shares, to have such shares registered by us on a Form S-3 registration statement at our expense. These Form S-3 registration rights are subject to other specified conditions and limitations, including the condition that the anticipated aggregate offering price, net of underwriting discounts and commissions, exceeds $2.5 million. Upon receipt of this request, the holders of shares of common stock that were issued upon conversion of our convertible preferred stock will each be entitled to participate in this registration. Certain of our pre-initial public offering stockholders are entitled to these Form S-3 registration rights.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will pay all expenses relating to any demand, piggyback or Form S-3 registration, other than underwriting discounts and commissions, subject to specified conditions and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registration rights granted under the investors’ rights agreement will terminate on October 13, 2020 or, if earlier, upon a liquidation event or at such time as all shares of common stock issued upon conversion of preferred stock are eligible to be sold without restriction pursuant to Rule 144 under the Securities Act, within any 90-day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20" w:right="560" w:hanging="488"/>
        <w:spacing w:after="0" w:line="277" w:lineRule="auto"/>
        <w:tabs>
          <w:tab w:leader="none" w:pos="7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820" w:right="20" w:hanging="488"/>
        <w:spacing w:after="0" w:line="257" w:lineRule="auto"/>
        <w:tabs>
          <w:tab w:leader="none" w:pos="7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8"/>
          <w:szCs w:val="18"/>
          <w:color w:val="auto"/>
        </w:rPr>
      </w:pPr>
    </w:p>
    <w:p>
      <w:pPr>
        <w:ind w:left="820" w:right="300" w:hanging="488"/>
        <w:spacing w:after="0" w:line="263" w:lineRule="auto"/>
        <w:tabs>
          <w:tab w:leader="none" w:pos="7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780" w:hanging="448"/>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820" w:right="400" w:hanging="488"/>
        <w:spacing w:after="0" w:line="277" w:lineRule="auto"/>
        <w:tabs>
          <w:tab w:leader="none" w:pos="7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820" w:right="560" w:hanging="488"/>
        <w:spacing w:after="0" w:line="277" w:lineRule="auto"/>
        <w:tabs>
          <w:tab w:leader="none" w:pos="7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820" w:right="180" w:hanging="488"/>
        <w:spacing w:after="0" w:line="277" w:lineRule="auto"/>
        <w:tabs>
          <w:tab w:leader="none" w:pos="7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amended and restated certificate of incorporation and our amended and restated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amended and restated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stockholders cannot amend many of the provisions described above except by a vote of 66 2/3% or more of our outstanding common stock.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further provide any person or entity purchasing or otherwise acquiring any interest in shares of our common stock is deemed to have notice of and consented to the foregoing provisions.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transfer agent and registrar for our common stock is Broadridge Corporate Issuer Solutions, Inc. The transfer agent’s address is 1717 Arch Street, Suite 1300, Philadelphia, Pennsylvania 19103.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Exchange under the symbol “ACRS.”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this prospectus supplement and the accompanying prospectus, we are offering up to $15,000,000 in shares of our common stock and 121,584 shares of our common stock are being issued to Lincoln Park as Commitment Shares pursuant to the Purchase Agreement. This prospectus supplement and the accompanying prospectus also cover the resale of these shares by Lincoln Park to the public.</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from time to time and at our sole discretion, direct Lincoln Park to purchase shares of our common stock in amounts up to 100,000 shares on any single business day from and after the Commencement, which amounts may be increased to up to 250,000 shares of our common stock depending on the market price of our common stock at the time of sale, subject to, upon the parties mutual agreement, an increase of up to $2,000,000 per purchase. The foregoing share amounts and related market prices will be adjusted for any reorganization, recapitalization, non-cash dividend, stock split, reverse stock split or other similar transaction occurring after the date of the Purchase Agreement. In addition, upon notice to Lincoln Park, we may, from time to time and at our sole discretion, direct Lincoln Park to purchase additional shares of our common stock in “accelerated purchases,” and/or “additional accelerated purchases” as set forth in the Purchase Agreement. The purchase price per share is based on the market price of our common stock at the time of sale as computed under the Purchase Agreement. Lincoln Park may not assign or transfer its rights and obligations under the Purchase Agreement. See “Lincoln Park Transaction—Purchases of Shares under the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Lincoln Park is an “underwriter” within the meaning of Section 2(a)(11) of the Securities Act.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pay the expenses incident to the registration under the Securities Act of the offer and sale of the shares covered by this prospectus supplement to Lincoln Park. We have agreed to indemnify Lincoln Park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supplement or, if such indemnity is unavailable, to contribute amounts required to be paid in respect of such liabilities.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8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have advised Lincoln Park that it is required to comply with Regulation M promulgated under the Exchange Act. With certain exceptions, Regulation M precludes Lincoln Park,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offering will terminate on the date that all shares offered by this prospectus supplement have been sold to Lincoln Park.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on the Exchange and trades under the symbol “ACRS.” The transfer agent of our common stock is Broadridge Corporate Issuer Solutions,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validity of the common stock offered by this prospectus supplement and accompanying prospectus will be passed upon by Cooley LLP, Reston, Virginia. K&amp;L Gates, LLP, Miami, Florida is counsel for Lincoln Park in connection with this offering.</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spacing w:after="0" w:line="263" w:lineRule="auto"/>
        <w:rPr>
          <w:rFonts w:ascii="Arial" w:cs="Arial" w:eastAsia="Arial" w:hAnsi="Arial"/>
          <w:sz w:val="18"/>
          <w:szCs w:val="18"/>
          <w:color w:val="0000EE"/>
        </w:rPr>
      </w:pPr>
      <w:hyperlink r:id="rId34">
        <w:r>
          <w:rPr>
            <w:rFonts w:ascii="Arial" w:cs="Arial" w:eastAsia="Arial" w:hAnsi="Arial"/>
            <w:sz w:val="18"/>
            <w:szCs w:val="18"/>
            <w:color w:val="auto"/>
          </w:rPr>
          <w:t xml:space="preserve">The financial statements incorporated in this prospectus supplement by reference to the </w:t>
        </w:r>
        <w:r>
          <w:rPr>
            <w:rFonts w:ascii="Arial" w:cs="Arial" w:eastAsia="Arial" w:hAnsi="Arial"/>
            <w:sz w:val="18"/>
            <w:szCs w:val="18"/>
            <w:u w:val="single" w:color="auto"/>
            <w:color w:val="0000EE"/>
          </w:rPr>
          <w:t>Annual Report on Form 10-K for the year ended December 31,</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201</w:t>
        </w:r>
        <w:r>
          <w:rPr>
            <w:rFonts w:ascii="Arial" w:cs="Arial" w:eastAsia="Arial" w:hAnsi="Arial"/>
            <w:sz w:val="18"/>
            <w:szCs w:val="18"/>
            <w:color w:val="000000"/>
          </w:rPr>
          <w:t xml:space="preserve">9 have been so incorporated in reliance on the report of PricewaterhouseCoopers LLP, an independent registered public accounting firm, given on </w:t>
        </w:r>
      </w:hyperlink>
      <w:r>
        <w:rPr>
          <w:rFonts w:ascii="Arial" w:cs="Arial" w:eastAsia="Arial" w:hAnsi="Arial"/>
          <w:sz w:val="18"/>
          <w:szCs w:val="18"/>
          <w:color w:val="0000EE"/>
        </w:rPr>
        <w:t xml:space="preserve">the </w:t>
      </w:r>
      <w:r>
        <w:rPr>
          <w:rFonts w:ascii="Arial" w:cs="Arial" w:eastAsia="Arial" w:hAnsi="Arial"/>
          <w:sz w:val="18"/>
          <w:szCs w:val="18"/>
          <w:color w:val="000000"/>
        </w:rPr>
        <w:t>authority of said firm as experts in auditing and accounting.</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prospectus supplement and accompanying prospectus are part of a registration statement we filed with the SEC. This prospectus supplement and accompanying prospectus does not contain all of the information set forth in the registration statement and the exhibits to the registration statement. For further information with respect to us and the securities we are offering under this prospectus supplement and accompanying prospectus, we refer you to the registration statement and the exhibits and schedules filed as a part of the registration statement. You should rely only on the information contained in this prospectus supplement and accompanying prospectus or incorporated by reference. We have not authorized anyone else to provide you with different information. We are not making an offer of these securities in any state where the offer is not permitted. You should not assume that the information in this prospectus supplement and accompanying prospectus is accurate as of any date other than the date on the front page of this prospectus supplement and accompanying prospectus, regardless of the time of delivery of this prospectus supplement and accompanying prospectus or any sale of the securities offered by this prospectus supplement and accompanying prospectus.</w:t>
      </w:r>
    </w:p>
    <w:p>
      <w:pPr>
        <w:spacing w:after="0" w:line="1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 website that contains reports, proxy statements and other information regarding issuers that file electronically with the SEC, including Aclaris. The address of the SEC website is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u w:val="single" w:color="auto"/>
          <w:color w:val="auto"/>
        </w:rPr>
        <w:t>www.aclaristx.com</w:t>
      </w:r>
      <w:r>
        <w:rPr>
          <w:rFonts w:ascii="Arial" w:cs="Arial" w:eastAsia="Arial" w:hAnsi="Arial"/>
          <w:sz w:val="18"/>
          <w:szCs w:val="18"/>
          <w:color w:val="auto"/>
        </w:rPr>
        <w:t>. Information contained in or accessible through our website does not constitute a part of this prospectus supplement and accompanying prospectus.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SEC allows us to “incorporate by reference” information into this prospectus supplement and accompanying prospectus, which means that we can disclose important information to you by referring you to another document filed separately with the SEC. The SEC file number for the documents incorporated by reference in this prospectus supplement and accompanying prospectus is 001-37581. The documents incorporated by reference into this prospectus supplement and accompanying prospectus contain important information that you should read about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1260" w:hanging="280"/>
        <w:spacing w:after="0"/>
        <w:tabs>
          <w:tab w:leader="none" w:pos="1260" w:val="left"/>
        </w:tabs>
        <w:numPr>
          <w:ilvl w:val="0"/>
          <w:numId w:val="17"/>
        </w:numPr>
        <w:rPr>
          <w:rFonts w:ascii="Arial" w:cs="Arial" w:eastAsia="Arial" w:hAnsi="Arial"/>
          <w:sz w:val="18"/>
          <w:szCs w:val="18"/>
          <w:color w:val="0000EE"/>
        </w:rPr>
      </w:pPr>
      <w:hyperlink r:id="rId34">
        <w:r>
          <w:rPr>
            <w:rFonts w:ascii="Arial" w:cs="Arial" w:eastAsia="Arial" w:hAnsi="Arial"/>
            <w:sz w:val="18"/>
            <w:szCs w:val="18"/>
            <w:u w:val="single" w:color="auto"/>
            <w:color w:val="0000EE"/>
          </w:rPr>
          <w:t>our Annual Report on Form 10-K for the year ended December 31, 2019, filed with the SEC on February 25, 2020</w:t>
        </w:r>
      </w:hyperlink>
      <w:r>
        <w:rPr>
          <w:rFonts w:ascii="Arial" w:cs="Arial" w:eastAsia="Arial" w:hAnsi="Arial"/>
          <w:sz w:val="18"/>
          <w:szCs w:val="18"/>
          <w:color w:val="000000"/>
        </w:rPr>
        <w:t>;</w:t>
      </w:r>
    </w:p>
    <w:p>
      <w:pPr>
        <w:spacing w:after="0" w:line="225" w:lineRule="exact"/>
        <w:rPr>
          <w:rFonts w:ascii="Arial" w:cs="Arial" w:eastAsia="Arial" w:hAnsi="Arial"/>
          <w:sz w:val="18"/>
          <w:szCs w:val="18"/>
          <w:color w:val="0000EE"/>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filed with the SEC on </w:t>
      </w:r>
      <w:hyperlink r:id="rId35">
        <w:r>
          <w:rPr>
            <w:rFonts w:ascii="Arial" w:cs="Arial" w:eastAsia="Arial" w:hAnsi="Arial"/>
            <w:sz w:val="18"/>
            <w:szCs w:val="18"/>
            <w:u w:val="single" w:color="auto"/>
            <w:color w:val="0000EE"/>
          </w:rPr>
          <w:t>May 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August 7,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hanging="320"/>
        <w:spacing w:after="0" w:line="277"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January 8, 2020</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March 13, 2020</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March 31, 2020</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June 4, 2020</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June 17, 2020</w:t>
        </w:r>
      </w:hyperlink>
      <w:r>
        <w:rPr>
          <w:rFonts w:ascii="Arial" w:cs="Arial" w:eastAsia="Arial" w:hAnsi="Arial"/>
          <w:sz w:val="18"/>
          <w:szCs w:val="18"/>
          <w:color w:val="auto"/>
        </w:rPr>
        <w:t xml:space="preserve"> and </w:t>
      </w:r>
      <w:hyperlink r:id="rId40">
        <w:r>
          <w:rPr>
            <w:rFonts w:ascii="Arial" w:cs="Arial" w:eastAsia="Arial" w:hAnsi="Arial"/>
            <w:sz w:val="18"/>
            <w:szCs w:val="18"/>
            <w:u w:val="single" w:color="auto"/>
            <w:color w:val="0000EE"/>
          </w:rPr>
          <w:t>June 24,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extent the information in such reports is filed and not furnished;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our Proxy Statement filed with the SEC on April 23, 2020, to the extent the information therein is filed and not furnished; and</w:t>
        </w:r>
      </w:hyperlink>
    </w:p>
    <w:p>
      <w:pPr>
        <w:spacing w:after="0" w:line="225"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S-16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520" w:hanging="320"/>
        <w:spacing w:after="0" w:line="277" w:lineRule="auto"/>
        <w:tabs>
          <w:tab w:leader="none" w:pos="1264" w:val="left"/>
        </w:tabs>
        <w:numPr>
          <w:ilvl w:val="0"/>
          <w:numId w:val="18"/>
        </w:numPr>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the description of our common stock contained in our Registration Statement on Form 8-A, filed with the SEC on October 2, 2015,</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including any amendments or reports filed for the purposes of updating this description.</w:t>
        </w:r>
      </w:hyperlink>
    </w:p>
    <w:p>
      <w:pPr>
        <w:spacing w:after="0" w:line="170" w:lineRule="exact"/>
        <w:rPr>
          <w:rFonts w:ascii="Arial" w:cs="Arial" w:eastAsia="Arial" w:hAnsi="Arial"/>
          <w:sz w:val="18"/>
          <w:szCs w:val="18"/>
          <w:color w:val="auto"/>
        </w:rPr>
      </w:pPr>
    </w:p>
    <w:p>
      <w:pPr>
        <w:ind w:right="140"/>
        <w:spacing w:after="0" w:line="257" w:lineRule="auto"/>
        <w:rPr>
          <w:sz w:val="20"/>
          <w:szCs w:val="20"/>
          <w:color w:val="auto"/>
        </w:rPr>
      </w:pPr>
      <w:r>
        <w:rPr>
          <w:rFonts w:ascii="Arial" w:cs="Arial" w:eastAsia="Arial" w:hAnsi="Arial"/>
          <w:sz w:val="18"/>
          <w:szCs w:val="18"/>
          <w:color w:val="auto"/>
        </w:rPr>
        <w:t>We also incorporate by reference into this prospectus supplement and accompanying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188" w:lineRule="exact"/>
        <w:rPr>
          <w:rFonts w:ascii="Arial" w:cs="Arial" w:eastAsia="Arial" w:hAnsi="Arial"/>
          <w:sz w:val="18"/>
          <w:szCs w:val="18"/>
          <w:color w:val="auto"/>
        </w:rPr>
      </w:pPr>
    </w:p>
    <w:p>
      <w:pPr>
        <w:ind w:right="280"/>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supplement and accompanying prospectus are delivered, without charge upon written or oral request, a copy of any or all of the documents that are incorporated by reference into this prospectus supplement and accompanying prospectus but not delivered with the prospectus supplement and accompanying prospectus, including exhibits that are specifically incorporated by reference into such documents. You should direct any requests for documents to:</w:t>
      </w:r>
    </w:p>
    <w:p>
      <w:pPr>
        <w:spacing w:after="0" w:line="18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Aclaris Therapeutics,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Attn: Kamil Ali-Jackson, Chief Legal Officer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640 Lee Road, Suite 200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Wayne, Pennsylvania 19087</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(484) 324-7933</w:t>
      </w:r>
    </w:p>
    <w:p>
      <w:pPr>
        <w:spacing w:after="0" w:line="211" w:lineRule="exact"/>
        <w:rPr>
          <w:rFonts w:ascii="Arial" w:cs="Arial" w:eastAsia="Arial" w:hAnsi="Arial"/>
          <w:sz w:val="18"/>
          <w:szCs w:val="18"/>
          <w:color w:val="auto"/>
        </w:rPr>
      </w:pPr>
    </w:p>
    <w:p>
      <w:pPr>
        <w:spacing w:after="0" w:line="263"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8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154305</wp:posOffset>
            </wp:positionV>
            <wp:extent cx="1680210" cy="762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68021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From time to time, we may offer up to $100,000,000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84" w:lineRule="exact"/>
        <w:rPr>
          <w:sz w:val="20"/>
          <w:szCs w:val="20"/>
          <w:color w:val="auto"/>
        </w:rPr>
      </w:pPr>
    </w:p>
    <w:p>
      <w:pPr>
        <w:ind w:right="320" w:firstLine="324"/>
        <w:spacing w:after="0" w:line="275" w:lineRule="auto"/>
        <w:rPr>
          <w:sz w:val="20"/>
          <w:szCs w:val="20"/>
          <w:color w:val="auto"/>
        </w:rPr>
      </w:pPr>
      <w:r>
        <w:rPr>
          <w:rFonts w:ascii="Arial" w:cs="Arial" w:eastAsia="Arial" w:hAnsi="Arial"/>
          <w:sz w:val="17"/>
          <w:szCs w:val="17"/>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Our common stock is traded on the Nasdaq Global Select Market under the symbol “ACRS.” On March 12, 2020, the last reported sale price of our common stock was $1.04 per share.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14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180340</wp:posOffset>
            </wp:positionV>
            <wp:extent cx="1800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b w:val="1"/>
          <w:bCs w:val="1"/>
          <w:i w:val="1"/>
          <w:iCs w:val="1"/>
          <w:color w:val="auto"/>
        </w:rPr>
        <w:t>Investing in our securities involves a high degree of risk. You should review carefully the risks and uncertainties described under the heading “Risk Factors” contained in the applicable prospectus supplement and any related free writing prospectus, and under similar headings in the other documents that are incorporated by reference into this prospectus as described on page 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199390</wp:posOffset>
            </wp:positionV>
            <wp:extent cx="18002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191770</wp:posOffset>
            </wp:positionV>
            <wp:extent cx="1800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460" w:type="dxa"/>
            <w:vAlign w:val="bottom"/>
          </w:tcPr>
          <w:p>
            <w:pPr>
              <w:spacing w:after="0"/>
              <w:rPr>
                <w:sz w:val="20"/>
                <w:szCs w:val="20"/>
                <w:color w:val="auto"/>
              </w:rPr>
            </w:pPr>
          </w:p>
        </w:tc>
      </w:tr>
      <w:tr>
        <w:trPr>
          <w:trHeight w:val="432"/>
        </w:trPr>
        <w:tc>
          <w:tcPr>
            <w:tcW w:w="88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r>
      <w:tr>
        <w:trPr>
          <w:trHeight w:val="418"/>
        </w:trPr>
        <w:tc>
          <w:tcPr>
            <w:tcW w:w="88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ABOUT THIS PROSPECTUS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SUMMARY</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SPECIAL NOTE REGARDING FORWARD-LOOKING STATEMENTS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USE OF PROCEEDS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DESCRIPTION OF CAPITAL STOCK</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WARRANTS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OWNERSHIP OF SECURITIES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PLAN OF DISTRIBUTION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MATTERS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EXPERTS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2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82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CERTAIN INFORMATION BY REFERENCE</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8"/>
        </w:trPr>
        <w:tc>
          <w:tcPr>
            <w:tcW w:w="88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This prospectus is a part of a registration statement on Form S-3 that we filed with the Securities and Exchange Commission, or SEC, utilizing a “shelf” registration process. Under this shelf registration process, we may sell any combination of the securities described in this prospectus in one or more offerings up to a total aggregate offering price of $100,000,000. This prospectus provides you with a general description of the securities we may offer.</w:t>
      </w:r>
    </w:p>
    <w:p>
      <w:pPr>
        <w:spacing w:after="0" w:line="149" w:lineRule="exact"/>
        <w:rPr>
          <w:sz w:val="20"/>
          <w:szCs w:val="20"/>
          <w:color w:val="auto"/>
        </w:rPr>
      </w:pPr>
    </w:p>
    <w:p>
      <w:pPr>
        <w:jc w:val="both"/>
        <w:ind w:right="40" w:firstLine="648"/>
        <w:spacing w:after="0" w:line="293" w:lineRule="auto"/>
        <w:rPr>
          <w:sz w:val="20"/>
          <w:szCs w:val="20"/>
          <w:color w:val="auto"/>
        </w:rPr>
      </w:pPr>
      <w:r>
        <w:rPr>
          <w:rFonts w:ascii="Arial" w:cs="Arial" w:eastAsia="Arial" w:hAnsi="Arial"/>
          <w:sz w:val="16"/>
          <w:szCs w:val="16"/>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60"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jc w:val="both"/>
        <w:ind w:right="100" w:firstLine="445"/>
        <w:spacing w:after="0" w:line="293" w:lineRule="auto"/>
        <w:rPr>
          <w:sz w:val="20"/>
          <w:szCs w:val="20"/>
          <w:color w:val="auto"/>
        </w:rPr>
      </w:pPr>
      <w:r>
        <w:rPr>
          <w:rFonts w:ascii="Arial" w:cs="Arial" w:eastAsia="Arial" w:hAnsi="Arial"/>
          <w:sz w:val="16"/>
          <w:szCs w:val="16"/>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the context indicates otherwise, references in this prospectus to “Aclaris,” “company,” “we,” “us” and “our” refer to Aclaris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consolidated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a physician-led biopharmaceutical company focused on immuno-inflammatory diseases. We currently have a pipeline of drug candidates focused on immuno-inflammatory diseases, as well as one product approved by the U.S. Food and Drug Administration, or FDA, that we are not currently distributing, marketing or selling, and other investigational drug candidates. In September 2019, we announced the completion of a strategic review of our business, as a result of which we are refocusing our resources on our immuno-inflammatory development programs. We plan to pursue strategic alternatives, including identifying and consummating transactions with third-party partners, to further develop, obtain marketing approval for and/or commercialize our drug candidates and ESKATA (hydrogen peroxide) topical solution, 40% (w/w), or ESKATA, our non-marketed FDA-approved product.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pipeline of drug candidates that we are currently developing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151765</wp:posOffset>
            </wp:positionV>
            <wp:extent cx="4688840" cy="2263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46888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60" w:firstLine="401"/>
        <w:spacing w:after="0" w:line="342" w:lineRule="auto"/>
        <w:rPr>
          <w:sz w:val="20"/>
          <w:szCs w:val="20"/>
          <w:color w:val="auto"/>
        </w:rPr>
      </w:pPr>
      <w:r>
        <w:rPr>
          <w:rFonts w:ascii="Arial" w:cs="Arial" w:eastAsia="Arial" w:hAnsi="Arial"/>
          <w:sz w:val="16"/>
          <w:szCs w:val="16"/>
          <w:color w:val="auto"/>
        </w:rPr>
        <w:t>We were incorporated under the laws of the State of Delaware in July 2012. Our principal executive offices are located at 640 Lee Road, Suite 200, Wayne, PA 19087. Our telephone number is (484) 324-7933. Our common stock is listed on the Nasdaq Global Select Market under the symbol “ACRS.”</w:t>
      </w:r>
    </w:p>
    <w:p>
      <w:pPr>
        <w:spacing w:after="0" w:line="124" w:lineRule="exact"/>
        <w:rPr>
          <w:sz w:val="20"/>
          <w:szCs w:val="20"/>
          <w:color w:val="auto"/>
        </w:rPr>
      </w:pPr>
    </w:p>
    <w:p>
      <w:pPr>
        <w:ind w:right="80" w:firstLine="401"/>
        <w:spacing w:after="0" w:line="263" w:lineRule="auto"/>
        <w:rPr>
          <w:sz w:val="20"/>
          <w:szCs w:val="20"/>
          <w:color w:val="auto"/>
        </w:rPr>
      </w:pPr>
      <w:r>
        <w:rPr>
          <w:rFonts w:ascii="Arial" w:cs="Arial" w:eastAsia="Arial" w:hAnsi="Arial"/>
          <w:sz w:val="18"/>
          <w:szCs w:val="18"/>
          <w:color w:val="auto"/>
        </w:rPr>
        <w:t>Our internet website address is www.aclaristx.com.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364"/>
        <w:spacing w:after="0" w:line="263" w:lineRule="auto"/>
        <w:rPr>
          <w:sz w:val="20"/>
          <w:szCs w:val="20"/>
          <w:color w:val="auto"/>
        </w:rPr>
      </w:pPr>
      <w:r>
        <w:rPr>
          <w:rFonts w:ascii="Arial" w:cs="Arial" w:eastAsia="Arial" w:hAnsi="Arial"/>
          <w:sz w:val="18"/>
          <w:szCs w:val="18"/>
          <w:color w:val="auto"/>
        </w:rPr>
        <w:t>“Aclaris”, the Aclaris logo, ESKATA, KINECT and THWART and our other trademarks or service marks appearing in this prospectus or incorporated herein by reference are our property. This prospectus and the information incorporated herein by reference contains additional trade names, trademarks and service marks of others, which are the property of their respective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7"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34" w:lineRule="exact"/>
        <w:rPr>
          <w:rFonts w:ascii="Arial" w:cs="Arial" w:eastAsia="Arial" w:hAnsi="Arial"/>
          <w:sz w:val="17"/>
          <w:szCs w:val="17"/>
          <w:color w:val="auto"/>
        </w:rPr>
      </w:pPr>
    </w:p>
    <w:p>
      <w:pPr>
        <w:ind w:left="660" w:right="20" w:hanging="4"/>
        <w:spacing w:after="0" w:line="281" w:lineRule="auto"/>
        <w:tabs>
          <w:tab w:leader="none" w:pos="8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16"/>
          <w:szCs w:val="16"/>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9" w:lineRule="exact"/>
        <w:rPr>
          <w:rFonts w:ascii="Arial" w:cs="Arial" w:eastAsia="Arial" w:hAnsi="Arial"/>
          <w:sz w:val="18"/>
          <w:szCs w:val="18"/>
          <w:color w:val="auto"/>
        </w:rPr>
      </w:pPr>
    </w:p>
    <w:p>
      <w:pPr>
        <w:ind w:left="660" w:right="160" w:hanging="4"/>
        <w:spacing w:after="0" w:line="260" w:lineRule="auto"/>
        <w:tabs>
          <w:tab w:leader="none" w:pos="8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will remain an “emerging growth company” until December 31, 2020.</w:t>
      </w:r>
    </w:p>
    <w:p>
      <w:pPr>
        <w:spacing w:after="0" w:line="225" w:lineRule="exact"/>
        <w:rPr>
          <w:sz w:val="20"/>
          <w:szCs w:val="20"/>
          <w:color w:val="auto"/>
        </w:rPr>
      </w:pPr>
    </w:p>
    <w:p>
      <w:pPr>
        <w:ind w:right="60" w:firstLine="401"/>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are subject to the same new or revised accounting standards as other public companies that are not emerging growth companies.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 warrants to purchase any of such securities, up to a total aggregate offering price of $100,000,000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92"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maturity;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conversion, exchange or sinking fund terms, if any;</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ranking;</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4"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estimated net proceeds to us.</w:t>
      </w:r>
    </w:p>
    <w:p>
      <w:pPr>
        <w:spacing w:after="0" w:line="21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We may issue shares of our common stock from time to time. The holders of our common stock are entitled to one vote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held of record on all matters submitted to a vote of stockholders and do not have cumulative voting rights. Subject to preferences that may be applicable to any outstanding shares of preferred stock, the holders of our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then outstanding shares of preferred stock. Our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177" w:lineRule="exact"/>
        <w:rPr>
          <w:sz w:val="20"/>
          <w:szCs w:val="20"/>
          <w:color w:val="auto"/>
        </w:rPr>
      </w:pPr>
    </w:p>
    <w:p>
      <w:pPr>
        <w:ind w:right="60" w:firstLine="238"/>
        <w:spacing w:after="0" w:line="271" w:lineRule="auto"/>
        <w:rPr>
          <w:sz w:val="20"/>
          <w:szCs w:val="20"/>
          <w:color w:val="auto"/>
        </w:rPr>
      </w:pP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We may issue shares of our preferred stock from time to time, in one or more series. Under our certificate of incorporation,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has the authority, without further action by the stockholders (unless such stockholder action is required by applicable law or the rules of any stock exchange or market on which our securities are then traded), to designate up to 10,000,000 shares of preferred stock in one or more series and to determine the designations, voting powers, preferences and rights of each series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any or all of which may be greater than the rights of the common stock. Any convertible preferred stock we may issue will be convertible into our common stock or exchangeable for our other securities. Conversion may be mandatory or at the holder’s option and would be at prescribed conversion rates.</w:t>
      </w:r>
    </w:p>
    <w:p>
      <w:pPr>
        <w:spacing w:after="0" w:line="17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95"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We may issue debt securities from time to time, in one or more series, as either senior or subordinated debt or as senior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preferred stock. Conversion may be mandatory or at the holder’s option and would be at prescribed conversion rates.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9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stock, preferred stock and/or debt securities in one or more series. We may 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82" w:lineRule="auto"/>
        <w:rPr>
          <w:rFonts w:ascii="Arial" w:cs="Arial" w:eastAsia="Arial" w:hAnsi="Arial"/>
          <w:sz w:val="16"/>
          <w:szCs w:val="16"/>
          <w:color w:val="0000EE"/>
        </w:rPr>
      </w:pPr>
      <w:r>
        <w:rPr>
          <w:rFonts w:ascii="Arial" w:cs="Arial" w:eastAsia="Arial" w:hAnsi="Arial"/>
          <w:sz w:val="17"/>
          <w:szCs w:val="17"/>
          <w:color w:val="auto"/>
        </w:rPr>
        <w:t xml:space="preserve">Investing in our securities involves a high degree of risk. You should carefully review the risks and uncertainties described below and under the </w:t>
      </w:r>
      <w:hyperlink r:id="rId34">
        <w:r>
          <w:rPr>
            <w:rFonts w:ascii="Arial" w:cs="Arial" w:eastAsia="Arial" w:hAnsi="Arial"/>
            <w:sz w:val="17"/>
            <w:szCs w:val="17"/>
            <w:color w:val="auto"/>
          </w:rPr>
          <w:t xml:space="preserve">heading “Risk Factors” contained in the applicable prospectus supplement and any related free writing prospectus, and under similar headings in </w:t>
        </w:r>
        <w:r>
          <w:rPr>
            <w:rFonts w:ascii="Arial" w:cs="Arial" w:eastAsia="Arial" w:hAnsi="Arial"/>
            <w:sz w:val="16"/>
            <w:szCs w:val="16"/>
            <w:u w:val="single" w:color="auto"/>
            <w:color w:val="0000EE"/>
          </w:rPr>
          <w:t>our</w:t>
        </w:r>
      </w:hyperlink>
      <w:r>
        <w:rPr>
          <w:rFonts w:ascii="Arial" w:cs="Arial" w:eastAsia="Arial" w:hAnsi="Arial"/>
          <w:sz w:val="17"/>
          <w:szCs w:val="17"/>
          <w:color w:val="auto"/>
        </w:rPr>
        <w:t xml:space="preserve"> </w:t>
      </w:r>
      <w:hyperlink r:id="rId34">
        <w:r>
          <w:rPr>
            <w:rFonts w:ascii="Arial" w:cs="Arial" w:eastAsia="Arial" w:hAnsi="Arial"/>
            <w:sz w:val="16"/>
            <w:szCs w:val="16"/>
            <w:u w:val="single" w:color="auto"/>
            <w:color w:val="0000EE"/>
          </w:rPr>
          <w:t>Annual Report on Form 10-K for the year ended December 31, 2019</w:t>
        </w:r>
        <w:r>
          <w:rPr>
            <w:rFonts w:ascii="Arial" w:cs="Arial" w:eastAsia="Arial" w:hAnsi="Arial"/>
            <w:sz w:val="16"/>
            <w:szCs w:val="16"/>
            <w:color w:val="000000"/>
          </w:rPr>
          <w:t xml:space="preserve">, as updated by our annual, quarterly and other reports and documents that are </w:t>
        </w:r>
      </w:hyperlink>
      <w:r>
        <w:rPr>
          <w:rFonts w:ascii="Arial" w:cs="Arial" w:eastAsia="Arial" w:hAnsi="Arial"/>
          <w:sz w:val="16"/>
          <w:szCs w:val="16"/>
          <w:color w:val="0000EE"/>
        </w:rPr>
        <w:t xml:space="preserve">incorporated </w:t>
      </w:r>
      <w:r>
        <w:rPr>
          <w:rFonts w:ascii="Arial" w:cs="Arial" w:eastAsia="Arial" w:hAnsi="Arial"/>
          <w:sz w:val="16"/>
          <w:szCs w:val="16"/>
          <w:color w:val="000000"/>
        </w:rPr>
        <w:t>by reference into this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preclinical studies and clinical trials.</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spread to multiple countries, including the United States and several European countries. If the COVID-19 coronavirus continues to spread, we may experience disruptions that could severely impact our business, preclinical studies and clinical trials, including:</w:t>
      </w:r>
    </w:p>
    <w:p>
      <w:pPr>
        <w:spacing w:after="0" w:line="184"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healthcare facilities serving as our clinical trial sites and staff supporting the conduct of our clinical trials;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supply of drug candidates for our preclinical studies and clinical trials, including due to potential disruptions in the manufacturing of raw materials, active pharmaceutical ingredients and drug product for our drug candidates;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preclinical studies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This prospectus and the documents incorporated by reference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incorporated by reference from our most recent Annual Report on Form 10-K, as well as any amendments thereto, filed with the SEC.</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of 1933, as amended, or the Securities Act, and Section 21E of the Securities Exchange Act of 1934, as amended, or the Exchange Act, these forward-looking statements include statements regarding:</w:t>
      </w:r>
    </w:p>
    <w:p>
      <w:pPr>
        <w:spacing w:after="0" w:line="187"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to develop our drug candidates;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planned clinical trials of our drug candidates and the reporting of the results from these trials;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utility of our drug candidates;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and expectations related to manufacturing capabilities and strategy;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coverage and reimbursement of our drug candidates, if approved;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regulatory filings and approvals for our drug candidates;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9" w:lineRule="exact"/>
        <w:rPr>
          <w:rFonts w:ascii="Arial" w:cs="Arial" w:eastAsia="Arial" w:hAnsi="Arial"/>
          <w:sz w:val="18"/>
          <w:szCs w:val="18"/>
          <w:color w:val="auto"/>
        </w:rPr>
      </w:pPr>
    </w:p>
    <w:p>
      <w:pPr>
        <w:ind w:left="660" w:right="60" w:hanging="328"/>
        <w:spacing w:after="0" w:line="265" w:lineRule="auto"/>
        <w:tabs>
          <w:tab w:leader="none" w:pos="6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plans to pursue strategic alternatives, including identifying and consummating transactions with third-party partners, to further develop, obtain marketing approval for and/or commercialize our drug candidates and ESKATA, and earn revenue from such arrangements;</w:t>
      </w: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our continued reliance on third parties;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our use of capital;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estimates regarding future revenue, expenses and needs for additional financing.</w:t>
      </w:r>
    </w:p>
    <w:p>
      <w:pPr>
        <w:spacing w:after="0" w:line="211" w:lineRule="exact"/>
        <w:rPr>
          <w:sz w:val="20"/>
          <w:szCs w:val="20"/>
          <w:color w:val="auto"/>
        </w:rPr>
      </w:pPr>
    </w:p>
    <w:p>
      <w:pPr>
        <w:ind w:right="340" w:firstLine="324"/>
        <w:spacing w:after="0" w:line="296" w:lineRule="auto"/>
        <w:rPr>
          <w:sz w:val="20"/>
          <w:szCs w:val="20"/>
          <w:color w:val="auto"/>
        </w:rPr>
      </w:pPr>
      <w:r>
        <w:rPr>
          <w:rFonts w:ascii="Arial" w:cs="Arial" w:eastAsia="Arial" w:hAnsi="Arial"/>
          <w:sz w:val="16"/>
          <w:szCs w:val="16"/>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6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6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if any,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plan to invest these net proceeds in short-term, interest bearing obligations, certificates of deposit or direct or guaranteed obligations of the United States.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filed as exhibits to the registration statement of which this prospectus is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330"/>
        <w:spacing w:after="0" w:line="259" w:lineRule="auto"/>
        <w:rPr>
          <w:sz w:val="20"/>
          <w:szCs w:val="20"/>
          <w:color w:val="auto"/>
        </w:rPr>
      </w:pPr>
      <w:r>
        <w:rPr>
          <w:rFonts w:ascii="Arial" w:cs="Arial" w:eastAsia="Arial" w:hAnsi="Arial"/>
          <w:sz w:val="18"/>
          <w:szCs w:val="18"/>
          <w:color w:val="auto"/>
        </w:rPr>
        <w:t>Under our amended and restated certificate of incorporation we are authorized to issue up to 100,000,000 shares of common stock, $0.00001 par value per share, and 10,000,000 shares of preferred stock, $0.00001 par value per share, all of which shares of preferred stock are undesignated. Our board of directors may establish the rights and preferences of the preferred stock from time to time. As of December 31, 2019, we had outstanding 41,485,638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60" w:firstLine="33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200" w:firstLine="33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jc w:val="both"/>
        <w:ind w:right="40" w:firstLine="33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Preferred </w:t>
      </w:r>
      <w:r>
        <w:rPr>
          <w:rFonts w:ascii="Arial" w:cs="Arial" w:eastAsia="Arial" w:hAnsi="Arial"/>
          <w:sz w:val="17"/>
          <w:szCs w:val="17"/>
          <w:b w:val="1"/>
          <w:bCs w:val="1"/>
          <w:color w:val="auto"/>
        </w:rPr>
        <w:t>Stock</w:t>
      </w:r>
    </w:p>
    <w:p>
      <w:pPr>
        <w:spacing w:after="0" w:line="229" w:lineRule="exact"/>
        <w:rPr>
          <w:sz w:val="20"/>
          <w:szCs w:val="20"/>
          <w:color w:val="auto"/>
        </w:rPr>
      </w:pPr>
    </w:p>
    <w:p>
      <w:pPr>
        <w:ind w:right="140" w:firstLine="324"/>
        <w:spacing w:after="0" w:line="300" w:lineRule="auto"/>
        <w:rPr>
          <w:sz w:val="20"/>
          <w:szCs w:val="20"/>
          <w:color w:val="auto"/>
        </w:rPr>
      </w:pPr>
      <w:r>
        <w:rPr>
          <w:rFonts w:ascii="Arial" w:cs="Arial" w:eastAsia="Arial" w:hAnsi="Arial"/>
          <w:sz w:val="16"/>
          <w:szCs w:val="16"/>
          <w:color w:val="auto"/>
        </w:rPr>
        <w:t xml:space="preserve">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w:t>
      </w:r>
      <w:r>
        <w:rPr>
          <w:rFonts w:ascii="Arial" w:cs="Arial" w:eastAsia="Arial" w:hAnsi="Arial"/>
          <w:sz w:val="15"/>
          <w:szCs w:val="15"/>
          <w:color w:val="auto"/>
        </w:rPr>
        <w:t>to fix the designations, powers,</w:t>
      </w:r>
      <w:r>
        <w:rPr>
          <w:rFonts w:ascii="Arial" w:cs="Arial" w:eastAsia="Arial" w:hAnsi="Arial"/>
          <w:sz w:val="16"/>
          <w:szCs w:val="16"/>
          <w:color w:val="auto"/>
        </w:rPr>
        <w:t xml:space="preserve"> </w:t>
      </w:r>
      <w:r>
        <w:rPr>
          <w:rFonts w:ascii="Arial" w:cs="Arial" w:eastAsia="Arial" w:hAnsi="Arial"/>
          <w:sz w:val="15"/>
          <w:szCs w:val="15"/>
          <w:color w:val="auto"/>
        </w:rPr>
        <w:t>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the common stock, and to increase or decrease the number of shares of any such series, but not below the number of shares of such series then outstanding.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board of directors, without stockholder approval, can issue preferred stock with voting, conversion or other rights that could adversely affect the voting power and other rights of the holders of common stock. Preferred stock could be issued quickly with terms designed to delay or prevent a change in control of our company or make removal of management more difficult. Additionally,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w:t>
      </w:r>
    </w:p>
    <w:p>
      <w:pPr>
        <w:spacing w:after="0" w:line="17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board of directors will fix the designations, voting powers, preferences and rights of the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176"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9" w:lineRule="exact"/>
        <w:rPr>
          <w:rFonts w:ascii="Arial" w:cs="Arial" w:eastAsia="Arial" w:hAnsi="Arial"/>
          <w:sz w:val="18"/>
          <w:szCs w:val="18"/>
          <w:color w:val="auto"/>
        </w:rPr>
      </w:pPr>
    </w:p>
    <w:p>
      <w:pPr>
        <w:ind w:left="980" w:right="400" w:hanging="324"/>
        <w:spacing w:after="0" w:line="250"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9" w:lineRule="exact"/>
        <w:rPr>
          <w:rFonts w:ascii="Arial" w:cs="Arial" w:eastAsia="Arial" w:hAnsi="Arial"/>
          <w:sz w:val="18"/>
          <w:szCs w:val="18"/>
          <w:color w:val="auto"/>
        </w:rPr>
      </w:pPr>
    </w:p>
    <w:p>
      <w:pPr>
        <w:ind w:left="980" w:right="100" w:hanging="324"/>
        <w:spacing w:after="0" w:line="281" w:lineRule="auto"/>
        <w:tabs>
          <w:tab w:leader="none" w:pos="9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1" w:lineRule="exact"/>
        <w:rPr>
          <w:rFonts w:ascii="Arial" w:cs="Arial" w:eastAsia="Arial" w:hAnsi="Arial"/>
          <w:sz w:val="16"/>
          <w:szCs w:val="16"/>
          <w:color w:val="auto"/>
        </w:rPr>
      </w:pPr>
    </w:p>
    <w:p>
      <w:pPr>
        <w:ind w:left="980" w:right="300" w:hanging="324"/>
        <w:spacing w:after="0" w:line="250"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0" w:lineRule="exact"/>
        <w:rPr>
          <w:rFonts w:ascii="Arial" w:cs="Arial" w:eastAsia="Arial" w:hAnsi="Arial"/>
          <w:sz w:val="17"/>
          <w:szCs w:val="17"/>
          <w:color w:val="auto"/>
        </w:rPr>
      </w:pPr>
    </w:p>
    <w:p>
      <w:pPr>
        <w:ind w:left="980" w:right="280" w:hanging="324"/>
        <w:spacing w:after="0" w:line="250"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11" w:lineRule="exact"/>
        <w:rPr>
          <w:sz w:val="20"/>
          <w:szCs w:val="20"/>
          <w:color w:val="auto"/>
        </w:rPr>
      </w:pPr>
    </w:p>
    <w:p>
      <w:pPr>
        <w:ind w:firstLine="238"/>
        <w:spacing w:after="0" w:line="26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Delaware General Corporation Law, the state of our incorporation, provides that the holders of preferred stock will have the right to vote separately as a</w:t>
      </w:r>
      <w:r>
        <w:rPr>
          <w:rFonts w:ascii="Arial" w:cs="Arial" w:eastAsia="Arial" w:hAnsi="Arial"/>
          <w:sz w:val="18"/>
          <w:szCs w:val="18"/>
          <w:color w:val="auto"/>
        </w:rPr>
        <w:t xml:space="preserve"> </w:t>
      </w:r>
      <w:r>
        <w:rPr>
          <w:rFonts w:ascii="Arial" w:cs="Arial" w:eastAsia="Arial" w:hAnsi="Arial"/>
          <w:sz w:val="17"/>
          <w:szCs w:val="17"/>
          <w:color w:val="auto"/>
        </w:rPr>
        <w:t>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60" w:firstLine="330"/>
        <w:spacing w:after="0" w:line="263" w:lineRule="auto"/>
        <w:rPr>
          <w:sz w:val="20"/>
          <w:szCs w:val="20"/>
          <w:color w:val="auto"/>
        </w:rPr>
      </w:pPr>
      <w:r>
        <w:rPr>
          <w:rFonts w:ascii="Arial" w:cs="Arial" w:eastAsia="Arial" w:hAnsi="Arial"/>
          <w:sz w:val="18"/>
          <w:szCs w:val="18"/>
          <w:color w:val="auto"/>
        </w:rPr>
        <w:t>We and certain holders of shares of our common stock have entered into an investors’ rights agreement. The registration rights provisions of this agreement provide those holders with demand, piggyback and Form S-3 registration rights with respect to the shares of common stock currently held by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firstLine="330"/>
        <w:spacing w:after="0" w:line="255" w:lineRule="auto"/>
        <w:rPr>
          <w:sz w:val="20"/>
          <w:szCs w:val="20"/>
          <w:color w:val="auto"/>
        </w:rPr>
      </w:pPr>
      <w:r>
        <w:rPr>
          <w:rFonts w:ascii="Arial" w:cs="Arial" w:eastAsia="Arial" w:hAnsi="Arial"/>
          <w:sz w:val="18"/>
          <w:szCs w:val="18"/>
          <w:color w:val="auto"/>
        </w:rPr>
        <w:t>The holders of at least a majority of the outstanding shares issued upon conversion of our convertible preferred stock in the aggregate have the right to demand that we file up to a total of two registration statements, as long as the anticipated aggregate offering price, net of underwriting discounts and commissions, would exceed $5.0 million.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90 days after the receipt of such request. Certain of our pre-initial public offering stockholders are entitled to these demand registration rights.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20" w:firstLine="330"/>
        <w:spacing w:after="0" w:line="293"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shares of common stock that have been issued upon conversion of our convertible preferred stock are entitled to notice of the registration and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Certain of our pre-initial public offering stockholders are entitled to these piggyback registration rights. The requisite holders of piggyback registration rights under our investors’ rights agreement have waived these rights as they may apply to the filing of the registration statement of which this prospectus is a part.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225" w:lineRule="exact"/>
        <w:rPr>
          <w:sz w:val="20"/>
          <w:szCs w:val="20"/>
          <w:color w:val="auto"/>
        </w:rPr>
      </w:pPr>
    </w:p>
    <w:p>
      <w:pPr>
        <w:ind w:right="120" w:firstLine="330"/>
        <w:spacing w:after="0" w:line="255" w:lineRule="auto"/>
        <w:rPr>
          <w:sz w:val="20"/>
          <w:szCs w:val="20"/>
          <w:color w:val="auto"/>
        </w:rPr>
      </w:pPr>
      <w:r>
        <w:rPr>
          <w:rFonts w:ascii="Arial" w:cs="Arial" w:eastAsia="Arial" w:hAnsi="Arial"/>
          <w:sz w:val="18"/>
          <w:szCs w:val="18"/>
          <w:color w:val="auto"/>
        </w:rPr>
        <w:t>The holders of shares of common stock that were issued upon conversion of our convertible preferred stock are entitled, upon the written request of holders of at least 30% of such shares, to have such shares registered by us on a Form S-3 registration statement at our expense. These Form S-3 registration rights are subject to other specified conditions and limitations, including the condition that the anticipated aggregate offering price, net of underwriting discounts and commissions, exceeds $2.5 million. Upon receipt of this request, the holders of shares of common stock that were issued upon conversion of our convertible preferred stock will each be entitled to participate in this registration. Certain of our pre-initial public offering stockholders are entitled to these Form S-3 registration rights.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180" w:firstLine="330"/>
        <w:spacing w:after="0" w:line="277" w:lineRule="auto"/>
        <w:rPr>
          <w:sz w:val="20"/>
          <w:szCs w:val="20"/>
          <w:color w:val="auto"/>
        </w:rPr>
      </w:pPr>
      <w:r>
        <w:rPr>
          <w:rFonts w:ascii="Arial" w:cs="Arial" w:eastAsia="Arial" w:hAnsi="Arial"/>
          <w:sz w:val="18"/>
          <w:szCs w:val="18"/>
          <w:color w:val="auto"/>
        </w:rPr>
        <w:t>We will pay all expenses relating to any demand, piggyback or Form S-3 registration, other than underwriting discounts and commissions, subject to specified conditions and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5" w:lineRule="exact"/>
        <w:rPr>
          <w:sz w:val="20"/>
          <w:szCs w:val="20"/>
          <w:color w:val="auto"/>
        </w:rPr>
      </w:pPr>
    </w:p>
    <w:p>
      <w:pPr>
        <w:jc w:val="both"/>
        <w:ind w:right="80" w:firstLine="330"/>
        <w:spacing w:after="0" w:line="263" w:lineRule="auto"/>
        <w:rPr>
          <w:sz w:val="20"/>
          <w:szCs w:val="20"/>
          <w:color w:val="auto"/>
        </w:rPr>
      </w:pPr>
      <w:r>
        <w:rPr>
          <w:rFonts w:ascii="Arial" w:cs="Arial" w:eastAsia="Arial" w:hAnsi="Arial"/>
          <w:sz w:val="18"/>
          <w:szCs w:val="18"/>
          <w:color w:val="auto"/>
        </w:rPr>
        <w:t>The registration rights granted under the investors’ rights agreement will terminate upon the earlier of the fifth anniversary of the closing of our initial public offering, a liquidation event or at such time as all shares of common stock issued upon conversion of preferred stock are eligible to be sold without restriction pursuant to Rule 144 under the Securities Act within any 90-day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jc w:val="both"/>
        <w:ind w:right="420" w:firstLine="33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4" w:lineRule="exact"/>
        <w:rPr>
          <w:sz w:val="20"/>
          <w:szCs w:val="20"/>
          <w:color w:val="auto"/>
        </w:rPr>
      </w:pPr>
    </w:p>
    <w:p>
      <w:pPr>
        <w:ind w:left="660" w:right="720" w:hanging="328"/>
        <w:spacing w:after="0" w:line="258"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 w:lineRule="exact"/>
        <w:rPr>
          <w:rFonts w:ascii="Arial" w:cs="Arial" w:eastAsia="Arial" w:hAnsi="Arial"/>
          <w:sz w:val="18"/>
          <w:szCs w:val="18"/>
          <w:color w:val="auto"/>
        </w:rPr>
      </w:pPr>
    </w:p>
    <w:p>
      <w:pPr>
        <w:ind w:left="660" w:right="460" w:hanging="328"/>
        <w:spacing w:after="0" w:line="255"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ind w:left="660" w:right="720" w:hanging="328"/>
        <w:spacing w:after="0" w:line="250"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ind w:left="660" w:right="340" w:hanging="328"/>
        <w:spacing w:after="0" w:line="260"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5" w:lineRule="exact"/>
        <w:rPr>
          <w:sz w:val="20"/>
          <w:szCs w:val="20"/>
          <w:color w:val="auto"/>
        </w:rPr>
      </w:pPr>
    </w:p>
    <w:p>
      <w:pPr>
        <w:jc w:val="both"/>
        <w:ind w:right="60" w:firstLine="33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firstLine="330"/>
        <w:spacing w:after="0" w:line="271" w:lineRule="auto"/>
        <w:rPr>
          <w:sz w:val="20"/>
          <w:szCs w:val="20"/>
          <w:color w:val="auto"/>
        </w:rPr>
      </w:pPr>
      <w:r>
        <w:rPr>
          <w:rFonts w:ascii="Arial" w:cs="Arial" w:eastAsia="Arial" w:hAnsi="Arial"/>
          <w:sz w:val="17"/>
          <w:szCs w:val="17"/>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amended and restated certificate of incorporation and our amended and restated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78" w:lineRule="exact"/>
        <w:rPr>
          <w:sz w:val="20"/>
          <w:szCs w:val="20"/>
          <w:color w:val="auto"/>
        </w:rPr>
      </w:pPr>
    </w:p>
    <w:p>
      <w:pPr>
        <w:jc w:val="both"/>
        <w:ind w:right="40" w:firstLine="33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30"/>
        <w:spacing w:after="0" w:line="263" w:lineRule="auto"/>
        <w:rPr>
          <w:sz w:val="20"/>
          <w:szCs w:val="20"/>
          <w:color w:val="auto"/>
        </w:rPr>
      </w:pPr>
      <w:r>
        <w:rPr>
          <w:rFonts w:ascii="Arial" w:cs="Arial" w:eastAsia="Arial" w:hAnsi="Arial"/>
          <w:sz w:val="18"/>
          <w:szCs w:val="18"/>
          <w:color w:val="auto"/>
        </w:rPr>
        <w:t>Our amended and restated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184" w:lineRule="exact"/>
        <w:rPr>
          <w:sz w:val="20"/>
          <w:szCs w:val="20"/>
          <w:color w:val="auto"/>
        </w:rPr>
      </w:pPr>
    </w:p>
    <w:p>
      <w:pPr>
        <w:ind w:right="500" w:firstLine="33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stockholders cannot amend many of the provisions described above except by a vote of 66 2/3% or more of our outstanding common stock.</w:t>
      </w:r>
    </w:p>
    <w:p>
      <w:pPr>
        <w:spacing w:after="0" w:line="170" w:lineRule="exact"/>
        <w:rPr>
          <w:sz w:val="20"/>
          <w:szCs w:val="20"/>
          <w:color w:val="auto"/>
        </w:rPr>
      </w:pPr>
    </w:p>
    <w:p>
      <w:pPr>
        <w:ind w:firstLine="330"/>
        <w:spacing w:after="0" w:line="257" w:lineRule="auto"/>
        <w:rPr>
          <w:sz w:val="20"/>
          <w:szCs w:val="20"/>
          <w:color w:val="auto"/>
        </w:rPr>
      </w:pPr>
      <w:r>
        <w:rPr>
          <w:rFonts w:ascii="Arial" w:cs="Arial" w:eastAsia="Arial" w:hAnsi="Arial"/>
          <w:sz w:val="18"/>
          <w:szCs w:val="18"/>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330"/>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right="120" w:firstLine="330"/>
        <w:spacing w:after="0" w:line="293"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However, this exclusive forum provision would not apply to suits brought to enforce a duty or liability created by the Securities Act or the Exchange Act.</w:t>
      </w:r>
    </w:p>
    <w:p>
      <w:pPr>
        <w:spacing w:after="0" w:line="164" w:lineRule="exact"/>
        <w:rPr>
          <w:sz w:val="20"/>
          <w:szCs w:val="20"/>
          <w:color w:val="auto"/>
        </w:rPr>
      </w:pPr>
    </w:p>
    <w:p>
      <w:pPr>
        <w:ind w:right="100" w:firstLine="330"/>
        <w:spacing w:after="0" w:line="263" w:lineRule="auto"/>
        <w:rPr>
          <w:sz w:val="20"/>
          <w:szCs w:val="20"/>
          <w:color w:val="auto"/>
        </w:rPr>
      </w:pPr>
      <w:r>
        <w:rPr>
          <w:rFonts w:ascii="Arial" w:cs="Arial" w:eastAsia="Arial" w:hAnsi="Arial"/>
          <w:sz w:val="18"/>
          <w:szCs w:val="18"/>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amended and restated certificate of incorporation to be inapplicable or unenforceable in such 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transfer agent and registrar for our common stock is Broadridge Corporate Issuer Solutions, Inc. The transfer agent’s address is 1717 Arch Street, Suite 1300, Philadelphia, Pennsylvania 19103. The transfer agent for any series of preferred stock that we may offer under this prospectus will be named and described in the prospectus supplement for that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“ACRS.”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00" w:firstLine="324"/>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ind w:left="980" w:hanging="324"/>
        <w:spacing w:after="0" w:line="253"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60" w:hanging="324"/>
        <w:spacing w:after="0" w:line="291" w:lineRule="auto"/>
        <w:tabs>
          <w:tab w:leader="none" w:pos="9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980" w:right="46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32" w:lineRule="exact"/>
        <w:rPr>
          <w:rFonts w:ascii="Arial" w:cs="Arial" w:eastAsia="Arial" w:hAnsi="Arial"/>
          <w:sz w:val="16"/>
          <w:szCs w:val="16"/>
          <w:color w:val="auto"/>
        </w:rPr>
      </w:pPr>
    </w:p>
    <w:p>
      <w:pPr>
        <w:ind w:left="980" w:right="16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 w:lineRule="exact"/>
        <w:rPr>
          <w:rFonts w:ascii="Arial" w:cs="Arial" w:eastAsia="Arial" w:hAnsi="Arial"/>
          <w:sz w:val="18"/>
          <w:szCs w:val="18"/>
          <w:color w:val="auto"/>
        </w:rPr>
      </w:pPr>
    </w:p>
    <w:p>
      <w:pPr>
        <w:ind w:left="980" w:right="14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 w:lineRule="exact"/>
        <w:rPr>
          <w:rFonts w:ascii="Arial" w:cs="Arial" w:eastAsia="Arial" w:hAnsi="Arial"/>
          <w:sz w:val="18"/>
          <w:szCs w:val="18"/>
          <w:color w:val="auto"/>
        </w:rPr>
      </w:pPr>
    </w:p>
    <w:p>
      <w:pPr>
        <w:ind w:left="980" w:right="260" w:hanging="324"/>
        <w:spacing w:after="0" w:line="265" w:lineRule="auto"/>
        <w:tabs>
          <w:tab w:leader="none" w:pos="9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ind w:left="980" w:right="14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ind w:left="980" w:right="22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ind w:left="980" w:right="8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ind w:left="940" w:hanging="284"/>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20" w:lineRule="exact"/>
        <w:rPr>
          <w:rFonts w:ascii="Arial" w:cs="Arial" w:eastAsia="Arial" w:hAnsi="Arial"/>
          <w:sz w:val="17"/>
          <w:szCs w:val="17"/>
          <w:color w:val="auto"/>
        </w:rPr>
      </w:pPr>
    </w:p>
    <w:p>
      <w:pPr>
        <w:ind w:left="980" w:right="8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ind w:left="980" w:right="140" w:hanging="324"/>
        <w:spacing w:after="0" w:line="250"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9" w:lineRule="exact"/>
        <w:rPr>
          <w:rFonts w:ascii="Arial" w:cs="Arial" w:eastAsia="Arial" w:hAnsi="Arial"/>
          <w:sz w:val="18"/>
          <w:szCs w:val="18"/>
          <w:color w:val="auto"/>
        </w:rPr>
      </w:pPr>
    </w:p>
    <w:p>
      <w:pPr>
        <w:ind w:left="980" w:right="520" w:hanging="324"/>
        <w:spacing w:after="0" w:line="290" w:lineRule="auto"/>
        <w:tabs>
          <w:tab w:leader="none" w:pos="9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holder or at our option. We may include provisions pursuant to which the number of shares of our common stock or our other securities that the holders of the series of debt securities receive would be subject to adjustment.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70" w:lineRule="exact"/>
        <w:rPr>
          <w:sz w:val="20"/>
          <w:szCs w:val="20"/>
          <w:color w:val="auto"/>
        </w:rPr>
      </w:pPr>
    </w:p>
    <w:p>
      <w:pPr>
        <w:ind w:left="980" w:right="40" w:hanging="324"/>
        <w:spacing w:after="0" w:line="287" w:lineRule="auto"/>
        <w:tabs>
          <w:tab w:leader="none" w:pos="9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 w:lineRule="exact"/>
        <w:rPr>
          <w:rFonts w:ascii="Arial" w:cs="Arial" w:eastAsia="Arial" w:hAnsi="Arial"/>
          <w:sz w:val="16"/>
          <w:szCs w:val="16"/>
          <w:color w:val="auto"/>
        </w:rPr>
      </w:pPr>
    </w:p>
    <w:p>
      <w:pPr>
        <w:ind w:left="980" w:right="160" w:hanging="324"/>
        <w:spacing w:after="0" w:line="281" w:lineRule="auto"/>
        <w:tabs>
          <w:tab w:leader="none" w:pos="9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2" w:lineRule="exact"/>
        <w:rPr>
          <w:rFonts w:ascii="Arial" w:cs="Arial" w:eastAsia="Arial" w:hAnsi="Arial"/>
          <w:sz w:val="16"/>
          <w:szCs w:val="16"/>
          <w:color w:val="auto"/>
        </w:rPr>
      </w:pPr>
    </w:p>
    <w:p>
      <w:pPr>
        <w:ind w:left="980" w:right="240" w:hanging="324"/>
        <w:spacing w:after="0" w:line="265" w:lineRule="auto"/>
        <w:tabs>
          <w:tab w:leader="none" w:pos="9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1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6" w:lineRule="exact"/>
        <w:rPr>
          <w:sz w:val="20"/>
          <w:szCs w:val="20"/>
          <w:color w:val="auto"/>
        </w:rPr>
      </w:pPr>
    </w:p>
    <w:p>
      <w:pPr>
        <w:ind w:left="5540" w:right="3240" w:hanging="4884"/>
        <w:spacing w:after="0" w:line="527" w:lineRule="auto"/>
        <w:tabs>
          <w:tab w:leader="none" w:pos="9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8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0" w:lineRule="exact"/>
        <w:rPr>
          <w:sz w:val="20"/>
          <w:szCs w:val="20"/>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20" w:lineRule="exact"/>
        <w:rPr>
          <w:rFonts w:ascii="Arial" w:cs="Arial" w:eastAsia="Arial" w:hAnsi="Arial"/>
          <w:sz w:val="17"/>
          <w:szCs w:val="17"/>
          <w:color w:val="auto"/>
        </w:rPr>
      </w:pPr>
    </w:p>
    <w:p>
      <w:pPr>
        <w:ind w:left="980" w:right="260" w:hanging="324"/>
        <w:spacing w:after="0" w:line="250"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ind w:left="980" w:right="740" w:hanging="324"/>
        <w:spacing w:after="0" w:line="290" w:lineRule="auto"/>
        <w:tabs>
          <w:tab w:leader="none" w:pos="94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 w:lineRule="exact"/>
        <w:rPr>
          <w:rFonts w:ascii="Arial" w:cs="Arial" w:eastAsia="Arial" w:hAnsi="Arial"/>
          <w:sz w:val="18"/>
          <w:szCs w:val="18"/>
          <w:color w:val="auto"/>
        </w:rPr>
      </w:pPr>
    </w:p>
    <w:p>
      <w:pPr>
        <w:ind w:left="980" w:right="1040" w:hanging="324"/>
        <w:spacing w:after="0" w:line="250"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ind w:left="940" w:hanging="284"/>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20" w:lineRule="exact"/>
        <w:rPr>
          <w:rFonts w:ascii="Arial" w:cs="Arial" w:eastAsia="Arial" w:hAnsi="Arial"/>
          <w:sz w:val="17"/>
          <w:szCs w:val="17"/>
          <w:color w:val="auto"/>
        </w:rPr>
      </w:pPr>
    </w:p>
    <w:p>
      <w:pPr>
        <w:jc w:val="both"/>
        <w:ind w:left="980" w:right="380" w:hanging="324"/>
        <w:spacing w:after="0" w:line="265" w:lineRule="auto"/>
        <w:tabs>
          <w:tab w:leader="none" w:pos="9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 or</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23" w:lineRule="exact"/>
        <w:rPr>
          <w:rFonts w:ascii="Arial" w:cs="Arial" w:eastAsia="Arial" w:hAnsi="Arial"/>
          <w:sz w:val="18"/>
          <w:szCs w:val="18"/>
          <w:color w:val="auto"/>
        </w:rPr>
      </w:pPr>
    </w:p>
    <w:p>
      <w:pPr>
        <w:ind w:left="980" w:right="240" w:hanging="324"/>
        <w:spacing w:after="0" w:line="250"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ind w:left="980" w:right="560" w:hanging="324"/>
        <w:spacing w:after="0" w:line="260"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indenture provides that we can elect to be discharged from our obligations with respect to one or more series of debt securities, except for specified obligations, including obligations to:</w:t>
      </w:r>
    </w:p>
    <w:p>
      <w:pPr>
        <w:spacing w:after="0" w:line="170"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980" w:hanging="324"/>
        <w:spacing w:after="0" w:line="255"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980" w:right="200" w:hanging="324"/>
        <w:spacing w:after="0" w:line="260"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register the transfer or exchange of any debt securities so selected for redemption, in whole or in part, except the unredeemed portion of any debt securities we are redeeming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6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relating to a series of warrants being offered, including:</w:t>
      </w:r>
    </w:p>
    <w:p>
      <w:pPr>
        <w:spacing w:after="0" w:line="225" w:lineRule="exact"/>
        <w:rPr>
          <w:sz w:val="20"/>
          <w:szCs w:val="20"/>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such securities;</w:t>
      </w:r>
    </w:p>
    <w:p>
      <w:pPr>
        <w:spacing w:after="0" w:line="23" w:lineRule="exact"/>
        <w:rPr>
          <w:rFonts w:ascii="Arial" w:cs="Arial" w:eastAsia="Arial" w:hAnsi="Arial"/>
          <w:sz w:val="18"/>
          <w:szCs w:val="18"/>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offering price or prices and aggregate number of warrants offered;</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or currencies for which the warrants may be purchased;</w:t>
      </w:r>
    </w:p>
    <w:p>
      <w:pPr>
        <w:spacing w:after="0" w:line="9" w:lineRule="exact"/>
        <w:rPr>
          <w:rFonts w:ascii="Arial" w:cs="Arial" w:eastAsia="Arial" w:hAnsi="Arial"/>
          <w:sz w:val="18"/>
          <w:szCs w:val="18"/>
          <w:color w:val="auto"/>
        </w:rPr>
      </w:pPr>
    </w:p>
    <w:p>
      <w:pPr>
        <w:ind w:left="1360" w:right="100" w:hanging="328"/>
        <w:spacing w:after="0" w:line="250" w:lineRule="auto"/>
        <w:tabs>
          <w:tab w:leader="none" w:pos="13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 w:lineRule="exact"/>
        <w:rPr>
          <w:rFonts w:ascii="Arial" w:cs="Arial" w:eastAsia="Arial" w:hAnsi="Arial"/>
          <w:sz w:val="18"/>
          <w:szCs w:val="18"/>
          <w:color w:val="auto"/>
        </w:rPr>
      </w:pPr>
    </w:p>
    <w:p>
      <w:pPr>
        <w:ind w:left="1360" w:right="140" w:hanging="328"/>
        <w:spacing w:after="0" w:line="281" w:lineRule="auto"/>
        <w:tabs>
          <w:tab w:leader="none" w:pos="13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1" w:lineRule="exact"/>
        <w:rPr>
          <w:rFonts w:ascii="Arial" w:cs="Arial" w:eastAsia="Arial" w:hAnsi="Arial"/>
          <w:sz w:val="16"/>
          <w:szCs w:val="16"/>
          <w:color w:val="auto"/>
        </w:rPr>
      </w:pPr>
    </w:p>
    <w:p>
      <w:pPr>
        <w:ind w:left="1360" w:right="280" w:hanging="328"/>
        <w:spacing w:after="0" w:line="250" w:lineRule="auto"/>
        <w:tabs>
          <w:tab w:leader="none" w:pos="13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1" w:lineRule="exact"/>
        <w:rPr>
          <w:rFonts w:ascii="Arial" w:cs="Arial" w:eastAsia="Arial" w:hAnsi="Arial"/>
          <w:sz w:val="18"/>
          <w:szCs w:val="18"/>
          <w:color w:val="auto"/>
        </w:rPr>
      </w:pPr>
    </w:p>
    <w:p>
      <w:pPr>
        <w:ind w:left="1320" w:hanging="288"/>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effect of any merger, consolidation, sale or other disposition of our business on the warrant agreements and the warrants;</w:t>
      </w:r>
    </w:p>
    <w:p>
      <w:pPr>
        <w:spacing w:after="0" w:line="20" w:lineRule="exact"/>
        <w:rPr>
          <w:rFonts w:ascii="Arial" w:cs="Arial" w:eastAsia="Arial" w:hAnsi="Arial"/>
          <w:sz w:val="17"/>
          <w:szCs w:val="17"/>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rights to force the exercise of the warrants;</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20" w:lineRule="exact"/>
        <w:rPr>
          <w:rFonts w:ascii="Arial" w:cs="Arial" w:eastAsia="Arial" w:hAnsi="Arial"/>
          <w:sz w:val="17"/>
          <w:szCs w:val="17"/>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consequences of holding or exercising the warrants;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20" w:hanging="288"/>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23" w:lineRule="exact"/>
        <w:rPr>
          <w:rFonts w:ascii="Arial" w:cs="Arial" w:eastAsia="Arial" w:hAnsi="Arial"/>
          <w:sz w:val="18"/>
          <w:szCs w:val="18"/>
          <w:color w:val="auto"/>
        </w:rPr>
      </w:pPr>
    </w:p>
    <w:p>
      <w:pPr>
        <w:ind w:left="1320" w:hanging="288"/>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170" w:lineRule="exact"/>
        <w:rPr>
          <w:sz w:val="20"/>
          <w:szCs w:val="20"/>
          <w:color w:val="auto"/>
        </w:rPr>
      </w:pPr>
    </w:p>
    <w:p>
      <w:pPr>
        <w:ind w:left="1360" w:right="260" w:hanging="328"/>
        <w:spacing w:after="0" w:line="258" w:lineRule="auto"/>
        <w:tabs>
          <w:tab w:leader="none" w:pos="1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 w:lineRule="exact"/>
        <w:rPr>
          <w:rFonts w:ascii="Arial" w:cs="Arial" w:eastAsia="Arial" w:hAnsi="Arial"/>
          <w:sz w:val="18"/>
          <w:szCs w:val="18"/>
          <w:color w:val="auto"/>
        </w:rPr>
      </w:pPr>
    </w:p>
    <w:p>
      <w:pPr>
        <w:ind w:left="1360" w:right="560" w:hanging="328"/>
        <w:spacing w:after="0" w:line="260" w:lineRule="auto"/>
        <w:tabs>
          <w:tab w:leader="none" w:pos="1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9"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70" w:lineRule="exact"/>
        <w:rPr>
          <w:sz w:val="20"/>
          <w:szCs w:val="20"/>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holder, if that is permitted in the future;</w:t>
      </w:r>
    </w:p>
    <w:p>
      <w:pPr>
        <w:ind w:left="980" w:right="340" w:hanging="324"/>
        <w:spacing w:after="0" w:line="250"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64"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225" w:lineRule="exact"/>
        <w:rPr>
          <w:sz w:val="20"/>
          <w:szCs w:val="20"/>
          <w:color w:val="auto"/>
        </w:rPr>
      </w:pPr>
    </w:p>
    <w:p>
      <w:pPr>
        <w:ind w:left="980" w:hanging="324"/>
        <w:spacing w:after="0" w:line="27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58"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 w:lineRule="exact"/>
        <w:rPr>
          <w:rFonts w:ascii="Arial" w:cs="Arial" w:eastAsia="Arial" w:hAnsi="Arial"/>
          <w:sz w:val="18"/>
          <w:szCs w:val="18"/>
          <w:color w:val="auto"/>
        </w:rPr>
      </w:pPr>
    </w:p>
    <w:p>
      <w:pPr>
        <w:ind w:left="980" w:right="140" w:hanging="324"/>
        <w:spacing w:after="0" w:line="250"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ind w:left="980" w:right="240" w:hanging="324"/>
        <w:spacing w:after="0" w:line="250"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ind w:left="980" w:right="300" w:hanging="324"/>
        <w:spacing w:after="0" w:line="250"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ind w:left="980" w:right="200" w:hanging="324"/>
        <w:spacing w:after="0" w:line="250"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ind w:left="980" w:right="60" w:hanging="324"/>
        <w:spacing w:after="0" w:line="250"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ind w:left="980" w:right="500" w:hanging="324"/>
        <w:spacing w:after="0" w:line="290" w:lineRule="auto"/>
        <w:tabs>
          <w:tab w:leader="none" w:pos="944"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global security will terminate when the following special situations occur:</w:t>
      </w:r>
    </w:p>
    <w:p>
      <w:pPr>
        <w:spacing w:after="0" w:line="225" w:lineRule="exact"/>
        <w:rPr>
          <w:sz w:val="20"/>
          <w:szCs w:val="20"/>
          <w:color w:val="auto"/>
        </w:rPr>
      </w:pPr>
    </w:p>
    <w:p>
      <w:pPr>
        <w:ind w:left="980" w:right="20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84" w:lineRule="exact"/>
        <w:rPr>
          <w:sz w:val="20"/>
          <w:szCs w:val="20"/>
          <w:color w:val="auto"/>
        </w:rPr>
      </w:pPr>
    </w:p>
    <w:p>
      <w:pPr>
        <w:ind w:left="1260" w:hanging="28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spacing w:after="0" w:line="146" w:lineRule="exact"/>
        <w:rPr>
          <w:sz w:val="20"/>
          <w:szCs w:val="20"/>
          <w:color w:val="auto"/>
        </w:rPr>
      </w:pPr>
    </w:p>
    <w:p>
      <w:pPr>
        <w:ind w:left="1300" w:right="120" w:hanging="320"/>
        <w:spacing w:after="0" w:line="258" w:lineRule="auto"/>
        <w:tabs>
          <w:tab w:leader="none" w:pos="1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than on the Nasdaq Global Select Market or such other securities exchanges or quotation or trading services.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at the market offerings, if any, may be conducted by underwriters acting as principal or agent.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0" w:lineRule="exact"/>
        <w:rPr>
          <w:sz w:val="20"/>
          <w:szCs w:val="20"/>
          <w:color w:val="auto"/>
        </w:rPr>
      </w:pPr>
    </w:p>
    <w:p>
      <w:pPr>
        <w:ind w:left="1320" w:hanging="288"/>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23" w:lineRule="exact"/>
        <w:rPr>
          <w:rFonts w:ascii="Arial" w:cs="Arial" w:eastAsia="Arial" w:hAnsi="Arial"/>
          <w:sz w:val="18"/>
          <w:szCs w:val="18"/>
          <w:color w:val="auto"/>
        </w:rPr>
      </w:pPr>
    </w:p>
    <w:p>
      <w:pPr>
        <w:ind w:left="1320" w:hanging="288"/>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1320" w:hanging="288"/>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7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may authorize agents or underwriters to solicit offers by certain types of institutional investors to purchase securities from us at the public offering price set forth in the prospectus supplement pursuant to delayed delivery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contracts providing for payment and delivery on a specified date in the future. We will describe the conditions to these contracts and the commissions we must pay for solicitation of these contracts in the prospectus supplement.</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84"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9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00" w:firstLine="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financial statements incorporated in this prospectus by reference to the </w:t>
      </w:r>
      <w:hyperlink r:id="rId34">
        <w:r>
          <w:rPr>
            <w:rFonts w:ascii="Arial" w:cs="Arial" w:eastAsia="Arial" w:hAnsi="Arial"/>
            <w:sz w:val="18"/>
            <w:szCs w:val="18"/>
            <w:u w:val="single" w:color="auto"/>
            <w:color w:val="0000EE"/>
          </w:rPr>
          <w:t>Annual Report on Form 10-K for the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than the date on the front page of this prospectus, regardless of the time of delivery of this prospectus or any sale of the securities offered by this prospectus.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that contains reports, proxy statements and other information regarding issuers that file electronically with the SEC, including Aclaris. The address of the SEC website is www.sec.gov.</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maintain a website at www.aclaristx.com. Information contained in or accessible through our website does not constitute a part of this prospectus.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001-37581. The documents incorporated by reference into this prospectus contain important information that you should read about us.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1260" w:hanging="280"/>
        <w:spacing w:after="0"/>
        <w:tabs>
          <w:tab w:leader="none" w:pos="1260" w:val="left"/>
        </w:tabs>
        <w:numPr>
          <w:ilvl w:val="0"/>
          <w:numId w:val="47"/>
        </w:numPr>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our Annual Report on Form 10-K for the year ended December 31, 2019, filed with the SEC on February 25, 2020;</w:t>
        </w:r>
      </w:hyperlink>
    </w:p>
    <w:p>
      <w:pPr>
        <w:spacing w:after="0" w:line="225" w:lineRule="exact"/>
        <w:rPr>
          <w:rFonts w:ascii="Arial" w:cs="Arial" w:eastAsia="Arial" w:hAnsi="Arial"/>
          <w:sz w:val="18"/>
          <w:szCs w:val="18"/>
          <w:u w:val="single" w:color="auto"/>
          <w:color w:val="0000EE"/>
        </w:rPr>
      </w:pPr>
    </w:p>
    <w:p>
      <w:pPr>
        <w:ind w:left="1300" w:right="20" w:hanging="320"/>
        <w:spacing w:after="0" w:line="277" w:lineRule="auto"/>
        <w:tabs>
          <w:tab w:leader="none" w:pos="12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January 8,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0">
        <w:r>
          <w:rPr>
            <w:rFonts w:ascii="Arial" w:cs="Arial" w:eastAsia="Arial" w:hAnsi="Arial"/>
            <w:sz w:val="18"/>
            <w:szCs w:val="18"/>
            <w:u w:val="single" w:color="auto"/>
            <w:color w:val="0000EE"/>
          </w:rPr>
          <w:t>March 13, 2020</w:t>
        </w:r>
      </w:hyperlink>
      <w:r>
        <w:rPr>
          <w:rFonts w:ascii="Arial" w:cs="Arial" w:eastAsia="Arial" w:hAnsi="Arial"/>
          <w:sz w:val="18"/>
          <w:szCs w:val="18"/>
          <w:color w:val="auto"/>
        </w:rPr>
        <w:t>, to the extent the information in such reports is filed and not furnished; and</w:t>
      </w:r>
    </w:p>
    <w:p>
      <w:pPr>
        <w:spacing w:after="0" w:line="170" w:lineRule="exact"/>
        <w:rPr>
          <w:rFonts w:ascii="Arial" w:cs="Arial" w:eastAsia="Arial" w:hAnsi="Arial"/>
          <w:sz w:val="18"/>
          <w:szCs w:val="18"/>
          <w:color w:val="auto"/>
        </w:rPr>
      </w:pPr>
    </w:p>
    <w:p>
      <w:pPr>
        <w:ind w:left="1300" w:right="540" w:hanging="320"/>
        <w:spacing w:after="0" w:line="277" w:lineRule="auto"/>
        <w:tabs>
          <w:tab w:leader="none" w:pos="1264" w:val="left"/>
        </w:tabs>
        <w:numPr>
          <w:ilvl w:val="0"/>
          <w:numId w:val="47"/>
        </w:numPr>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the description of our common stock contained in our Registration Statement on Form 8-A, filed with the SEC on October 2, 2015,</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including any amendments or reports filed for the purposes of updating this description.</w:t>
        </w:r>
      </w:hyperlink>
    </w:p>
    <w:p>
      <w:pPr>
        <w:spacing w:after="0" w:line="170" w:lineRule="exact"/>
        <w:rPr>
          <w:rFonts w:ascii="Arial" w:cs="Arial" w:eastAsia="Arial" w:hAnsi="Arial"/>
          <w:sz w:val="18"/>
          <w:szCs w:val="18"/>
          <w:color w:val="auto"/>
        </w:rPr>
      </w:pPr>
    </w:p>
    <w:p>
      <w:pPr>
        <w:ind w:firstLine="324"/>
        <w:spacing w:after="0" w:line="275" w:lineRule="auto"/>
        <w:rPr>
          <w:sz w:val="20"/>
          <w:szCs w:val="20"/>
          <w:color w:val="auto"/>
        </w:rPr>
      </w:pPr>
      <w:r>
        <w:rPr>
          <w:rFonts w:ascii="Arial" w:cs="Arial" w:eastAsia="Arial" w:hAnsi="Arial"/>
          <w:sz w:val="17"/>
          <w:szCs w:val="17"/>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76" w:lineRule="exact"/>
        <w:rPr>
          <w:rFonts w:ascii="Arial" w:cs="Arial" w:eastAsia="Arial" w:hAnsi="Arial"/>
          <w:sz w:val="18"/>
          <w:szCs w:val="18"/>
          <w:color w:val="auto"/>
        </w:rPr>
      </w:pPr>
    </w:p>
    <w:p>
      <w:pPr>
        <w:ind w:right="40" w:firstLine="324"/>
        <w:spacing w:after="0" w:line="263"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w:t>
      </w:r>
    </w:p>
    <w:p>
      <w:pPr>
        <w:spacing w:after="0" w:line="18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Aclaris Therapeutics,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Attn: Kamil Ali-Jackson, Chief Legal Officer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640 Lee Road, Suite 200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Wayne, Pennsylvania 19087</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(484) 324-7933</w:t>
      </w:r>
    </w:p>
    <w:p>
      <w:pPr>
        <w:spacing w:after="0" w:line="211" w:lineRule="exact"/>
        <w:rPr>
          <w:rFonts w:ascii="Arial" w:cs="Arial" w:eastAsia="Arial" w:hAnsi="Arial"/>
          <w:sz w:val="18"/>
          <w:szCs w:val="18"/>
          <w:color w:val="auto"/>
        </w:rPr>
      </w:pPr>
    </w:p>
    <w:p>
      <w:pPr>
        <w:ind w:right="260" w:firstLine="324"/>
        <w:spacing w:after="0" w:line="286" w:lineRule="auto"/>
        <w:rPr>
          <w:sz w:val="20"/>
          <w:szCs w:val="20"/>
          <w:color w:val="auto"/>
        </w:rPr>
      </w:pPr>
      <w:r>
        <w:rPr>
          <w:rFonts w:ascii="Arial" w:cs="Arial" w:eastAsia="Arial" w:hAnsi="Arial"/>
          <w:sz w:val="17"/>
          <w:szCs w:val="17"/>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6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151765</wp:posOffset>
            </wp:positionV>
            <wp:extent cx="1705610" cy="694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70561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Up to </w:t>
      </w:r>
      <w:r>
        <w:rPr>
          <w:rFonts w:ascii="Arial" w:cs="Arial" w:eastAsia="Arial" w:hAnsi="Arial"/>
          <w:sz w:val="18"/>
          <w:szCs w:val="18"/>
          <w:color w:val="auto"/>
        </w:rPr>
        <w:t>$</w:t>
      </w:r>
      <w:r>
        <w:rPr>
          <w:rFonts w:ascii="Arial" w:cs="Arial" w:eastAsia="Arial" w:hAnsi="Arial"/>
          <w:sz w:val="18"/>
          <w:szCs w:val="18"/>
          <w:b w:val="1"/>
          <w:bCs w:val="1"/>
          <w:color w:val="auto"/>
        </w:rPr>
        <w:t>15,000,000 of Shares of</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Common Stock and 121,584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226060</wp:posOffset>
            </wp:positionV>
            <wp:extent cx="1800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85725</wp:posOffset>
            </wp:positionV>
            <wp:extent cx="1800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August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532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lvl w:ilvl="1">
      <w:lvlJc w:val="left"/>
      <w:lvlText w:val="(%2)"/>
      <w:numFmt w:val="lowerRoman"/>
      <w:start w:val="1"/>
    </w:lvl>
  </w:abstractNum>
  <w:abstractNum w:abstractNumId="12">
    <w:nsid w:val="8138641"/>
    <w:multiLevelType w:val="hybridMultilevel"/>
    <w:lvl w:ilvl="0">
      <w:lvlJc w:val="left"/>
      <w:lvlText w:val="(%1)"/>
      <w:numFmt w:val="lowerRoman"/>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42"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jpe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jpe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jpe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20" Type="http://schemas.openxmlformats.org/officeDocument/2006/relationships/hyperlink" Target="http://www.sec.gov/ix?doc=/Archives/edgar/data/1557746/000155837020009814/acrs-20200630x10q.htm" TargetMode="External"/><Relationship Id="rId34" Type="http://schemas.openxmlformats.org/officeDocument/2006/relationships/hyperlink" Target="http://www.sec.gov/Archives/edgar/data/1557746/000155837020001325/acrs-20191231x10k.htm" TargetMode="External"/><Relationship Id="rId35" Type="http://schemas.openxmlformats.org/officeDocument/2006/relationships/hyperlink" Target="http://www.sec.gov/Archives/edgar/data/1557746/000155837020005744/acrs-20200331x10q.htm" TargetMode="External"/><Relationship Id="rId36" Type="http://schemas.openxmlformats.org/officeDocument/2006/relationships/hyperlink" Target="http://www.sec.gov/Archives/edgar/data/1557746/000155837020000075/f8-k.htm" TargetMode="External"/><Relationship Id="rId37" Type="http://schemas.openxmlformats.org/officeDocument/2006/relationships/hyperlink" Target="http://www.sec.gov/Archives/edgar/data/1557746/000110465920033094/tm2012356-2_8k.htm" TargetMode="External"/><Relationship Id="rId38" Type="http://schemas.openxmlformats.org/officeDocument/2006/relationships/hyperlink" Target="http://www.sec.gov/Archives/edgar/data/1557746/000155837020007276/tmb-20200604x8k.htm" TargetMode="External"/><Relationship Id="rId39" Type="http://schemas.openxmlformats.org/officeDocument/2006/relationships/hyperlink" Target="http://www.sec.gov/Archives/edgar/data/1557746/000155837020007565/tmb-20200617x8k.htm" TargetMode="External"/><Relationship Id="rId40" Type="http://schemas.openxmlformats.org/officeDocument/2006/relationships/hyperlink" Target="http://www.sec.gov/Archives/edgar/data/1557746/000155837020007743/tmb-20200623x8k.htm" TargetMode="External"/><Relationship Id="rId41" Type="http://schemas.openxmlformats.org/officeDocument/2006/relationships/hyperlink" Target="https://www.sec.gov/Archives/edgar/data/1557746/000155837020004176/tmb-20200604xdef14a.htm" TargetMode="External"/><Relationship Id="rId43" Type="http://schemas.openxmlformats.org/officeDocument/2006/relationships/hyperlink" Target="http://www.sec.gov/Archives/edgar/data/1557746/000110465915068921/a15-8156_98a12b.htm" TargetMode="External"/><Relationship Id="rId80" Type="http://schemas.openxmlformats.org/officeDocument/2006/relationships/hyperlink" Target="https://www.sec.gov/Archives/edgar/data/1557746/000110465920033094/tm2012356-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2020-08-13T16:27:55Z</dcterms:created>
  <dcterms:modified xsi:type="dcterms:W3CDTF">2020-08-13T16:27:55Z</dcterms:modified>
</cp:coreProperties>
</file>