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201930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40" w:type="dxa"/>
            <w:vAlign w:val="bottom"/>
          </w:tcPr>
          <w:p>
            <w:pPr>
              <w:spacing w:after="0"/>
              <w:rPr>
                <w:sz w:val="16"/>
                <w:szCs w:val="16"/>
                <w:color w:val="auto"/>
              </w:rPr>
            </w:pPr>
          </w:p>
        </w:tc>
        <w:tc>
          <w:tcPr>
            <w:tcW w:w="4260" w:type="dxa"/>
            <w:vAlign w:val="bottom"/>
            <w:gridSpan w:val="3"/>
          </w:tcPr>
          <w:p>
            <w:pPr>
              <w:jc w:val="right"/>
              <w:ind w:right="1920"/>
              <w:spacing w:after="0"/>
              <w:rPr>
                <w:sz w:val="20"/>
                <w:szCs w:val="20"/>
                <w:color w:val="auto"/>
              </w:rPr>
            </w:pPr>
            <w:r>
              <w:rPr>
                <w:rFonts w:ascii="Times New Roman" w:cs="Times New Roman" w:eastAsia="Times New Roman" w:hAnsi="Times New Roman"/>
                <w:sz w:val="16"/>
                <w:szCs w:val="16"/>
                <w:b w:val="1"/>
                <w:bCs w:val="1"/>
                <w:color w:val="auto"/>
              </w:rPr>
              <w:t>001-37581</w:t>
            </w: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46-0571712</w:t>
            </w:r>
          </w:p>
        </w:tc>
      </w:tr>
      <w:tr>
        <w:trPr>
          <w:trHeight w:val="20"/>
        </w:trPr>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0"/>
        </w:trPr>
        <w:tc>
          <w:tcPr>
            <w:tcW w:w="1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4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701 Lee Road, Suite 103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Wayne, PA 19087</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(Address of principal executive offices, including zip code)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(484) 324-7933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N/A</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(Former name or former address, if changed since last report)</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5" w:lineRule="exact"/>
        <w:rPr>
          <w:sz w:val="24"/>
          <w:szCs w:val="24"/>
          <w:color w:val="auto"/>
        </w:rPr>
      </w:pPr>
    </w:p>
    <w:p>
      <w:pPr>
        <w:ind w:left="40" w:right="179"/>
        <w:spacing w:after="0" w:line="293"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w:t>
            </w:r>
          </w:p>
        </w:tc>
        <w:tc>
          <w:tcPr>
            <w:tcW w:w="4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ACRS</w:t>
            </w:r>
          </w:p>
        </w:tc>
        <w:tc>
          <w:tcPr>
            <w:tcW w:w="4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4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left="40" w:right="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690245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193040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29"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color w:val="auto"/>
        </w:rPr>
        <w:t>On June 6, 2024, Aclaris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2024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stockholders considered three proposals, each of which is described in more detail in the Company’s definitive proxy statement filed with the Securities and Exchange Commission on April 25, 2024 (the “</w:t>
      </w:r>
      <w:r>
        <w:rPr>
          <w:rFonts w:ascii="Times New Roman" w:cs="Times New Roman" w:eastAsia="Times New Roman" w:hAnsi="Times New Roman"/>
          <w:sz w:val="18"/>
          <w:szCs w:val="18"/>
          <w:b w:val="1"/>
          <w:bCs w:val="1"/>
          <w:i w:val="1"/>
          <w:i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Of the 71,264,786 shares outstanding as of the record date, 57,788,889 shares, or 81.09%, were present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represented by proxy at the Annual Meeting. Set forth below are the results of the matters submitted for a vote of stockholders at the Annual Meeting.</w:t>
      </w:r>
    </w:p>
    <w:p>
      <w:pPr>
        <w:spacing w:after="0" w:line="18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The stockholders elected two nominees to serve as directors on the Board of Directors until the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and until their respective successors are elected and qualified. The votes were cast as follows:</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Molineaux</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29,165,764</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16,154,877</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12,468,248</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Milano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42,267,754</w:t>
            </w:r>
          </w:p>
        </w:tc>
        <w:tc>
          <w:tcPr>
            <w:tcW w:w="2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3,052,887</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12,468,248</w:t>
            </w:r>
          </w:p>
        </w:tc>
      </w:tr>
    </w:tbl>
    <w:p>
      <w:pPr>
        <w:spacing w:after="0" w:line="175" w:lineRule="exact"/>
        <w:rPr>
          <w:sz w:val="20"/>
          <w:szCs w:val="20"/>
          <w:color w:val="auto"/>
        </w:rPr>
      </w:pPr>
    </w:p>
    <w:p>
      <w:pP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The stockholders approved, on an advisory basis,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the Proxy Statement. The votes were cast as follows:</w:t>
      </w:r>
    </w:p>
    <w:p>
      <w:pPr>
        <w:spacing w:after="0" w:line="168"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15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29,025,583</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16,273,816</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21,242</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12,468,248</w:t>
            </w:r>
          </w:p>
        </w:tc>
      </w:tr>
    </w:tbl>
    <w:p>
      <w:pPr>
        <w:spacing w:after="0" w:line="194" w:lineRule="exact"/>
        <w:rPr>
          <w:sz w:val="20"/>
          <w:szCs w:val="20"/>
          <w:color w:val="auto"/>
        </w:rPr>
      </w:pPr>
    </w:p>
    <w:p>
      <w:pP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The stockholders ratified the appointment of PricewaterhouseCoopers LLP as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2024. The votes were cast as follows: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4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09"/>
        </w:trPr>
        <w:tc>
          <w:tcPr>
            <w:tcW w:w="184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56,610,643</w:t>
            </w:r>
          </w:p>
        </w:tc>
        <w:tc>
          <w:tcPr>
            <w:tcW w:w="2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1,154,624</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23,622</w:t>
            </w:r>
          </w:p>
        </w:tc>
        <w:tc>
          <w:tcPr>
            <w:tcW w:w="1820" w:type="dxa"/>
            <w:vAlign w:val="bottom"/>
          </w:tcPr>
          <w:p>
            <w:pPr>
              <w:spacing w:after="0"/>
              <w:rPr>
                <w:sz w:val="18"/>
                <w:szCs w:val="18"/>
                <w:color w:val="auto"/>
              </w:rPr>
            </w:pPr>
          </w:p>
        </w:tc>
      </w:tr>
      <w:tr>
        <w:trPr>
          <w:trHeight w:val="1384"/>
        </w:trPr>
        <w:tc>
          <w:tcPr>
            <w:tcW w:w="1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59" w:firstLine="6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Kevin Balthaser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283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June 7, 2024</w:t>
      </w:r>
      <w:r>
        <w:rPr>
          <w:sz w:val="20"/>
          <w:szCs w:val="20"/>
          <w:color w:val="auto"/>
        </w:rPr>
        <w:tab/>
      </w:r>
      <w:r>
        <w:rPr>
          <w:rFonts w:ascii="Times New Roman" w:cs="Times New Roman" w:eastAsia="Times New Roman" w:hAnsi="Times New Roman"/>
          <w:sz w:val="17"/>
          <w:szCs w:val="17"/>
          <w:color w:val="auto"/>
        </w:rPr>
        <w:t>Kevin Balthaser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1009015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2024-06-07T15:46:32Z</dcterms:created>
  <dcterms:modified xsi:type="dcterms:W3CDTF">2024-06-07T15:46:32Z</dcterms:modified>
</cp:coreProperties>
</file>