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342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201930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 of</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1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February 27,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219075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Aclaris Therapeutics,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5" w:lineRule="exact"/>
        <w:rPr>
          <w:sz w:val="24"/>
          <w:szCs w:val="24"/>
          <w:color w:val="auto"/>
        </w:rPr>
      </w:pPr>
    </w:p>
    <w:tbl>
      <w:tblPr>
        <w:tblLayout w:type="fixed"/>
        <w:tblInd w:w="440" w:type="dxa"/>
        <w:tblCellMar>
          <w:top w:w="0" w:type="dxa"/>
          <w:left w:w="0" w:type="dxa"/>
          <w:bottom w:w="0" w:type="dxa"/>
          <w:right w:w="0" w:type="dxa"/>
        </w:tblCellMar>
      </w:tblPr>
      <w:tr>
        <w:trPr>
          <w:trHeight w:val="184"/>
        </w:trPr>
        <w:tc>
          <w:tcPr>
            <w:tcW w:w="6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780" w:type="dxa"/>
            <w:vAlign w:val="bottom"/>
          </w:tcPr>
          <w:p>
            <w:pPr>
              <w:spacing w:after="0"/>
              <w:rPr>
                <w:sz w:val="16"/>
                <w:szCs w:val="16"/>
                <w:color w:val="auto"/>
              </w:rPr>
            </w:pPr>
          </w:p>
        </w:tc>
        <w:tc>
          <w:tcPr>
            <w:tcW w:w="4180" w:type="dxa"/>
            <w:vAlign w:val="bottom"/>
            <w:gridSpan w:val="3"/>
          </w:tcPr>
          <w:p>
            <w:pPr>
              <w:jc w:val="right"/>
              <w:ind w:right="1880"/>
              <w:spacing w:after="0"/>
              <w:rPr>
                <w:sz w:val="20"/>
                <w:szCs w:val="20"/>
                <w:color w:val="auto"/>
              </w:rPr>
            </w:pPr>
            <w:r>
              <w:rPr>
                <w:rFonts w:ascii="Times New Roman" w:cs="Times New Roman" w:eastAsia="Times New Roman" w:hAnsi="Times New Roman"/>
                <w:sz w:val="16"/>
                <w:szCs w:val="16"/>
                <w:b w:val="1"/>
                <w:bCs w:val="1"/>
                <w:color w:val="auto"/>
              </w:rPr>
              <w:t>001-37581</w:t>
            </w:r>
          </w:p>
        </w:tc>
        <w:tc>
          <w:tcPr>
            <w:tcW w:w="1440" w:type="dxa"/>
            <w:vAlign w:val="bottom"/>
            <w:gridSpan w:val="3"/>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46-0571712</w:t>
            </w:r>
          </w:p>
        </w:tc>
      </w:tr>
      <w:tr>
        <w:trPr>
          <w:trHeight w:val="20"/>
        </w:trPr>
        <w:tc>
          <w:tcPr>
            <w:tcW w:w="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20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w w:val="99"/>
              </w:rPr>
              <w:t>(State or other jurisdiction of</w:t>
            </w:r>
          </w:p>
        </w:tc>
        <w:tc>
          <w:tcPr>
            <w:tcW w:w="41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color w:val="auto"/>
                <w:w w:val="98"/>
              </w:rPr>
              <w:t>(Commission File Number)</w:t>
            </w:r>
          </w:p>
        </w:tc>
        <w:tc>
          <w:tcPr>
            <w:tcW w:w="1440" w:type="dxa"/>
            <w:vAlign w:val="bottom"/>
            <w:gridSpan w:val="3"/>
          </w:tcPr>
          <w:p>
            <w:pPr>
              <w:jc w:val="center"/>
              <w:ind w:left="199"/>
              <w:spacing w:after="0"/>
              <w:rPr>
                <w:sz w:val="20"/>
                <w:szCs w:val="20"/>
                <w:color w:val="auto"/>
              </w:rPr>
            </w:pPr>
            <w:r>
              <w:rPr>
                <w:rFonts w:ascii="Times New Roman" w:cs="Times New Roman" w:eastAsia="Times New Roman" w:hAnsi="Times New Roman"/>
                <w:sz w:val="16"/>
                <w:szCs w:val="16"/>
                <w:color w:val="auto"/>
                <w:w w:val="98"/>
              </w:rPr>
              <w:t>(IRS Employer</w:t>
            </w:r>
          </w:p>
        </w:tc>
      </w:tr>
      <w:tr>
        <w:trPr>
          <w:trHeight w:val="210"/>
        </w:trPr>
        <w:tc>
          <w:tcPr>
            <w:tcW w:w="20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rPr>
              <w:t>incorporation)</w:t>
            </w:r>
          </w:p>
        </w:tc>
        <w:tc>
          <w:tcPr>
            <w:tcW w:w="1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40" w:type="dxa"/>
            <w:vAlign w:val="bottom"/>
            <w:gridSpan w:val="3"/>
          </w:tcPr>
          <w:p>
            <w:pPr>
              <w:jc w:val="center"/>
              <w:ind w:left="199"/>
              <w:spacing w:after="0"/>
              <w:rPr>
                <w:sz w:val="20"/>
                <w:szCs w:val="20"/>
                <w:color w:val="auto"/>
              </w:rPr>
            </w:pPr>
            <w:r>
              <w:rPr>
                <w:rFonts w:ascii="Times New Roman" w:cs="Times New Roman" w:eastAsia="Times New Roman" w:hAnsi="Times New Roman"/>
                <w:sz w:val="16"/>
                <w:szCs w:val="16"/>
                <w:color w:val="auto"/>
                <w:w w:val="97"/>
              </w:rPr>
              <w:t>Identification No.)</w:t>
            </w:r>
          </w:p>
        </w:tc>
      </w:tr>
      <w:tr>
        <w:trPr>
          <w:trHeight w:val="341"/>
        </w:trPr>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1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701 Lee Road, Suite 103</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4"/>
        </w:trPr>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1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Wayne, PA 19087</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0"/>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1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w w:val="98"/>
              </w:rPr>
              <w:t>(Address of principal executive offices, including zip code)</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43"/>
        </w:trPr>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1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(484) 324-7933</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0"/>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1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w w:val="98"/>
              </w:rPr>
              <w:t>(Registrant’s telephone number, including area code)</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bl>
    <w:p>
      <w:pPr>
        <w:spacing w:after="0" w:line="235" w:lineRule="exact"/>
        <w:rPr>
          <w:sz w:val="24"/>
          <w:szCs w:val="24"/>
          <w:color w:val="auto"/>
        </w:rPr>
      </w:pPr>
    </w:p>
    <w:p>
      <w:pPr>
        <w:ind w:left="40" w:right="179"/>
        <w:spacing w:after="0" w:line="293"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37" w:lineRule="exact"/>
        <w:rPr>
          <w:sz w:val="24"/>
          <w:szCs w:val="24"/>
          <w:color w:val="auto"/>
        </w:rPr>
      </w:pPr>
    </w:p>
    <w:p>
      <w:pPr>
        <w:ind w:left="240" w:hanging="196"/>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rPr>
      </w:pPr>
    </w:p>
    <w:p>
      <w:pPr>
        <w:ind w:left="240" w:hanging="196"/>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3" w:lineRule="exact"/>
        <w:rPr>
          <w:rFonts w:ascii="MS PGothic" w:cs="MS PGothic" w:eastAsia="MS PGothic" w:hAnsi="MS PGothic"/>
          <w:sz w:val="16"/>
          <w:szCs w:val="16"/>
          <w:color w:val="auto"/>
        </w:rPr>
      </w:pPr>
    </w:p>
    <w:p>
      <w:pPr>
        <w:ind w:left="240" w:hanging="196"/>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240" w:hanging="196"/>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7" w:lineRule="exact"/>
        <w:rPr>
          <w:sz w:val="24"/>
          <w:szCs w:val="24"/>
          <w:color w:val="auto"/>
        </w:rPr>
      </w:pPr>
    </w:p>
    <w:tbl>
      <w:tblPr>
        <w:tblLayout w:type="fixed"/>
        <w:tblInd w:w="40" w:type="dxa"/>
        <w:tblCellMar>
          <w:top w:w="0" w:type="dxa"/>
          <w:left w:w="0" w:type="dxa"/>
          <w:bottom w:w="0" w:type="dxa"/>
          <w:right w:w="0" w:type="dxa"/>
        </w:tblCellMar>
      </w:tblPr>
      <w:tr>
        <w:trPr>
          <w:trHeight w:val="210"/>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411"/>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w w:val="98"/>
              </w:rPr>
              <w:t>Trading</w:t>
            </w:r>
          </w:p>
        </w:tc>
        <w:tc>
          <w:tcPr>
            <w:tcW w:w="36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8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Title of Each Class:</w:t>
            </w: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20" w:type="dxa"/>
            <w:vAlign w:val="bottom"/>
          </w:tcPr>
          <w:p>
            <w:pPr>
              <w:spacing w:after="0"/>
              <w:rPr>
                <w:sz w:val="18"/>
                <w:szCs w:val="18"/>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$0.00001 par value</w:t>
            </w:r>
          </w:p>
        </w:tc>
        <w:tc>
          <w:tcPr>
            <w:tcW w:w="420" w:type="dxa"/>
            <w:vAlign w:val="bottom"/>
          </w:tcPr>
          <w:p>
            <w:pPr>
              <w:spacing w:after="0"/>
              <w:rPr>
                <w:sz w:val="18"/>
                <w:szCs w:val="18"/>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ACRS</w:t>
            </w:r>
          </w:p>
        </w:tc>
        <w:tc>
          <w:tcPr>
            <w:tcW w:w="420" w:type="dxa"/>
            <w:vAlign w:val="bottom"/>
          </w:tcPr>
          <w:p>
            <w:pPr>
              <w:spacing w:after="0"/>
              <w:rPr>
                <w:sz w:val="18"/>
                <w:szCs w:val="18"/>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81" w:lineRule="exact"/>
        <w:rPr>
          <w:sz w:val="24"/>
          <w:szCs w:val="24"/>
          <w:color w:val="auto"/>
        </w:rPr>
      </w:pPr>
    </w:p>
    <w:p>
      <w:pPr>
        <w:jc w:val="both"/>
        <w:ind w:left="40" w:right="59"/>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1" w:lineRule="exact"/>
        <w:rPr>
          <w:sz w:val="24"/>
          <w:szCs w:val="24"/>
          <w:color w:val="auto"/>
        </w:rPr>
      </w:pPr>
    </w:p>
    <w:p>
      <w:pPr>
        <w:ind w:left="4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03" w:lineRule="exact"/>
        <w:rPr>
          <w:sz w:val="24"/>
          <w:szCs w:val="24"/>
          <w:color w:val="auto"/>
        </w:rPr>
      </w:pPr>
    </w:p>
    <w:p>
      <w:pPr>
        <w:jc w:val="both"/>
        <w:ind w:left="40" w:right="5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570230</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124460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193040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1029" w:right="1440"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5" w:lineRule="exact"/>
        <w:rPr>
          <w:sz w:val="20"/>
          <w:szCs w:val="20"/>
          <w:color w:val="auto"/>
        </w:rPr>
      </w:pPr>
    </w:p>
    <w:p>
      <w:pPr>
        <w:jc w:val="both"/>
        <w:ind w:left="40" w:right="59" w:firstLine="648"/>
        <w:spacing w:after="0" w:line="268" w:lineRule="auto"/>
        <w:rPr>
          <w:sz w:val="20"/>
          <w:szCs w:val="20"/>
          <w:color w:val="auto"/>
        </w:rPr>
      </w:pPr>
      <w:r>
        <w:rPr>
          <w:rFonts w:ascii="Times New Roman" w:cs="Times New Roman" w:eastAsia="Times New Roman" w:hAnsi="Times New Roman"/>
          <w:sz w:val="18"/>
          <w:szCs w:val="18"/>
          <w:color w:val="auto"/>
        </w:rPr>
        <w:t>On February 27, 2025, Aclaris Therapeutics, Inc.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issued a press release announcing its financial results for the quarter and full year ended December 31, 2024. A copy of this press release is furnished herewith as Exhibit 99.1 to this Current Report.</w:t>
      </w:r>
    </w:p>
    <w:p>
      <w:pPr>
        <w:spacing w:after="0" w:line="175"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2.02 and Exhibit 99.1 hereto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or otherwise subject to the liability of that section, nor shall it be deemed incorporated by reference in any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Registrant’s filings under the Securities Act of 1933, as amended, or the Exchange Act, whether made before or after the date hereof, regardless of any incorporation language in such a filing, except as expressly set forth by specific reference in such a filing.</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60"/>
        </w:trPr>
        <w:tc>
          <w:tcPr>
            <w:tcW w:w="52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3"/>
                <w:szCs w:val="13"/>
                <w:color w:val="auto"/>
              </w:rPr>
            </w:pPr>
          </w:p>
        </w:tc>
        <w:tc>
          <w:tcPr>
            <w:tcW w:w="28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14"/>
                <w:szCs w:val="14"/>
                <w:color w:val="auto"/>
              </w:rPr>
            </w:pPr>
          </w:p>
        </w:tc>
        <w:tc>
          <w:tcPr>
            <w:tcW w:w="20" w:type="dxa"/>
            <w:vAlign w:val="bottom"/>
            <w:tcBorders>
              <w:bottom w:val="single" w:sz="8" w:color="0000EE"/>
            </w:tcBorders>
            <w:vMerge w:val="continue"/>
          </w:tcPr>
          <w:p>
            <w:pPr>
              <w:spacing w:after="0"/>
              <w:rPr>
                <w:sz w:val="14"/>
                <w:szCs w:val="14"/>
                <w:color w:val="auto"/>
              </w:rPr>
            </w:pPr>
          </w:p>
        </w:tc>
        <w:tc>
          <w:tcPr>
            <w:tcW w:w="2840" w:type="dxa"/>
            <w:vAlign w:val="bottom"/>
            <w:tcBorders>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w w:val="97"/>
              </w:rPr>
              <w:t>Press Release, dated February 27, 2025.</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800" w:right="1379" w:hanging="86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The cover page from Aclaris Therapeutics, Inc.’s Form 8-K filed on February 27, 2025, formatted in Inline XBRL.</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0" w:right="59" w:firstLine="66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ACLARIS THERAPEUTICS, INC.</w:t>
            </w:r>
          </w:p>
        </w:tc>
      </w:tr>
      <w:tr>
        <w:trPr>
          <w:trHeight w:val="432"/>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27, 2025</w:t>
            </w:r>
          </w:p>
        </w:tc>
        <w:tc>
          <w:tcPr>
            <w:tcW w:w="5980" w:type="dxa"/>
            <w:vAlign w:val="bottom"/>
            <w:gridSpan w:val="2"/>
          </w:tcPr>
          <w:p>
            <w:pPr>
              <w:jc w:val="right"/>
              <w:ind w:right="2990"/>
              <w:spacing w:after="0"/>
              <w:rPr>
                <w:sz w:val="20"/>
                <w:szCs w:val="20"/>
                <w:color w:val="auto"/>
              </w:rPr>
            </w:pPr>
            <w:r>
              <w:rPr>
                <w:rFonts w:ascii="Times New Roman" w:cs="Times New Roman" w:eastAsia="Times New Roman" w:hAnsi="Times New Roman"/>
                <w:sz w:val="18"/>
                <w:szCs w:val="18"/>
                <w:color w:val="auto"/>
              </w:rPr>
              <w:t>By: /s/ Kevin Balthaser</w:t>
            </w:r>
          </w:p>
        </w:tc>
      </w:tr>
      <w:tr>
        <w:trPr>
          <w:trHeight w:val="191"/>
        </w:trPr>
        <w:tc>
          <w:tcPr>
            <w:tcW w:w="29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Kevin Balthaser</w:t>
            </w:r>
          </w:p>
        </w:tc>
      </w:tr>
      <w:tr>
        <w:trPr>
          <w:trHeight w:val="234"/>
        </w:trPr>
        <w:tc>
          <w:tcPr>
            <w:tcW w:w="29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64"/>
        </w:trPr>
        <w:tc>
          <w:tcPr>
            <w:tcW w:w="2940" w:type="dxa"/>
            <w:vAlign w:val="bottom"/>
          </w:tcPr>
          <w:p>
            <w:pPr>
              <w:spacing w:after="0"/>
              <w:rPr>
                <w:sz w:val="24"/>
                <w:szCs w:val="24"/>
                <w:color w:val="auto"/>
              </w:rPr>
            </w:pPr>
          </w:p>
        </w:tc>
        <w:tc>
          <w:tcPr>
            <w:tcW w:w="5980" w:type="dxa"/>
            <w:vAlign w:val="bottom"/>
            <w:gridSpan w:val="2"/>
          </w:tcPr>
          <w:p>
            <w:pPr>
              <w:jc w:val="right"/>
              <w:ind w:right="4330"/>
              <w:spacing w:after="0"/>
              <w:rPr>
                <w:sz w:val="20"/>
                <w:szCs w:val="20"/>
                <w:color w:val="auto"/>
              </w:rPr>
            </w:pPr>
            <w:r>
              <w:rPr>
                <w:rFonts w:ascii="Times New Roman" w:cs="Times New Roman" w:eastAsia="Times New Roman" w:hAnsi="Times New Roman"/>
                <w:sz w:val="18"/>
                <w:szCs w:val="18"/>
                <w:color w:val="auto"/>
              </w:rPr>
              <w:t>3</w:t>
            </w:r>
          </w:p>
        </w:tc>
      </w:tr>
      <w:tr>
        <w:trPr>
          <w:trHeight w:val="560"/>
        </w:trPr>
        <w:tc>
          <w:tcPr>
            <w:tcW w:w="29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 w:name="page4"/>
    <w:bookmarkEnd w:id="3"/>
    <w:p>
      <w:pPr>
        <w:jc w:val="right"/>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158115</wp:posOffset>
            </wp:positionV>
            <wp:extent cx="1379855" cy="582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985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Aclaris Therapeutcs Reports Fourth Quarter and Full Year 2024 Financial Results and Provides a Corporate Update</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20"/>
          <w:szCs w:val="20"/>
          <w:i w:val="1"/>
          <w:iCs w:val="1"/>
          <w:color w:val="auto"/>
        </w:rPr>
        <w:t>- Rich Catalyst Calendar Expected in 2025 Including Phase 2 Data in Multple Immuno-Infammatory Disease Indicatons -</w:t>
      </w:r>
    </w:p>
    <w:p>
      <w:pPr>
        <w:spacing w:after="0" w:line="252" w:lineRule="exact"/>
        <w:rPr>
          <w:sz w:val="20"/>
          <w:szCs w:val="20"/>
          <w:color w:val="auto"/>
        </w:rPr>
      </w:pPr>
    </w:p>
    <w:p>
      <w:pPr>
        <w:ind w:left="80" w:right="60" w:firstLine="384"/>
        <w:spacing w:after="0" w:line="234" w:lineRule="auto"/>
        <w:tabs>
          <w:tab w:leader="none" w:pos="578" w:val="left"/>
        </w:tabs>
        <w:numPr>
          <w:ilvl w:val="1"/>
          <w:numId w:val="3"/>
        </w:numPr>
        <w:rPr>
          <w:rFonts w:ascii="Calibri" w:cs="Calibri" w:eastAsia="Calibri" w:hAnsi="Calibri"/>
          <w:sz w:val="20"/>
          <w:szCs w:val="20"/>
          <w:i w:val="1"/>
          <w:iCs w:val="1"/>
          <w:color w:val="auto"/>
        </w:rPr>
      </w:pPr>
      <w:r>
        <w:rPr>
          <w:rFonts w:ascii="Calibri" w:cs="Calibri" w:eastAsia="Calibri" w:hAnsi="Calibri"/>
          <w:sz w:val="20"/>
          <w:szCs w:val="20"/>
          <w:i w:val="1"/>
          <w:iCs w:val="1"/>
          <w:color w:val="auto"/>
        </w:rPr>
        <w:t>Data from CTTQ’s Phase 2 Studies of Bosakitug (ATI-045) in Chinese Patents with Severe Asthma and Chronic Rhinosinusits with Nasal Polyps (CRSwNP) Expected in the First Half of 2025 to Inform Internal Development Programs -</w:t>
      </w:r>
    </w:p>
    <w:p>
      <w:pPr>
        <w:spacing w:after="0" w:line="243" w:lineRule="exact"/>
        <w:rPr>
          <w:rFonts w:ascii="Calibri" w:cs="Calibri" w:eastAsia="Calibri" w:hAnsi="Calibri"/>
          <w:sz w:val="20"/>
          <w:szCs w:val="20"/>
          <w:i w:val="1"/>
          <w:iCs w:val="1"/>
          <w:color w:val="auto"/>
        </w:rPr>
      </w:pPr>
    </w:p>
    <w:p>
      <w:pPr>
        <w:ind w:left="340" w:hanging="118"/>
        <w:spacing w:after="0"/>
        <w:tabs>
          <w:tab w:leader="none" w:pos="340" w:val="left"/>
        </w:tabs>
        <w:numPr>
          <w:ilvl w:val="0"/>
          <w:numId w:val="3"/>
        </w:numPr>
        <w:rPr>
          <w:rFonts w:ascii="Calibri" w:cs="Calibri" w:eastAsia="Calibri" w:hAnsi="Calibri"/>
          <w:sz w:val="20"/>
          <w:szCs w:val="20"/>
          <w:i w:val="1"/>
          <w:iCs w:val="1"/>
          <w:color w:val="auto"/>
        </w:rPr>
      </w:pPr>
      <w:r>
        <w:rPr>
          <w:rFonts w:ascii="Calibri" w:cs="Calibri" w:eastAsia="Calibri" w:hAnsi="Calibri"/>
          <w:sz w:val="20"/>
          <w:szCs w:val="20"/>
          <w:i w:val="1"/>
          <w:iCs w:val="1"/>
          <w:color w:val="auto"/>
        </w:rPr>
        <w:t>Initaton of Enrollment in Phase 2b Trial for Bosakitug in Atopic Dermatts (AD) on Track for the First Half of 2025 -</w:t>
      </w:r>
    </w:p>
    <w:p>
      <w:pPr>
        <w:spacing w:after="0" w:line="241" w:lineRule="exact"/>
        <w:rPr>
          <w:rFonts w:ascii="Calibri" w:cs="Calibri" w:eastAsia="Calibri" w:hAnsi="Calibri"/>
          <w:sz w:val="20"/>
          <w:szCs w:val="20"/>
          <w:i w:val="1"/>
          <w:iCs w:val="1"/>
          <w:color w:val="auto"/>
        </w:rPr>
      </w:pPr>
    </w:p>
    <w:p>
      <w:pPr>
        <w:ind w:left="3620" w:hanging="113"/>
        <w:spacing w:after="0"/>
        <w:tabs>
          <w:tab w:leader="none" w:pos="3620" w:val="left"/>
        </w:tabs>
        <w:numPr>
          <w:ilvl w:val="2"/>
          <w:numId w:val="3"/>
        </w:numPr>
        <w:rPr>
          <w:rFonts w:ascii="Calibri" w:cs="Calibri" w:eastAsia="Calibri" w:hAnsi="Calibri"/>
          <w:sz w:val="20"/>
          <w:szCs w:val="20"/>
          <w:i w:val="1"/>
          <w:iCs w:val="1"/>
          <w:color w:val="auto"/>
        </w:rPr>
      </w:pPr>
      <w:r>
        <w:rPr>
          <w:rFonts w:ascii="Calibri" w:cs="Calibri" w:eastAsia="Calibri" w:hAnsi="Calibri"/>
          <w:sz w:val="20"/>
          <w:szCs w:val="20"/>
          <w:i w:val="1"/>
          <w:iCs w:val="1"/>
          <w:color w:val="auto"/>
        </w:rPr>
        <w:t>Cash Runway Expected into 2028 -</w:t>
      </w:r>
    </w:p>
    <w:p>
      <w:pPr>
        <w:spacing w:after="0" w:line="252" w:lineRule="exact"/>
        <w:rPr>
          <w:sz w:val="20"/>
          <w:szCs w:val="20"/>
          <w:color w:val="auto"/>
        </w:rPr>
      </w:pPr>
    </w:p>
    <w:p>
      <w:pPr>
        <w:ind w:right="180"/>
        <w:spacing w:after="0" w:line="236" w:lineRule="auto"/>
        <w:rPr>
          <w:sz w:val="20"/>
          <w:szCs w:val="20"/>
          <w:color w:val="auto"/>
        </w:rPr>
      </w:pPr>
      <w:r>
        <w:rPr>
          <w:rFonts w:ascii="Calibri" w:cs="Calibri" w:eastAsia="Calibri" w:hAnsi="Calibri"/>
          <w:sz w:val="20"/>
          <w:szCs w:val="20"/>
          <w:b w:val="1"/>
          <w:bCs w:val="1"/>
          <w:color w:val="auto"/>
        </w:rPr>
        <w:t xml:space="preserve">WAYNE, Pa., Feb. 27, 2025 -- </w:t>
      </w:r>
      <w:r>
        <w:rPr>
          <w:rFonts w:ascii="Calibri" w:cs="Calibri" w:eastAsia="Calibri" w:hAnsi="Calibri"/>
          <w:sz w:val="20"/>
          <w:szCs w:val="20"/>
          <w:color w:val="auto"/>
        </w:rPr>
        <w:t>Aclaris Therapeutcs, Inc. (NASDAQ: ACRS), a clinical-stage biopharmaceutcal company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focused on developing novel drug candidates for immuno-infammatory diseases, today announced its fnancial results for the fourth quarter and full year ended 2024 and provided a corporate update.</w:t>
      </w:r>
    </w:p>
    <w:p>
      <w:pPr>
        <w:spacing w:after="0" w:line="252" w:lineRule="exact"/>
        <w:rPr>
          <w:sz w:val="20"/>
          <w:szCs w:val="20"/>
          <w:color w:val="auto"/>
        </w:rPr>
      </w:pPr>
    </w:p>
    <w:p>
      <w:pPr>
        <w:ind w:right="20"/>
        <w:spacing w:after="0" w:line="237" w:lineRule="auto"/>
        <w:rPr>
          <w:sz w:val="20"/>
          <w:szCs w:val="20"/>
          <w:color w:val="auto"/>
        </w:rPr>
      </w:pPr>
      <w:r>
        <w:rPr>
          <w:rFonts w:ascii="Calibri" w:cs="Calibri" w:eastAsia="Calibri" w:hAnsi="Calibri"/>
          <w:sz w:val="20"/>
          <w:szCs w:val="20"/>
          <w:color w:val="auto"/>
        </w:rPr>
        <w:t>“2024 was a transformatve year that has positoned Aclaris with multple clinical catalysts expected in 2025 across our expanded pipeline,” stated Dr. Neal Walker, Chief Executve Ofcer and Chair of the Board of Directors of Aclaris. “We are partcularly excited about the upcoming Phase 2 data for bosakitug in both severe asthma and chronic rhinosinusits with nasal polyps antcipated from our partner CTTQ, which we expect will provide important insights into our future development of bosakitug in respiratory diseases. We also antcipate top-line data from our Phase 2a trial of ATI-2138 in atopic dermatts in the frst half of 2025. With multple clinical catalysts expected throughout 2025 across our pipeline of diferentated assets with mechanisms shown to have proven actvity in the diseases we are addressing, we look to drive contnued innovaton for the patents we seek to treat.”</w:t>
      </w:r>
    </w:p>
    <w:p>
      <w:pPr>
        <w:spacing w:after="0" w:line="22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Fourth Quarter 2024 Highlights and Recent Updates</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Pipeline:</w:t>
      </w:r>
    </w:p>
    <w:p>
      <w:pPr>
        <w:spacing w:after="0" w:line="117" w:lineRule="exact"/>
        <w:rPr>
          <w:sz w:val="20"/>
          <w:szCs w:val="20"/>
          <w:color w:val="auto"/>
        </w:rPr>
      </w:pPr>
    </w:p>
    <w:p>
      <w:pPr>
        <w:ind w:left="660" w:right="20" w:hanging="328"/>
        <w:spacing w:after="0" w:line="237" w:lineRule="auto"/>
        <w:tabs>
          <w:tab w:leader="none" w:pos="660" w:val="left"/>
        </w:tabs>
        <w:numPr>
          <w:ilvl w:val="0"/>
          <w:numId w:val="4"/>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Announced Exclusive, Global License Agreement with Biosion, Inc., Adding Potental Best-in-Class Biologic Assets to Pipeline: </w:t>
      </w:r>
      <w:r>
        <w:rPr>
          <w:rFonts w:ascii="Calibri" w:cs="Calibri" w:eastAsia="Calibri" w:hAnsi="Calibri"/>
          <w:sz w:val="20"/>
          <w:szCs w:val="20"/>
          <w:color w:val="auto"/>
        </w:rPr>
        <w:t>Aclaris acquired worldwide rights (excluding Greater China) to bosakitug (ATI-045), a</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potental best-in-class, clinical-stage, novel ant-TSLP monoclonal antbody, and ATI-052, a potental best-in-class, pre-clinical stage, novel bispecifc antbody that is directed against both TSLP and IL4R. As a result of this license agreement, the Company recorded a one-tme $86.9 million in-process research and development charge. (press release here)</w:t>
      </w:r>
    </w:p>
    <w:p>
      <w:pPr>
        <w:spacing w:after="0" w:line="119" w:lineRule="exact"/>
        <w:rPr>
          <w:rFonts w:ascii="Times New Roman" w:cs="Times New Roman" w:eastAsia="Times New Roman" w:hAnsi="Times New Roman"/>
          <w:sz w:val="20"/>
          <w:szCs w:val="20"/>
          <w:color w:val="auto"/>
        </w:rPr>
      </w:pPr>
    </w:p>
    <w:p>
      <w:pPr>
        <w:ind w:left="660" w:right="120" w:hanging="328"/>
        <w:spacing w:after="0" w:line="237" w:lineRule="auto"/>
        <w:tabs>
          <w:tab w:leader="none" w:pos="660" w:val="left"/>
        </w:tabs>
        <w:numPr>
          <w:ilvl w:val="0"/>
          <w:numId w:val="4"/>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Confrmed Expectaton of Phase 2 Data in the First Half of 2025 for Bosakitug in Chinese Patents with Certain Pulmonary Disorders: </w:t>
      </w:r>
      <w:r>
        <w:rPr>
          <w:rFonts w:ascii="Calibri" w:cs="Calibri" w:eastAsia="Calibri" w:hAnsi="Calibri"/>
          <w:sz w:val="20"/>
          <w:szCs w:val="20"/>
          <w:color w:val="auto"/>
        </w:rPr>
        <w:t>Aclaris’ regional partner, Chia Tai Tianqing Pharmaceutcal Group, Co., Ltd. (CTTQ), is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conductng concurrent Phase 2 studies in China for patents with severe asthma, CRSwNP, and chronic obstructve pulmonary disease. Data from trials in severe asthma and CRSwNP expected in frst half of 2025 to inform internal development programs.</w:t>
      </w:r>
    </w:p>
    <w:p>
      <w:pPr>
        <w:spacing w:after="0" w:line="117" w:lineRule="exact"/>
        <w:rPr>
          <w:rFonts w:ascii="Times New Roman" w:cs="Times New Roman" w:eastAsia="Times New Roman" w:hAnsi="Times New Roman"/>
          <w:sz w:val="20"/>
          <w:szCs w:val="20"/>
          <w:color w:val="auto"/>
        </w:rPr>
      </w:pPr>
    </w:p>
    <w:p>
      <w:pPr>
        <w:ind w:left="660" w:right="280" w:hanging="328"/>
        <w:spacing w:after="0" w:line="236" w:lineRule="auto"/>
        <w:tabs>
          <w:tab w:leader="none" w:pos="660" w:val="left"/>
        </w:tabs>
        <w:numPr>
          <w:ilvl w:val="0"/>
          <w:numId w:val="4"/>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Initated Clinical Trial Actvites for a Phase 2b Trial of Bosakitug in Atopic Dermatts (AD); Enrollment Expected to Begin in the First Half of 2025: </w:t>
      </w:r>
      <w:r>
        <w:rPr>
          <w:rFonts w:ascii="Calibri" w:cs="Calibri" w:eastAsia="Calibri" w:hAnsi="Calibri"/>
          <w:sz w:val="20"/>
          <w:szCs w:val="20"/>
          <w:color w:val="auto"/>
        </w:rPr>
        <w:t>This trial will investgate the safety, tolerability, pharmacokinetcs,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efcacy, and pharmacodynamics of bosakitug in patents with moderate to severe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363855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5" w:right="999" w:bottom="1440" w:gutter="0" w:footer="0" w:header="0"/>
        </w:sectPr>
      </w:pPr>
    </w:p>
    <w:bookmarkStart w:id="4" w:name="page5"/>
    <w:bookmarkEnd w:id="4"/>
    <w:p>
      <w:pPr>
        <w:ind w:left="660" w:right="260" w:hanging="328"/>
        <w:spacing w:after="0" w:line="236" w:lineRule="auto"/>
        <w:tabs>
          <w:tab w:leader="none" w:pos="660" w:val="left"/>
        </w:tabs>
        <w:numPr>
          <w:ilvl w:val="0"/>
          <w:numId w:val="5"/>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Confrmed Expectaton of Top Line Results in the First Half of 2025 for Phase 2a Trial in AD of ATI-2138, an Investgatonal Oral Covalent ITK/JAK3 Inhibitor: </w:t>
      </w:r>
      <w:r>
        <w:rPr>
          <w:rFonts w:ascii="Calibri" w:cs="Calibri" w:eastAsia="Calibri" w:hAnsi="Calibri"/>
          <w:sz w:val="20"/>
          <w:szCs w:val="20"/>
          <w:color w:val="auto"/>
        </w:rPr>
        <w:t>This ongoing Phase 2a open-label trial is being conducted to</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investgate the safety, tolerability, pharmacokinetcs, efcacy, and pharmacodynamics of ATI-2138 in patents with moderate to severe AD.</w:t>
      </w:r>
    </w:p>
    <w:p>
      <w:pPr>
        <w:spacing w:after="0" w:line="119" w:lineRule="exact"/>
        <w:rPr>
          <w:rFonts w:ascii="Times New Roman" w:cs="Times New Roman" w:eastAsia="Times New Roman" w:hAnsi="Times New Roman"/>
          <w:sz w:val="20"/>
          <w:szCs w:val="20"/>
          <w:color w:val="auto"/>
        </w:rPr>
      </w:pPr>
    </w:p>
    <w:p>
      <w:pPr>
        <w:ind w:left="660" w:right="80" w:hanging="328"/>
        <w:spacing w:after="0" w:line="236" w:lineRule="auto"/>
        <w:tabs>
          <w:tab w:leader="none" w:pos="660" w:val="left"/>
        </w:tabs>
        <w:numPr>
          <w:ilvl w:val="0"/>
          <w:numId w:val="5"/>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Announced Plan to File an Investgatonal New Drug (IND) Applicaton for ATI-052 in the First Quarter of 2025: </w:t>
      </w:r>
      <w:r>
        <w:rPr>
          <w:rFonts w:ascii="Calibri" w:cs="Calibri" w:eastAsia="Calibri" w:hAnsi="Calibri"/>
          <w:sz w:val="20"/>
          <w:szCs w:val="20"/>
          <w:color w:val="auto"/>
        </w:rPr>
        <w:t>Following allowance of the IND, Aclaris expects to initate a Phase 1 clinical trial evaluatng single ascending doses and multple ascending doses of ATI-052.</w:t>
      </w:r>
    </w:p>
    <w:p>
      <w:pPr>
        <w:spacing w:after="0" w:line="116" w:lineRule="exact"/>
        <w:rPr>
          <w:rFonts w:ascii="Times New Roman" w:cs="Times New Roman" w:eastAsia="Times New Roman" w:hAnsi="Times New Roman"/>
          <w:sz w:val="20"/>
          <w:szCs w:val="20"/>
          <w:color w:val="auto"/>
        </w:rPr>
      </w:pPr>
    </w:p>
    <w:p>
      <w:pPr>
        <w:ind w:left="660" w:right="380" w:hanging="328"/>
        <w:spacing w:after="0" w:line="236" w:lineRule="auto"/>
        <w:tabs>
          <w:tab w:leader="none" w:pos="660" w:val="left"/>
        </w:tabs>
        <w:numPr>
          <w:ilvl w:val="0"/>
          <w:numId w:val="5"/>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Announced New Publicaton Highlightng the Unique Propertes of ATI-2138: </w:t>
      </w:r>
      <w:r>
        <w:rPr>
          <w:rFonts w:ascii="Calibri" w:cs="Calibri" w:eastAsia="Calibri" w:hAnsi="Calibri"/>
          <w:sz w:val="20"/>
          <w:szCs w:val="20"/>
          <w:color w:val="auto"/>
        </w:rPr>
        <w:t>New publicaton provides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important clinical and non-clinical evidence of the potental for ATI-2138 to be a best-in-class inhibitor of key signal transducton kinases due to its unique mechanism of acton. (press release here)</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Corporate:</w:t>
      </w:r>
    </w:p>
    <w:p>
      <w:pPr>
        <w:spacing w:after="0" w:line="117" w:lineRule="exact"/>
        <w:rPr>
          <w:sz w:val="20"/>
          <w:szCs w:val="20"/>
          <w:color w:val="auto"/>
        </w:rPr>
      </w:pPr>
    </w:p>
    <w:p>
      <w:pPr>
        <w:ind w:left="660" w:right="420" w:hanging="328"/>
        <w:spacing w:after="0" w:line="234" w:lineRule="auto"/>
        <w:tabs>
          <w:tab w:leader="none" w:pos="660" w:val="left"/>
        </w:tabs>
        <w:numPr>
          <w:ilvl w:val="0"/>
          <w:numId w:val="6"/>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Completed $80 Million Private Placement in November 2024 to Bolster Cash Runway: </w:t>
      </w:r>
      <w:r>
        <w:rPr>
          <w:rFonts w:ascii="Calibri" w:cs="Calibri" w:eastAsia="Calibri" w:hAnsi="Calibri"/>
          <w:sz w:val="20"/>
          <w:szCs w:val="20"/>
          <w:color w:val="auto"/>
        </w:rPr>
        <w:t>Aclaris’ cash runway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expected into 2028. (press release here)</w:t>
      </w:r>
    </w:p>
    <w:p>
      <w:pPr>
        <w:spacing w:after="0" w:line="108"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Provided Update on Senior Leadership:</w:t>
      </w:r>
    </w:p>
    <w:p>
      <w:pPr>
        <w:spacing w:after="0" w:line="26" w:lineRule="exact"/>
        <w:rPr>
          <w:sz w:val="20"/>
          <w:szCs w:val="20"/>
          <w:color w:val="auto"/>
        </w:rPr>
      </w:pPr>
    </w:p>
    <w:p>
      <w:pPr>
        <w:ind w:left="1300" w:right="220" w:hanging="320"/>
        <w:spacing w:after="0" w:line="232" w:lineRule="auto"/>
        <w:tabs>
          <w:tab w:leader="none" w:pos="1300" w:val="left"/>
        </w:tabs>
        <w:numPr>
          <w:ilvl w:val="0"/>
          <w:numId w:val="7"/>
        </w:numPr>
        <w:rPr>
          <w:rFonts w:ascii="Courier New" w:cs="Courier New" w:eastAsia="Courier New" w:hAnsi="Courier New"/>
          <w:sz w:val="20"/>
          <w:szCs w:val="20"/>
          <w:color w:val="auto"/>
        </w:rPr>
      </w:pPr>
      <w:r>
        <w:rPr>
          <w:rFonts w:ascii="Calibri" w:cs="Calibri" w:eastAsia="Calibri" w:hAnsi="Calibri"/>
          <w:sz w:val="20"/>
          <w:szCs w:val="20"/>
          <w:color w:val="auto"/>
        </w:rPr>
        <w:t>Dr. Neal Walker, formerly interim Chief Executve Ofcer, has been named Chief Executve Ofcer. Dr. Walker is a co-founder of Aclaris and has served as a member of the Board of Directors since its incepton. He previously served as Aclaris’ Chief Executve Ofcer untl 2022 before being appointed as interim Chief Executve Ofcer in January 2024. Dr. Walker serves as Chair of the Board of Directors of Aclaris.</w:t>
      </w:r>
    </w:p>
    <w:p>
      <w:pPr>
        <w:spacing w:after="0" w:line="11" w:lineRule="exact"/>
        <w:rPr>
          <w:rFonts w:ascii="Courier New" w:cs="Courier New" w:eastAsia="Courier New" w:hAnsi="Courier New"/>
          <w:sz w:val="20"/>
          <w:szCs w:val="20"/>
          <w:color w:val="auto"/>
        </w:rPr>
      </w:pPr>
    </w:p>
    <w:p>
      <w:pPr>
        <w:ind w:left="1300" w:right="120" w:hanging="320"/>
        <w:spacing w:after="0" w:line="234" w:lineRule="auto"/>
        <w:tabs>
          <w:tab w:leader="none" w:pos="1300" w:val="left"/>
        </w:tabs>
        <w:numPr>
          <w:ilvl w:val="0"/>
          <w:numId w:val="7"/>
        </w:numPr>
        <w:rPr>
          <w:rFonts w:ascii="Courier New" w:cs="Courier New" w:eastAsia="Courier New" w:hAnsi="Courier New"/>
          <w:sz w:val="20"/>
          <w:szCs w:val="20"/>
          <w:color w:val="auto"/>
        </w:rPr>
      </w:pPr>
      <w:r>
        <w:rPr>
          <w:rFonts w:ascii="Calibri" w:cs="Calibri" w:eastAsia="Calibri" w:hAnsi="Calibri"/>
          <w:sz w:val="20"/>
          <w:szCs w:val="20"/>
          <w:color w:val="auto"/>
        </w:rPr>
        <w:t>Hugh Davis, Ph.D. joined Aclaris as President and Chief Operatng Ofcer. Dr. Davis brings over 35 years of experience in biologics development, clinical pharmacology, and business development to Aclaris. He most recently served as Biosion’s Chief Business &amp; Development Ofcer and President.</w:t>
      </w:r>
    </w:p>
    <w:p>
      <w:pPr>
        <w:spacing w:after="0" w:line="62" w:lineRule="exact"/>
        <w:rPr>
          <w:rFonts w:ascii="Courier New" w:cs="Courier New" w:eastAsia="Courier New" w:hAnsi="Courier New"/>
          <w:sz w:val="20"/>
          <w:szCs w:val="20"/>
          <w:color w:val="auto"/>
        </w:rPr>
      </w:pPr>
    </w:p>
    <w:p>
      <w:pPr>
        <w:ind w:left="1300" w:right="200" w:hanging="320"/>
        <w:spacing w:after="0" w:line="235" w:lineRule="auto"/>
        <w:tabs>
          <w:tab w:leader="none" w:pos="1300" w:val="left"/>
        </w:tabs>
        <w:numPr>
          <w:ilvl w:val="0"/>
          <w:numId w:val="7"/>
        </w:numPr>
        <w:rPr>
          <w:rFonts w:ascii="Courier New" w:cs="Courier New" w:eastAsia="Courier New" w:hAnsi="Courier New"/>
          <w:sz w:val="20"/>
          <w:szCs w:val="20"/>
          <w:color w:val="auto"/>
        </w:rPr>
      </w:pPr>
      <w:r>
        <w:rPr>
          <w:rFonts w:ascii="Calibri" w:cs="Calibri" w:eastAsia="Calibri" w:hAnsi="Calibri"/>
          <w:sz w:val="20"/>
          <w:szCs w:val="20"/>
          <w:color w:val="auto"/>
        </w:rPr>
        <w:t>William Roberts has been appointed as Senior Vice President, Corporate Communicatons and Investor Relatons. Mr. Roberts brings 30 years of corporate communicatons, investor relatons, and scientfc experience in the biotech/biopharma industry to the Company. He most recently served as the Communicatons Ofcer of G1 Therapeutcs, which was recently acquired by Pharmacosmos Group.</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Fourth Quarter and Full Year 2024 Financial Results</w:t>
      </w:r>
    </w:p>
    <w:p>
      <w:pPr>
        <w:spacing w:after="0" w:line="117" w:lineRule="exact"/>
        <w:rPr>
          <w:sz w:val="20"/>
          <w:szCs w:val="20"/>
          <w:color w:val="auto"/>
        </w:rPr>
      </w:pPr>
    </w:p>
    <w:p>
      <w:pPr>
        <w:ind w:right="40"/>
        <w:spacing w:after="0" w:line="236" w:lineRule="auto"/>
        <w:rPr>
          <w:sz w:val="20"/>
          <w:szCs w:val="20"/>
          <w:color w:val="auto"/>
        </w:rPr>
      </w:pPr>
      <w:r>
        <w:rPr>
          <w:rFonts w:ascii="Calibri" w:cs="Calibri" w:eastAsia="Calibri" w:hAnsi="Calibri"/>
          <w:sz w:val="20"/>
          <w:szCs w:val="20"/>
          <w:color w:val="auto"/>
        </w:rPr>
        <w:t>As of December 31, 2024, Aclaris had aggregate cash, cash equivalents and marketable securites of $203.9 million compared to $181.9 million as of December 31, 2023. The Company believes that its cash, cash equivalents and marketable securites as of December 31, 2024 will be sufcient to fund its operatons into 2028, without giving efect to any potental business development transactons or fnancing actvites.</w:t>
      </w:r>
    </w:p>
    <w:p>
      <w:pPr>
        <w:spacing w:after="0" w:line="255" w:lineRule="exact"/>
        <w:rPr>
          <w:sz w:val="20"/>
          <w:szCs w:val="20"/>
          <w:color w:val="auto"/>
        </w:rPr>
      </w:pPr>
    </w:p>
    <w:p>
      <w:pPr>
        <w:ind w:right="120"/>
        <w:spacing w:after="0" w:line="236" w:lineRule="auto"/>
        <w:rPr>
          <w:sz w:val="20"/>
          <w:szCs w:val="20"/>
          <w:color w:val="auto"/>
        </w:rPr>
      </w:pPr>
      <w:r>
        <w:rPr>
          <w:rFonts w:ascii="Calibri" w:cs="Calibri" w:eastAsia="Calibri" w:hAnsi="Calibri"/>
          <w:sz w:val="20"/>
          <w:szCs w:val="20"/>
          <w:color w:val="auto"/>
        </w:rPr>
        <w:t>Net loss was $96.6 million for the fourth quarter of 2024 compared to $1.5 million for the fourth quarter of 2023. Net loss was $132.1 million for the year ended December 31, 2024 compared to $88.5 million for the year ended December 31, 2023.</w:t>
      </w:r>
    </w:p>
    <w:p>
      <w:pPr>
        <w:spacing w:after="0" w:line="252" w:lineRule="exact"/>
        <w:rPr>
          <w:sz w:val="20"/>
          <w:szCs w:val="20"/>
          <w:color w:val="auto"/>
        </w:rPr>
      </w:pPr>
    </w:p>
    <w:p>
      <w:pPr>
        <w:spacing w:after="0" w:line="237" w:lineRule="auto"/>
        <w:rPr>
          <w:sz w:val="20"/>
          <w:szCs w:val="20"/>
          <w:color w:val="auto"/>
        </w:rPr>
      </w:pPr>
      <w:r>
        <w:rPr>
          <w:rFonts w:ascii="Calibri" w:cs="Calibri" w:eastAsia="Calibri" w:hAnsi="Calibri"/>
          <w:sz w:val="20"/>
          <w:szCs w:val="20"/>
          <w:color w:val="auto"/>
        </w:rPr>
        <w:t>Total revenue was $9.2 million for the fourth quarter of 2024 compared to $17.6 million for the fourth quarter of 2023. The decrease was primarily driven by a one-tme upfront payment under the license agreement with Sun Pharmaceutcal Industries, Inc. received in the fourth quarter of 2023, ofset by the achievement of a commercial milestone under the license agreement with Eli Lilly and Company in the fourth quarter of 2024. Total revenue was $18.7 million for the year ended December 31, 2024 compared to $31.2 million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1" w:right="999" w:bottom="1440" w:gutter="0" w:footer="0" w:header="0"/>
        </w:sectPr>
      </w:pPr>
    </w:p>
    <w:bookmarkStart w:id="5" w:name="page6"/>
    <w:bookmarkEnd w:id="5"/>
    <w:p>
      <w:pPr>
        <w:ind w:right="80"/>
        <w:spacing w:after="0" w:line="237" w:lineRule="auto"/>
        <w:rPr>
          <w:sz w:val="20"/>
          <w:szCs w:val="20"/>
          <w:color w:val="auto"/>
        </w:rPr>
      </w:pPr>
      <w:r>
        <w:rPr>
          <w:rFonts w:ascii="Calibri" w:cs="Calibri" w:eastAsia="Calibri" w:hAnsi="Calibri"/>
          <w:sz w:val="20"/>
          <w:szCs w:val="20"/>
          <w:color w:val="auto"/>
        </w:rPr>
        <w:t>Research and development (R&amp;D) expenses were $9.0 million for the quarter ended December 31, 2024 compared to $26.6 million for the prior year period. The $17.6 million decrease was primarily the result of lower zunsemetnib development expenses, lepzacitnib preclinical and clinical development actvites, and compensaton-related expenses. For the year ended December 31, 2024, R&amp;D expenses were $33.6 million compared to $98.4 million for the year ended December 31, 2023.</w:t>
      </w:r>
    </w:p>
    <w:p>
      <w:pPr>
        <w:spacing w:after="0" w:line="253" w:lineRule="exact"/>
        <w:rPr>
          <w:sz w:val="20"/>
          <w:szCs w:val="20"/>
          <w:color w:val="auto"/>
        </w:rPr>
      </w:pPr>
    </w:p>
    <w:p>
      <w:pPr>
        <w:jc w:val="both"/>
        <w:ind w:right="280"/>
        <w:spacing w:after="0" w:line="236" w:lineRule="auto"/>
        <w:rPr>
          <w:sz w:val="20"/>
          <w:szCs w:val="20"/>
          <w:color w:val="auto"/>
        </w:rPr>
      </w:pPr>
      <w:r>
        <w:rPr>
          <w:rFonts w:ascii="Calibri" w:cs="Calibri" w:eastAsia="Calibri" w:hAnsi="Calibri"/>
          <w:sz w:val="20"/>
          <w:szCs w:val="20"/>
          <w:color w:val="auto"/>
        </w:rPr>
        <w:t>General and administratve (G&amp;A) expenses were $5.0 million for the quarter ended December 31, 2024 compared to $8.2 million for the corresponding prior year period. The decrease was primarily due to a reducton in personnel and stock-based compensaton expenses. For the year ended December 31, 2024, G&amp;A expenses were $22.2 compared to $32.4 million for the year ended December 31, 2023, primarily due to lower compensaton-related costs.</w:t>
      </w:r>
    </w:p>
    <w:p>
      <w:pPr>
        <w:spacing w:after="0" w:line="228" w:lineRule="exact"/>
        <w:rPr>
          <w:sz w:val="20"/>
          <w:szCs w:val="20"/>
          <w:color w:val="auto"/>
        </w:rPr>
      </w:pPr>
    </w:p>
    <w:p>
      <w:pPr>
        <w:ind w:right="240"/>
        <w:spacing w:after="0" w:line="236" w:lineRule="auto"/>
        <w:rPr>
          <w:sz w:val="20"/>
          <w:szCs w:val="20"/>
          <w:color w:val="auto"/>
        </w:rPr>
      </w:pPr>
      <w:r>
        <w:rPr>
          <w:rFonts w:ascii="Calibri" w:cs="Calibri" w:eastAsia="Calibri" w:hAnsi="Calibri"/>
          <w:sz w:val="20"/>
          <w:szCs w:val="20"/>
          <w:color w:val="auto"/>
        </w:rPr>
        <w:t>Licensing expenses were $8.6 million for the quarter ended December 31, 2024 compared to $5.7 million for the prior year period. The increase was primarily atributable to a milestone achieved during the fourth quarter of 2024, the entrety of which was payable to a third party. For the year ended December 31, 2024, licensing expenses were $12.7 million compared to $14.7 million for the year ended December 31, 2023.</w:t>
      </w:r>
    </w:p>
    <w:p>
      <w:pPr>
        <w:spacing w:after="0" w:line="255" w:lineRule="exact"/>
        <w:rPr>
          <w:sz w:val="20"/>
          <w:szCs w:val="20"/>
          <w:color w:val="auto"/>
        </w:rPr>
      </w:pPr>
    </w:p>
    <w:p>
      <w:pPr>
        <w:jc w:val="both"/>
        <w:ind w:right="640"/>
        <w:spacing w:after="0" w:line="236" w:lineRule="auto"/>
        <w:rPr>
          <w:sz w:val="20"/>
          <w:szCs w:val="20"/>
          <w:color w:val="auto"/>
        </w:rPr>
      </w:pPr>
      <w:r>
        <w:rPr>
          <w:rFonts w:ascii="Calibri" w:cs="Calibri" w:eastAsia="Calibri" w:hAnsi="Calibri"/>
          <w:sz w:val="20"/>
          <w:szCs w:val="20"/>
          <w:color w:val="auto"/>
        </w:rPr>
        <w:t>Revaluaton of contngent consideraton resulted in a $1.3 million gain for the quarter ended December 31, 2024 compared to a $26.3 million gain for the prior year period. For the year ended December 31, 2024, revaluaton of contngent consideraton resulted in a charge of $2.5 million compared to a $26.9 million gain for the year ended December 31, 2023.</w:t>
      </w:r>
    </w:p>
    <w:p>
      <w:pPr>
        <w:spacing w:after="0" w:line="255" w:lineRule="exact"/>
        <w:rPr>
          <w:sz w:val="20"/>
          <w:szCs w:val="20"/>
          <w:color w:val="auto"/>
        </w:rPr>
      </w:pPr>
    </w:p>
    <w:p>
      <w:pPr>
        <w:ind w:right="40"/>
        <w:spacing w:after="0" w:line="237" w:lineRule="auto"/>
        <w:rPr>
          <w:sz w:val="20"/>
          <w:szCs w:val="20"/>
          <w:color w:val="auto"/>
        </w:rPr>
      </w:pPr>
      <w:r>
        <w:rPr>
          <w:rFonts w:ascii="Calibri" w:cs="Calibri" w:eastAsia="Calibri" w:hAnsi="Calibri"/>
          <w:sz w:val="20"/>
          <w:szCs w:val="20"/>
          <w:color w:val="auto"/>
        </w:rPr>
        <w:t>During the quarter and year ended December 31, 2024, the Company recorded $86.9 million of in-process research and development expenses, representng the fair value of consideraton expensed in connecton with the in-license of bosakitug (ATI-045) and ATI-052, as well as transacton costs incurred. During the quarter ended December 31, 2023, the Company recorded an intangible asset impairment charge of $6.6 million representng the full balance of its in-process research and development intangible asset.</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Aclaris Therapeutcs, Inc.</w:t>
      </w:r>
    </w:p>
    <w:p>
      <w:pPr>
        <w:spacing w:after="0" w:line="117" w:lineRule="exact"/>
        <w:rPr>
          <w:sz w:val="20"/>
          <w:szCs w:val="20"/>
          <w:color w:val="auto"/>
        </w:rPr>
      </w:pPr>
    </w:p>
    <w:p>
      <w:pPr>
        <w:spacing w:after="0" w:line="236" w:lineRule="auto"/>
        <w:rPr>
          <w:sz w:val="20"/>
          <w:szCs w:val="20"/>
          <w:color w:val="auto"/>
        </w:rPr>
      </w:pPr>
      <w:r>
        <w:rPr>
          <w:rFonts w:ascii="Calibri" w:cs="Calibri" w:eastAsia="Calibri" w:hAnsi="Calibri"/>
          <w:sz w:val="20"/>
          <w:szCs w:val="20"/>
          <w:color w:val="auto"/>
        </w:rPr>
        <w:t>Aclaris Therapeutcs, Inc. is a clinical-stage biopharmaceutcal company developing a pipeline of novel drug candidates to address the needs of patents with immuno-infammatory diseases who lack satsfactory treatment optons. The company has a mult-stage portolio of drug candidates powered by a robust R&amp;D engine. For additonal informaton, please visit www.aclaristx.com and follow Aclaris on X (formerly Twiter) at @AclarisTx and on LinkedIn.</w:t>
      </w:r>
    </w:p>
    <w:p>
      <w:pPr>
        <w:spacing w:after="0" w:line="24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Cautonary Note Regarding Forward-Looking Statements</w:t>
      </w:r>
    </w:p>
    <w:p>
      <w:pPr>
        <w:spacing w:after="0" w:line="117" w:lineRule="exact"/>
        <w:rPr>
          <w:sz w:val="20"/>
          <w:szCs w:val="20"/>
          <w:color w:val="auto"/>
        </w:rPr>
      </w:pPr>
    </w:p>
    <w:p>
      <w:pPr>
        <w:ind w:right="180"/>
        <w:spacing w:after="0" w:line="238" w:lineRule="auto"/>
        <w:rPr>
          <w:sz w:val="20"/>
          <w:szCs w:val="20"/>
          <w:color w:val="auto"/>
        </w:rPr>
      </w:pPr>
      <w:r>
        <w:rPr>
          <w:rFonts w:ascii="Calibri" w:cs="Calibri" w:eastAsia="Calibri" w:hAnsi="Calibri"/>
          <w:sz w:val="20"/>
          <w:szCs w:val="20"/>
          <w:color w:val="auto"/>
        </w:rPr>
        <w:t>Any statements contained in this press release that do not describe historical facts may consttute forward-looking statements as that term is defned in the Private Securites Litgaton Reform Act of 1995. These statements may be identfed by words such as “antcipate,” “believe,” “expect,” “intend,” “may,” “plan,” “potental,” “will,” and similar expressions, and are based on Aclaris’ current beliefs and expectatons. These forward-looking statements include expectatons regarding its plans for its development programs, the clinical development of its product candidates, including enrolling trials, the tming of data from trials and the tming of submitng an IND for ATI-052, and the sufciency of its cash, cash equivalents and marketable securites to fund its operatons into 2028. These statements involve risks and uncertaintes that could cause actual results to difer materially from those refected in such statements. Risks and uncertaintes that may cause actual results to difer materially include uncertaintes inherent in the conduct of clinical trials, Aclaris’ reliance on third partes over which it may not always have full control, Aclaris’ ability to enter into strategic partnerships on commercially reasonable terms, the uncertainty regarding the macroeconomic environment and other risks and uncertaintes that are described in the Risk Factors secton of Aclaris’ Annual Report on Form 10-K for the year ended December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1" w:right="999" w:bottom="1440" w:gutter="0" w:footer="0" w:header="0"/>
        </w:sectPr>
      </w:pPr>
    </w:p>
    <w:bookmarkStart w:id="6" w:name="page7"/>
    <w:bookmarkEnd w:id="6"/>
    <w:p>
      <w:pPr>
        <w:spacing w:after="0" w:line="237" w:lineRule="auto"/>
        <w:rPr>
          <w:sz w:val="20"/>
          <w:szCs w:val="20"/>
          <w:color w:val="auto"/>
        </w:rPr>
      </w:pPr>
      <w:r>
        <w:rPr>
          <w:rFonts w:ascii="Calibri" w:cs="Calibri" w:eastAsia="Calibri" w:hAnsi="Calibri"/>
          <w:sz w:val="20"/>
          <w:szCs w:val="20"/>
          <w:color w:val="auto"/>
        </w:rPr>
        <w:t>31, 2024, and other flings Aclaris makes with the U.S. Securites and Exchange Commission from tme to tme. These documents are available under the “SEC Filings” page of the “Investors” secton of Aclaris’ website at www.aclaristx.com. Any forward-looking statements speak only as of the date of this press release and are based on informaton available to Aclaris as of the date of this release, and Aclaris assumes no obligaton to, and does not intend to, update any forward-looking statements, whether as a result of new informaton, future events or otherwise.</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Aclaris Therapeutcs Contacts:</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Kevin Balthaser</w:t>
      </w:r>
    </w:p>
    <w:p>
      <w:pPr>
        <w:spacing w:after="0" w:line="238" w:lineRule="auto"/>
        <w:rPr>
          <w:sz w:val="20"/>
          <w:szCs w:val="20"/>
          <w:color w:val="auto"/>
        </w:rPr>
      </w:pPr>
      <w:r>
        <w:rPr>
          <w:rFonts w:ascii="Calibri" w:cs="Calibri" w:eastAsia="Calibri" w:hAnsi="Calibri"/>
          <w:sz w:val="20"/>
          <w:szCs w:val="20"/>
          <w:color w:val="auto"/>
        </w:rPr>
        <w:t>Chief Financial Ofcer</w:t>
      </w:r>
    </w:p>
    <w:p>
      <w:pPr>
        <w:spacing w:after="0" w:line="9" w:lineRule="exact"/>
        <w:rPr>
          <w:sz w:val="20"/>
          <w:szCs w:val="20"/>
          <w:color w:val="auto"/>
        </w:rPr>
      </w:pPr>
    </w:p>
    <w:p>
      <w:pPr>
        <w:ind w:right="7780" w:firstLine="8"/>
        <w:spacing w:after="0" w:line="234" w:lineRule="auto"/>
        <w:tabs>
          <w:tab w:leader="none" w:pos="477" w:val="left"/>
        </w:tabs>
        <w:numPr>
          <w:ilvl w:val="0"/>
          <w:numId w:val="8"/>
        </w:numPr>
        <w:rPr>
          <w:rFonts w:ascii="Calibri" w:cs="Calibri" w:eastAsia="Calibri" w:hAnsi="Calibri"/>
          <w:sz w:val="20"/>
          <w:szCs w:val="20"/>
          <w:color w:val="auto"/>
        </w:rPr>
      </w:pPr>
      <w:r>
        <w:rPr>
          <w:rFonts w:ascii="Calibri" w:cs="Calibri" w:eastAsia="Calibri" w:hAnsi="Calibri"/>
          <w:sz w:val="20"/>
          <w:szCs w:val="20"/>
          <w:color w:val="auto"/>
        </w:rPr>
        <w:t>329-2178 kbalthaser@aclaristx.com</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Will Roberts</w:t>
      </w:r>
    </w:p>
    <w:p>
      <w:pPr>
        <w:spacing w:after="0" w:line="238" w:lineRule="auto"/>
        <w:rPr>
          <w:sz w:val="20"/>
          <w:szCs w:val="20"/>
          <w:color w:val="auto"/>
        </w:rPr>
      </w:pPr>
      <w:r>
        <w:rPr>
          <w:rFonts w:ascii="Calibri" w:cs="Calibri" w:eastAsia="Calibri" w:hAnsi="Calibri"/>
          <w:sz w:val="20"/>
          <w:szCs w:val="20"/>
          <w:color w:val="auto"/>
        </w:rPr>
        <w:t>Senior Vice President</w:t>
      </w:r>
    </w:p>
    <w:p>
      <w:pPr>
        <w:spacing w:after="0"/>
        <w:rPr>
          <w:sz w:val="20"/>
          <w:szCs w:val="20"/>
          <w:color w:val="auto"/>
        </w:rPr>
      </w:pPr>
      <w:r>
        <w:rPr>
          <w:rFonts w:ascii="Calibri" w:cs="Calibri" w:eastAsia="Calibri" w:hAnsi="Calibri"/>
          <w:sz w:val="20"/>
          <w:szCs w:val="20"/>
          <w:color w:val="auto"/>
        </w:rPr>
        <w:t>Corporate Communicatons and Investor Relatons</w:t>
      </w:r>
    </w:p>
    <w:p>
      <w:pPr>
        <w:spacing w:after="0" w:line="8" w:lineRule="exact"/>
        <w:rPr>
          <w:sz w:val="20"/>
          <w:szCs w:val="20"/>
          <w:color w:val="auto"/>
        </w:rPr>
      </w:pPr>
    </w:p>
    <w:p>
      <w:pPr>
        <w:ind w:right="7900" w:firstLine="8"/>
        <w:spacing w:after="0" w:line="234" w:lineRule="auto"/>
        <w:tabs>
          <w:tab w:leader="none" w:pos="477" w:val="left"/>
        </w:tabs>
        <w:numPr>
          <w:ilvl w:val="0"/>
          <w:numId w:val="9"/>
        </w:numPr>
        <w:rPr>
          <w:rFonts w:ascii="Calibri" w:cs="Calibri" w:eastAsia="Calibri" w:hAnsi="Calibri"/>
          <w:sz w:val="20"/>
          <w:szCs w:val="20"/>
          <w:color w:val="auto"/>
        </w:rPr>
      </w:pPr>
      <w:r>
        <w:rPr>
          <w:rFonts w:ascii="Calibri" w:cs="Calibri" w:eastAsia="Calibri" w:hAnsi="Calibri"/>
          <w:sz w:val="20"/>
          <w:szCs w:val="20"/>
          <w:color w:val="auto"/>
        </w:rPr>
        <w:t>329-2125 wroberts@aclaristx.com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1" w:right="1019" w:bottom="1440" w:gutter="0" w:footer="0" w:header="0"/>
        </w:sectPr>
      </w:pPr>
    </w:p>
    <w:bookmarkStart w:id="7" w:name="page8"/>
    <w:bookmarkEnd w:id="7"/>
    <w:p>
      <w:pPr>
        <w:jc w:val="center"/>
        <w:spacing w:after="0"/>
        <w:rPr>
          <w:sz w:val="20"/>
          <w:szCs w:val="20"/>
          <w:color w:val="auto"/>
        </w:rPr>
      </w:pPr>
      <w:r>
        <w:rPr>
          <w:rFonts w:ascii="Calibri" w:cs="Calibri" w:eastAsia="Calibri" w:hAnsi="Calibri"/>
          <w:sz w:val="20"/>
          <w:szCs w:val="20"/>
          <w:b w:val="1"/>
          <w:bCs w:val="1"/>
          <w:color w:val="auto"/>
        </w:rPr>
        <w:t>Aclaris Therapeutcs, Inc.</w:t>
      </w:r>
    </w:p>
    <w:p>
      <w:pPr>
        <w:jc w:val="center"/>
        <w:spacing w:after="0" w:line="238" w:lineRule="auto"/>
        <w:rPr>
          <w:sz w:val="20"/>
          <w:szCs w:val="20"/>
          <w:color w:val="auto"/>
        </w:rPr>
      </w:pPr>
      <w:r>
        <w:rPr>
          <w:rFonts w:ascii="Calibri" w:cs="Calibri" w:eastAsia="Calibri" w:hAnsi="Calibri"/>
          <w:sz w:val="20"/>
          <w:szCs w:val="20"/>
          <w:color w:val="auto"/>
        </w:rPr>
        <w:t>Consolidated Statements of Operatons</w:t>
      </w:r>
    </w:p>
    <w:p>
      <w:pPr>
        <w:jc w:val="center"/>
        <w:spacing w:after="0"/>
        <w:rPr>
          <w:sz w:val="20"/>
          <w:szCs w:val="20"/>
          <w:color w:val="auto"/>
        </w:rPr>
      </w:pPr>
      <w:r>
        <w:rPr>
          <w:rFonts w:ascii="Calibri" w:cs="Calibri" w:eastAsia="Calibri" w:hAnsi="Calibri"/>
          <w:sz w:val="20"/>
          <w:szCs w:val="20"/>
          <w:color w:val="auto"/>
        </w:rPr>
        <w:t>(unaudited, in thousands, except share and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20" w:type="dxa"/>
            <w:vAlign w:val="bottom"/>
            <w:gridSpan w:val="4"/>
          </w:tcPr>
          <w:p>
            <w:pPr>
              <w:jc w:val="right"/>
              <w:ind w:right="441"/>
              <w:spacing w:after="0"/>
              <w:rPr>
                <w:sz w:val="20"/>
                <w:szCs w:val="20"/>
                <w:color w:val="auto"/>
              </w:rPr>
            </w:pPr>
            <w:r>
              <w:rPr>
                <w:rFonts w:ascii="Calibri" w:cs="Calibri" w:eastAsia="Calibri" w:hAnsi="Calibri"/>
                <w:sz w:val="20"/>
                <w:szCs w:val="20"/>
                <w:b w:val="1"/>
                <w:bCs w:val="1"/>
                <w:color w:val="auto"/>
              </w:rPr>
              <w:t>Three Months Ended</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20" w:type="dxa"/>
            <w:vAlign w:val="bottom"/>
            <w:gridSpan w:val="4"/>
          </w:tcPr>
          <w:p>
            <w:pPr>
              <w:jc w:val="right"/>
              <w:ind w:right="721"/>
              <w:spacing w:after="0"/>
              <w:rPr>
                <w:sz w:val="20"/>
                <w:szCs w:val="20"/>
                <w:color w:val="auto"/>
              </w:rPr>
            </w:pPr>
            <w:r>
              <w:rPr>
                <w:rFonts w:ascii="Calibri" w:cs="Calibri" w:eastAsia="Calibri" w:hAnsi="Calibri"/>
                <w:sz w:val="20"/>
                <w:szCs w:val="20"/>
                <w:b w:val="1"/>
                <w:bCs w:val="1"/>
                <w:color w:val="auto"/>
              </w:rPr>
              <w:t>Year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20" w:type="dxa"/>
            <w:vAlign w:val="bottom"/>
            <w:gridSpan w:val="4"/>
          </w:tcPr>
          <w:p>
            <w:pPr>
              <w:jc w:val="right"/>
              <w:ind w:right="741"/>
              <w:spacing w:after="0" w:line="243" w:lineRule="exact"/>
              <w:rPr>
                <w:sz w:val="20"/>
                <w:szCs w:val="20"/>
                <w:color w:val="auto"/>
              </w:rPr>
            </w:pPr>
            <w:r>
              <w:rPr>
                <w:rFonts w:ascii="Calibri" w:cs="Calibri" w:eastAsia="Calibri" w:hAnsi="Calibri"/>
                <w:sz w:val="20"/>
                <w:szCs w:val="20"/>
                <w:b w:val="1"/>
                <w:bCs w:val="1"/>
                <w:color w:val="auto"/>
              </w:rPr>
              <w:t>December 31,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20" w:type="dxa"/>
            <w:vAlign w:val="bottom"/>
            <w:gridSpan w:val="4"/>
          </w:tcPr>
          <w:p>
            <w:pPr>
              <w:jc w:val="right"/>
              <w:ind w:right="621"/>
              <w:spacing w:after="0" w:line="243" w:lineRule="exact"/>
              <w:rPr>
                <w:sz w:val="20"/>
                <w:szCs w:val="20"/>
                <w:color w:val="auto"/>
              </w:rPr>
            </w:pPr>
            <w:r>
              <w:rPr>
                <w:rFonts w:ascii="Calibri" w:cs="Calibri" w:eastAsia="Calibri" w:hAnsi="Calibri"/>
                <w:sz w:val="20"/>
                <w:szCs w:val="20"/>
                <w:b w:val="1"/>
                <w:bCs w:val="1"/>
                <w:color w:val="auto"/>
              </w:rPr>
              <w:t>December 31,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61"/>
              <w:spacing w:after="0" w:line="228" w:lineRule="exact"/>
              <w:rPr>
                <w:sz w:val="20"/>
                <w:szCs w:val="20"/>
                <w:color w:val="auto"/>
              </w:rPr>
            </w:pPr>
            <w:r>
              <w:rPr>
                <w:rFonts w:ascii="Calibri" w:cs="Calibri" w:eastAsia="Calibri" w:hAnsi="Calibri"/>
                <w:sz w:val="20"/>
                <w:szCs w:val="20"/>
                <w:b w:val="1"/>
                <w:bCs w:val="1"/>
                <w:color w:val="auto"/>
              </w:rPr>
              <w:t>2024</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61"/>
              <w:spacing w:after="0" w:line="228" w:lineRule="exact"/>
              <w:rPr>
                <w:sz w:val="20"/>
                <w:szCs w:val="20"/>
                <w:color w:val="auto"/>
              </w:rPr>
            </w:pPr>
            <w:r>
              <w:rPr>
                <w:rFonts w:ascii="Calibri" w:cs="Calibri" w:eastAsia="Calibri" w:hAnsi="Calibri"/>
                <w:sz w:val="20"/>
                <w:szCs w:val="20"/>
                <w:b w:val="1"/>
                <w:bCs w:val="1"/>
                <w:color w:val="auto"/>
              </w:rPr>
              <w:t>2023</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81"/>
              <w:spacing w:after="0" w:line="228" w:lineRule="exact"/>
              <w:rPr>
                <w:sz w:val="20"/>
                <w:szCs w:val="20"/>
                <w:color w:val="auto"/>
              </w:rPr>
            </w:pPr>
            <w:r>
              <w:rPr>
                <w:rFonts w:ascii="Calibri" w:cs="Calibri" w:eastAsia="Calibri" w:hAnsi="Calibri"/>
                <w:sz w:val="20"/>
                <w:szCs w:val="20"/>
                <w:b w:val="1"/>
                <w:bCs w:val="1"/>
                <w:color w:val="auto"/>
              </w:rPr>
              <w:t>2024</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1"/>
              <w:spacing w:after="0" w:line="228" w:lineRule="exact"/>
              <w:rPr>
                <w:sz w:val="20"/>
                <w:szCs w:val="20"/>
                <w:color w:val="auto"/>
              </w:rPr>
            </w:pPr>
            <w:r>
              <w:rPr>
                <w:rFonts w:ascii="Calibri" w:cs="Calibri" w:eastAsia="Calibri" w:hAnsi="Calibri"/>
                <w:sz w:val="20"/>
                <w:szCs w:val="20"/>
                <w:b w:val="1"/>
                <w:bCs w:val="1"/>
                <w:color w:val="auto"/>
              </w:rPr>
              <w:t>2023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CCEEFF"/>
            </w:tcBorders>
            <w:shd w:val="clear" w:color="auto" w:fill="CCEEFF"/>
          </w:tcPr>
          <w:p>
            <w:pPr>
              <w:spacing w:after="0" w:line="221" w:lineRule="exact"/>
              <w:rPr>
                <w:sz w:val="20"/>
                <w:szCs w:val="20"/>
                <w:color w:val="auto"/>
              </w:rPr>
            </w:pPr>
            <w:r>
              <w:rPr>
                <w:rFonts w:ascii="Calibri" w:cs="Calibri" w:eastAsia="Calibri" w:hAnsi="Calibri"/>
                <w:sz w:val="20"/>
                <w:szCs w:val="20"/>
                <w:color w:val="auto"/>
              </w:rPr>
              <w:t>Revenues:</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080" w:type="dxa"/>
            <w:vAlign w:val="bottom"/>
          </w:tcPr>
          <w:p>
            <w:pPr>
              <w:ind w:left="120"/>
              <w:spacing w:after="0" w:line="234" w:lineRule="exact"/>
              <w:rPr>
                <w:sz w:val="20"/>
                <w:szCs w:val="20"/>
                <w:color w:val="auto"/>
              </w:rPr>
            </w:pPr>
            <w:r>
              <w:rPr>
                <w:rFonts w:ascii="Calibri" w:cs="Calibri" w:eastAsia="Calibri" w:hAnsi="Calibri"/>
                <w:sz w:val="20"/>
                <w:szCs w:val="20"/>
                <w:color w:val="auto"/>
              </w:rPr>
              <w:t>Contract research</w:t>
            </w:r>
          </w:p>
        </w:tc>
        <w:tc>
          <w:tcPr>
            <w:tcW w:w="420" w:type="dxa"/>
            <w:vAlign w:val="bottom"/>
            <w:gridSpan w:val="2"/>
          </w:tcPr>
          <w:p>
            <w:pPr>
              <w:jc w:val="right"/>
              <w:ind w:right="21"/>
              <w:spacing w:after="0" w:line="234" w:lineRule="exact"/>
              <w:rPr>
                <w:sz w:val="20"/>
                <w:szCs w:val="20"/>
                <w:color w:val="auto"/>
              </w:rPr>
            </w:pPr>
            <w:r>
              <w:rPr>
                <w:rFonts w:ascii="Calibri" w:cs="Calibri" w:eastAsia="Calibri" w:hAnsi="Calibri"/>
                <w:sz w:val="20"/>
                <w:szCs w:val="20"/>
                <w:color w:val="auto"/>
              </w:rPr>
              <w:t>$</w:t>
            </w:r>
          </w:p>
        </w:tc>
        <w:tc>
          <w:tcPr>
            <w:tcW w:w="1100" w:type="dxa"/>
            <w:vAlign w:val="bottom"/>
          </w:tcPr>
          <w:p>
            <w:pPr>
              <w:jc w:val="right"/>
              <w:spacing w:after="0" w:line="234" w:lineRule="exact"/>
              <w:rPr>
                <w:sz w:val="20"/>
                <w:szCs w:val="20"/>
                <w:color w:val="auto"/>
              </w:rPr>
            </w:pPr>
            <w:r>
              <w:rPr>
                <w:rFonts w:ascii="Calibri" w:cs="Calibri" w:eastAsia="Calibri" w:hAnsi="Calibri"/>
                <w:sz w:val="20"/>
                <w:szCs w:val="20"/>
                <w:color w:val="auto"/>
              </w:rPr>
              <w:t>615</w:t>
            </w:r>
          </w:p>
        </w:tc>
        <w:tc>
          <w:tcPr>
            <w:tcW w:w="420" w:type="dxa"/>
            <w:vAlign w:val="bottom"/>
            <w:gridSpan w:val="2"/>
          </w:tcPr>
          <w:p>
            <w:pPr>
              <w:jc w:val="right"/>
              <w:ind w:right="21"/>
              <w:spacing w:after="0" w:line="234" w:lineRule="exact"/>
              <w:rPr>
                <w:sz w:val="20"/>
                <w:szCs w:val="20"/>
                <w:color w:val="auto"/>
              </w:rPr>
            </w:pPr>
            <w:r>
              <w:rPr>
                <w:rFonts w:ascii="Calibri" w:cs="Calibri" w:eastAsia="Calibri" w:hAnsi="Calibri"/>
                <w:sz w:val="20"/>
                <w:szCs w:val="20"/>
                <w:color w:val="auto"/>
              </w:rPr>
              <w:t>$</w:t>
            </w:r>
          </w:p>
        </w:tc>
        <w:tc>
          <w:tcPr>
            <w:tcW w:w="1100" w:type="dxa"/>
            <w:vAlign w:val="bottom"/>
          </w:tcPr>
          <w:p>
            <w:pPr>
              <w:jc w:val="right"/>
              <w:spacing w:after="0" w:line="234" w:lineRule="exact"/>
              <w:rPr>
                <w:sz w:val="20"/>
                <w:szCs w:val="20"/>
                <w:color w:val="auto"/>
              </w:rPr>
            </w:pPr>
            <w:r>
              <w:rPr>
                <w:rFonts w:ascii="Calibri" w:cs="Calibri" w:eastAsia="Calibri" w:hAnsi="Calibri"/>
                <w:sz w:val="20"/>
                <w:szCs w:val="20"/>
                <w:color w:val="auto"/>
              </w:rPr>
              <w:t>566</w:t>
            </w:r>
          </w:p>
        </w:tc>
        <w:tc>
          <w:tcPr>
            <w:tcW w:w="36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w:t>
            </w:r>
          </w:p>
        </w:tc>
        <w:tc>
          <w:tcPr>
            <w:tcW w:w="1020" w:type="dxa"/>
            <w:vAlign w:val="bottom"/>
          </w:tcPr>
          <w:p>
            <w:pPr>
              <w:jc w:val="right"/>
              <w:spacing w:after="0" w:line="234" w:lineRule="exact"/>
              <w:rPr>
                <w:sz w:val="20"/>
                <w:szCs w:val="20"/>
                <w:color w:val="auto"/>
              </w:rPr>
            </w:pPr>
            <w:r>
              <w:rPr>
                <w:rFonts w:ascii="Calibri" w:cs="Calibri" w:eastAsia="Calibri" w:hAnsi="Calibri"/>
                <w:sz w:val="20"/>
                <w:szCs w:val="20"/>
                <w:color w:val="auto"/>
              </w:rPr>
              <w:t>2,541</w:t>
            </w:r>
          </w:p>
        </w:tc>
        <w:tc>
          <w:tcPr>
            <w:tcW w:w="36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w:t>
            </w:r>
          </w:p>
        </w:tc>
        <w:tc>
          <w:tcPr>
            <w:tcW w:w="1040" w:type="dxa"/>
            <w:vAlign w:val="bottom"/>
          </w:tcPr>
          <w:p>
            <w:pPr>
              <w:jc w:val="right"/>
              <w:spacing w:after="0" w:line="234" w:lineRule="exact"/>
              <w:rPr>
                <w:sz w:val="20"/>
                <w:szCs w:val="20"/>
                <w:color w:val="auto"/>
              </w:rPr>
            </w:pPr>
            <w:r>
              <w:rPr>
                <w:rFonts w:ascii="Calibri" w:cs="Calibri" w:eastAsia="Calibri" w:hAnsi="Calibri"/>
                <w:sz w:val="20"/>
                <w:szCs w:val="20"/>
                <w:color w:val="auto"/>
              </w:rPr>
              <w:t>3,035</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080" w:type="dxa"/>
            <w:vAlign w:val="bottom"/>
            <w:shd w:val="clear" w:color="auto" w:fill="CCEEFF"/>
          </w:tcPr>
          <w:p>
            <w:pPr>
              <w:ind w:left="120"/>
              <w:spacing w:after="0" w:line="239" w:lineRule="exact"/>
              <w:rPr>
                <w:sz w:val="20"/>
                <w:szCs w:val="20"/>
                <w:color w:val="auto"/>
              </w:rPr>
            </w:pPr>
            <w:r>
              <w:rPr>
                <w:rFonts w:ascii="Calibri" w:cs="Calibri" w:eastAsia="Calibri" w:hAnsi="Calibri"/>
                <w:sz w:val="20"/>
                <w:szCs w:val="20"/>
                <w:color w:val="auto"/>
              </w:rPr>
              <w:t>Licensing</w:t>
            </w:r>
          </w:p>
        </w:tc>
        <w:tc>
          <w:tcPr>
            <w:tcW w:w="2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line="239" w:lineRule="exact"/>
              <w:rPr>
                <w:sz w:val="20"/>
                <w:szCs w:val="20"/>
                <w:color w:val="auto"/>
              </w:rPr>
            </w:pPr>
            <w:r>
              <w:rPr>
                <w:rFonts w:ascii="Calibri" w:cs="Calibri" w:eastAsia="Calibri" w:hAnsi="Calibri"/>
                <w:sz w:val="20"/>
                <w:szCs w:val="20"/>
                <w:color w:val="auto"/>
              </w:rPr>
              <w:t>8,596</w:t>
            </w:r>
          </w:p>
        </w:tc>
        <w:tc>
          <w:tcPr>
            <w:tcW w:w="2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line="239" w:lineRule="exact"/>
              <w:rPr>
                <w:sz w:val="20"/>
                <w:szCs w:val="20"/>
                <w:color w:val="auto"/>
              </w:rPr>
            </w:pPr>
            <w:r>
              <w:rPr>
                <w:rFonts w:ascii="Calibri" w:cs="Calibri" w:eastAsia="Calibri" w:hAnsi="Calibri"/>
                <w:sz w:val="20"/>
                <w:szCs w:val="20"/>
                <w:color w:val="auto"/>
              </w:rPr>
              <w:t>17,004</w:t>
            </w:r>
          </w:p>
        </w:tc>
        <w:tc>
          <w:tcPr>
            <w:tcW w:w="2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line="239" w:lineRule="exact"/>
              <w:rPr>
                <w:sz w:val="20"/>
                <w:szCs w:val="20"/>
                <w:color w:val="auto"/>
              </w:rPr>
            </w:pPr>
            <w:r>
              <w:rPr>
                <w:rFonts w:ascii="Calibri" w:cs="Calibri" w:eastAsia="Calibri" w:hAnsi="Calibri"/>
                <w:sz w:val="20"/>
                <w:szCs w:val="20"/>
                <w:color w:val="auto"/>
              </w:rPr>
              <w:t>16,179</w:t>
            </w:r>
          </w:p>
        </w:tc>
        <w:tc>
          <w:tcPr>
            <w:tcW w:w="2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line="239" w:lineRule="exact"/>
              <w:rPr>
                <w:sz w:val="20"/>
                <w:szCs w:val="20"/>
                <w:color w:val="auto"/>
              </w:rPr>
            </w:pPr>
            <w:r>
              <w:rPr>
                <w:rFonts w:ascii="Calibri" w:cs="Calibri" w:eastAsia="Calibri" w:hAnsi="Calibri"/>
                <w:sz w:val="20"/>
                <w:szCs w:val="20"/>
                <w:color w:val="auto"/>
              </w:rPr>
              <w:t>28,214</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80" w:type="dxa"/>
            <w:vAlign w:val="bottom"/>
            <w:tcBorders>
              <w:bottom w:val="single" w:sz="8" w:color="CCEEFF"/>
            </w:tcBorders>
          </w:tcPr>
          <w:p>
            <w:pPr>
              <w:spacing w:after="0" w:line="214" w:lineRule="exact"/>
              <w:rPr>
                <w:sz w:val="20"/>
                <w:szCs w:val="20"/>
                <w:color w:val="auto"/>
              </w:rPr>
            </w:pPr>
            <w:r>
              <w:rPr>
                <w:rFonts w:ascii="Calibri" w:cs="Calibri" w:eastAsia="Calibri" w:hAnsi="Calibri"/>
                <w:sz w:val="20"/>
                <w:szCs w:val="20"/>
                <w:color w:val="auto"/>
              </w:rPr>
              <w:t>Total revenue</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232" w:lineRule="exact"/>
              <w:rPr>
                <w:sz w:val="20"/>
                <w:szCs w:val="20"/>
                <w:color w:val="auto"/>
              </w:rPr>
            </w:pPr>
            <w:r>
              <w:rPr>
                <w:rFonts w:ascii="Calibri" w:cs="Calibri" w:eastAsia="Calibri" w:hAnsi="Calibri"/>
                <w:sz w:val="20"/>
                <w:szCs w:val="20"/>
                <w:color w:val="auto"/>
              </w:rPr>
              <w:t>9,211</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232" w:lineRule="exact"/>
              <w:rPr>
                <w:sz w:val="20"/>
                <w:szCs w:val="20"/>
                <w:color w:val="auto"/>
              </w:rPr>
            </w:pPr>
            <w:r>
              <w:rPr>
                <w:rFonts w:ascii="Calibri" w:cs="Calibri" w:eastAsia="Calibri" w:hAnsi="Calibri"/>
                <w:sz w:val="20"/>
                <w:szCs w:val="20"/>
                <w:color w:val="auto"/>
              </w:rPr>
              <w:t>17,570</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232" w:lineRule="exact"/>
              <w:rPr>
                <w:sz w:val="20"/>
                <w:szCs w:val="20"/>
                <w:color w:val="auto"/>
              </w:rPr>
            </w:pPr>
            <w:r>
              <w:rPr>
                <w:rFonts w:ascii="Calibri" w:cs="Calibri" w:eastAsia="Calibri" w:hAnsi="Calibri"/>
                <w:sz w:val="20"/>
                <w:szCs w:val="20"/>
                <w:color w:val="auto"/>
              </w:rPr>
              <w:t>18,720</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232" w:lineRule="exact"/>
              <w:rPr>
                <w:sz w:val="20"/>
                <w:szCs w:val="20"/>
                <w:color w:val="auto"/>
              </w:rPr>
            </w:pPr>
            <w:r>
              <w:rPr>
                <w:rFonts w:ascii="Calibri" w:cs="Calibri" w:eastAsia="Calibri" w:hAnsi="Calibri"/>
                <w:sz w:val="20"/>
                <w:szCs w:val="20"/>
                <w:color w:val="auto"/>
              </w:rPr>
              <w:t>31,249</w:t>
            </w:r>
          </w:p>
        </w:tc>
        <w:tc>
          <w:tcPr>
            <w:tcW w:w="0" w:type="dxa"/>
            <w:vAlign w:val="bottom"/>
          </w:tcPr>
          <w:p>
            <w:pPr>
              <w:spacing w:after="0"/>
              <w:rPr>
                <w:sz w:val="1"/>
                <w:szCs w:val="1"/>
                <w:color w:val="auto"/>
              </w:rPr>
            </w:pPr>
          </w:p>
        </w:tc>
      </w:tr>
      <w:tr>
        <w:trPr>
          <w:trHeight w:val="241"/>
        </w:trPr>
        <w:tc>
          <w:tcPr>
            <w:tcW w:w="20" w:type="dxa"/>
            <w:vAlign w:val="bottom"/>
            <w:vMerge w:val="restart"/>
          </w:tcPr>
          <w:p>
            <w:pPr>
              <w:spacing w:after="0"/>
              <w:rPr>
                <w:sz w:val="20"/>
                <w:szCs w:val="20"/>
                <w:color w:val="auto"/>
              </w:rPr>
            </w:pPr>
          </w:p>
        </w:tc>
        <w:tc>
          <w:tcPr>
            <w:tcW w:w="4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4080" w:type="dxa"/>
            <w:vAlign w:val="bottom"/>
          </w:tcPr>
          <w:p>
            <w:pPr>
              <w:spacing w:after="0" w:line="234" w:lineRule="exact"/>
              <w:rPr>
                <w:sz w:val="20"/>
                <w:szCs w:val="20"/>
                <w:color w:val="auto"/>
              </w:rPr>
            </w:pPr>
            <w:r>
              <w:rPr>
                <w:rFonts w:ascii="Calibri" w:cs="Calibri" w:eastAsia="Calibri" w:hAnsi="Calibri"/>
                <w:sz w:val="20"/>
                <w:szCs w:val="20"/>
                <w:color w:val="auto"/>
              </w:rPr>
              <w:t>Costs and expenses: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080" w:type="dxa"/>
            <w:vAlign w:val="bottom"/>
            <w:shd w:val="clear" w:color="auto" w:fill="CCEEFF"/>
          </w:tcPr>
          <w:p>
            <w:pPr>
              <w:ind w:left="120"/>
              <w:spacing w:after="0" w:line="248" w:lineRule="exact"/>
              <w:rPr>
                <w:sz w:val="20"/>
                <w:szCs w:val="20"/>
                <w:color w:val="auto"/>
              </w:rPr>
            </w:pPr>
            <w:r>
              <w:rPr>
                <w:rFonts w:ascii="Calibri" w:cs="Calibri" w:eastAsia="Calibri" w:hAnsi="Calibri"/>
                <w:sz w:val="19"/>
                <w:szCs w:val="19"/>
                <w:color w:val="auto"/>
              </w:rPr>
              <w:t xml:space="preserve">Cost of revenue </w:t>
            </w:r>
            <w:r>
              <w:rPr>
                <w:rFonts w:ascii="Calibri" w:cs="Calibri" w:eastAsia="Calibri" w:hAnsi="Calibri"/>
                <w:sz w:val="27"/>
                <w:szCs w:val="27"/>
                <w:color w:val="auto"/>
                <w:vertAlign w:val="superscript"/>
              </w:rPr>
              <w:t>(1)</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line="239" w:lineRule="exact"/>
              <w:rPr>
                <w:sz w:val="20"/>
                <w:szCs w:val="20"/>
                <w:color w:val="auto"/>
              </w:rPr>
            </w:pPr>
            <w:r>
              <w:rPr>
                <w:rFonts w:ascii="Calibri" w:cs="Calibri" w:eastAsia="Calibri" w:hAnsi="Calibri"/>
                <w:sz w:val="20"/>
                <w:szCs w:val="20"/>
                <w:color w:val="auto"/>
              </w:rPr>
              <w:t>705</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line="239" w:lineRule="exact"/>
              <w:rPr>
                <w:sz w:val="20"/>
                <w:szCs w:val="20"/>
                <w:color w:val="auto"/>
              </w:rPr>
            </w:pPr>
            <w:r>
              <w:rPr>
                <w:rFonts w:ascii="Calibri" w:cs="Calibri" w:eastAsia="Calibri" w:hAnsi="Calibri"/>
                <w:sz w:val="20"/>
                <w:szCs w:val="20"/>
                <w:color w:val="auto"/>
              </w:rPr>
              <w:t>725</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line="239" w:lineRule="exact"/>
              <w:rPr>
                <w:sz w:val="20"/>
                <w:szCs w:val="20"/>
                <w:color w:val="auto"/>
              </w:rPr>
            </w:pPr>
            <w:r>
              <w:rPr>
                <w:rFonts w:ascii="Calibri" w:cs="Calibri" w:eastAsia="Calibri" w:hAnsi="Calibri"/>
                <w:sz w:val="20"/>
                <w:szCs w:val="20"/>
                <w:color w:val="auto"/>
              </w:rPr>
              <w:t>2,792</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line="239" w:lineRule="exact"/>
              <w:rPr>
                <w:sz w:val="20"/>
                <w:szCs w:val="20"/>
                <w:color w:val="auto"/>
              </w:rPr>
            </w:pPr>
            <w:r>
              <w:rPr>
                <w:rFonts w:ascii="Calibri" w:cs="Calibri" w:eastAsia="Calibri" w:hAnsi="Calibri"/>
                <w:sz w:val="20"/>
                <w:szCs w:val="20"/>
                <w:color w:val="auto"/>
              </w:rPr>
              <w:t>3,423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tcPr>
          <w:p>
            <w:pPr>
              <w:ind w:left="120"/>
              <w:spacing w:after="0" w:line="243" w:lineRule="exact"/>
              <w:rPr>
                <w:sz w:val="20"/>
                <w:szCs w:val="20"/>
                <w:color w:val="auto"/>
              </w:rPr>
            </w:pPr>
            <w:r>
              <w:rPr>
                <w:rFonts w:ascii="Calibri" w:cs="Calibri" w:eastAsia="Calibri" w:hAnsi="Calibri"/>
                <w:sz w:val="18"/>
                <w:szCs w:val="18"/>
                <w:color w:val="auto"/>
              </w:rPr>
              <w:t xml:space="preserve">Research and development </w:t>
            </w:r>
            <w:r>
              <w:rPr>
                <w:rFonts w:ascii="Calibri" w:cs="Calibri" w:eastAsia="Calibri" w:hAnsi="Calibri"/>
                <w:sz w:val="26"/>
                <w:szCs w:val="26"/>
                <w:color w:val="auto"/>
                <w:vertAlign w:val="superscript"/>
              </w:rPr>
              <w:t>(1)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line="234" w:lineRule="exact"/>
              <w:rPr>
                <w:sz w:val="20"/>
                <w:szCs w:val="20"/>
                <w:color w:val="auto"/>
              </w:rPr>
            </w:pPr>
            <w:r>
              <w:rPr>
                <w:rFonts w:ascii="Calibri" w:cs="Calibri" w:eastAsia="Calibri" w:hAnsi="Calibri"/>
                <w:sz w:val="20"/>
                <w:szCs w:val="20"/>
                <w:color w:val="auto"/>
              </w:rPr>
              <w:t>9,026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line="234" w:lineRule="exact"/>
              <w:rPr>
                <w:sz w:val="20"/>
                <w:szCs w:val="20"/>
                <w:color w:val="auto"/>
              </w:rPr>
            </w:pPr>
            <w:r>
              <w:rPr>
                <w:rFonts w:ascii="Calibri" w:cs="Calibri" w:eastAsia="Calibri" w:hAnsi="Calibri"/>
                <w:sz w:val="20"/>
                <w:szCs w:val="20"/>
                <w:color w:val="auto"/>
              </w:rPr>
              <w:t>26,646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line="234" w:lineRule="exact"/>
              <w:rPr>
                <w:sz w:val="20"/>
                <w:szCs w:val="20"/>
                <w:color w:val="auto"/>
              </w:rPr>
            </w:pPr>
            <w:r>
              <w:rPr>
                <w:rFonts w:ascii="Calibri" w:cs="Calibri" w:eastAsia="Calibri" w:hAnsi="Calibri"/>
                <w:sz w:val="20"/>
                <w:szCs w:val="20"/>
                <w:color w:val="auto"/>
              </w:rPr>
              <w:t>33,586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line="234" w:lineRule="exact"/>
              <w:rPr>
                <w:sz w:val="20"/>
                <w:szCs w:val="20"/>
                <w:color w:val="auto"/>
              </w:rPr>
            </w:pPr>
            <w:r>
              <w:rPr>
                <w:rFonts w:ascii="Calibri" w:cs="Calibri" w:eastAsia="Calibri" w:hAnsi="Calibri"/>
                <w:sz w:val="20"/>
                <w:szCs w:val="20"/>
                <w:color w:val="auto"/>
              </w:rPr>
              <w:t>98,384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shd w:val="clear" w:color="auto" w:fill="CCEEFF"/>
          </w:tcPr>
          <w:p>
            <w:pPr>
              <w:ind w:left="120"/>
              <w:spacing w:after="0" w:line="243" w:lineRule="exact"/>
              <w:rPr>
                <w:sz w:val="20"/>
                <w:szCs w:val="20"/>
                <w:color w:val="auto"/>
              </w:rPr>
            </w:pPr>
            <w:r>
              <w:rPr>
                <w:rFonts w:ascii="Calibri" w:cs="Calibri" w:eastAsia="Calibri" w:hAnsi="Calibri"/>
                <w:sz w:val="18"/>
                <w:szCs w:val="18"/>
                <w:color w:val="auto"/>
              </w:rPr>
              <w:t xml:space="preserve">General and administratve </w:t>
            </w:r>
            <w:r>
              <w:rPr>
                <w:rFonts w:ascii="Calibri" w:cs="Calibri" w:eastAsia="Calibri" w:hAnsi="Calibri"/>
                <w:sz w:val="26"/>
                <w:szCs w:val="26"/>
                <w:color w:val="auto"/>
                <w:vertAlign w:val="superscript"/>
              </w:rPr>
              <w:t>(1)</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4,954</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8,214</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22,203</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32,412</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080" w:type="dxa"/>
            <w:vAlign w:val="bottom"/>
          </w:tcPr>
          <w:p>
            <w:pPr>
              <w:ind w:left="120"/>
              <w:spacing w:after="0" w:line="234" w:lineRule="exact"/>
              <w:rPr>
                <w:sz w:val="20"/>
                <w:szCs w:val="20"/>
                <w:color w:val="auto"/>
              </w:rPr>
            </w:pPr>
            <w:r>
              <w:rPr>
                <w:rFonts w:ascii="Calibri" w:cs="Calibri" w:eastAsia="Calibri" w:hAnsi="Calibri"/>
                <w:sz w:val="20"/>
                <w:szCs w:val="20"/>
                <w:color w:val="auto"/>
              </w:rPr>
              <w:t>Licensing</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line="234" w:lineRule="exact"/>
              <w:rPr>
                <w:sz w:val="20"/>
                <w:szCs w:val="20"/>
                <w:color w:val="auto"/>
              </w:rPr>
            </w:pPr>
            <w:r>
              <w:rPr>
                <w:rFonts w:ascii="Calibri" w:cs="Calibri" w:eastAsia="Calibri" w:hAnsi="Calibri"/>
                <w:sz w:val="20"/>
                <w:szCs w:val="20"/>
                <w:color w:val="auto"/>
              </w:rPr>
              <w:t>8,596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line="234" w:lineRule="exact"/>
              <w:rPr>
                <w:sz w:val="20"/>
                <w:szCs w:val="20"/>
                <w:color w:val="auto"/>
              </w:rPr>
            </w:pPr>
            <w:r>
              <w:rPr>
                <w:rFonts w:ascii="Calibri" w:cs="Calibri" w:eastAsia="Calibri" w:hAnsi="Calibri"/>
                <w:sz w:val="20"/>
                <w:szCs w:val="20"/>
                <w:color w:val="auto"/>
              </w:rPr>
              <w:t>5,703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line="234" w:lineRule="exact"/>
              <w:rPr>
                <w:sz w:val="20"/>
                <w:szCs w:val="20"/>
                <w:color w:val="auto"/>
              </w:rPr>
            </w:pPr>
            <w:r>
              <w:rPr>
                <w:rFonts w:ascii="Calibri" w:cs="Calibri" w:eastAsia="Calibri" w:hAnsi="Calibri"/>
                <w:sz w:val="20"/>
                <w:szCs w:val="20"/>
                <w:color w:val="auto"/>
              </w:rPr>
              <w:t>12,666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line="234" w:lineRule="exact"/>
              <w:rPr>
                <w:sz w:val="20"/>
                <w:szCs w:val="20"/>
                <w:color w:val="auto"/>
              </w:rPr>
            </w:pPr>
            <w:r>
              <w:rPr>
                <w:rFonts w:ascii="Calibri" w:cs="Calibri" w:eastAsia="Calibri" w:hAnsi="Calibri"/>
                <w:sz w:val="20"/>
                <w:szCs w:val="20"/>
                <w:color w:val="auto"/>
              </w:rPr>
              <w:t>14,658</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080" w:type="dxa"/>
            <w:vAlign w:val="bottom"/>
            <w:shd w:val="clear" w:color="auto" w:fill="CCEEFF"/>
          </w:tcPr>
          <w:p>
            <w:pPr>
              <w:ind w:left="120"/>
              <w:spacing w:after="0" w:line="239" w:lineRule="exact"/>
              <w:rPr>
                <w:sz w:val="20"/>
                <w:szCs w:val="20"/>
                <w:color w:val="auto"/>
              </w:rPr>
            </w:pPr>
            <w:r>
              <w:rPr>
                <w:rFonts w:ascii="Calibri" w:cs="Calibri" w:eastAsia="Calibri" w:hAnsi="Calibri"/>
                <w:sz w:val="20"/>
                <w:szCs w:val="20"/>
                <w:color w:val="auto"/>
              </w:rPr>
              <w:t>Revaluaton of contngent consideraton</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line="239" w:lineRule="exact"/>
              <w:rPr>
                <w:sz w:val="20"/>
                <w:szCs w:val="20"/>
                <w:color w:val="auto"/>
              </w:rPr>
            </w:pPr>
            <w:r>
              <w:rPr>
                <w:rFonts w:ascii="Calibri" w:cs="Calibri" w:eastAsia="Calibri" w:hAnsi="Calibri"/>
                <w:sz w:val="20"/>
                <w:szCs w:val="20"/>
                <w:color w:val="auto"/>
              </w:rPr>
              <w:t>(1,300)</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line="239" w:lineRule="exact"/>
              <w:rPr>
                <w:sz w:val="20"/>
                <w:szCs w:val="20"/>
                <w:color w:val="auto"/>
              </w:rPr>
            </w:pPr>
            <w:r>
              <w:rPr>
                <w:rFonts w:ascii="Calibri" w:cs="Calibri" w:eastAsia="Calibri" w:hAnsi="Calibri"/>
                <w:sz w:val="20"/>
                <w:szCs w:val="20"/>
                <w:color w:val="auto"/>
              </w:rPr>
              <w:t>(26,300)</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line="239" w:lineRule="exact"/>
              <w:rPr>
                <w:sz w:val="20"/>
                <w:szCs w:val="20"/>
                <w:color w:val="auto"/>
              </w:rPr>
            </w:pPr>
            <w:r>
              <w:rPr>
                <w:rFonts w:ascii="Calibri" w:cs="Calibri" w:eastAsia="Calibri" w:hAnsi="Calibri"/>
                <w:sz w:val="20"/>
                <w:szCs w:val="20"/>
                <w:color w:val="auto"/>
              </w:rPr>
              <w:t>2,500</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line="239" w:lineRule="exact"/>
              <w:rPr>
                <w:sz w:val="20"/>
                <w:szCs w:val="20"/>
                <w:color w:val="auto"/>
              </w:rPr>
            </w:pPr>
            <w:r>
              <w:rPr>
                <w:rFonts w:ascii="Calibri" w:cs="Calibri" w:eastAsia="Calibri" w:hAnsi="Calibri"/>
                <w:sz w:val="20"/>
                <w:szCs w:val="20"/>
                <w:color w:val="auto"/>
              </w:rPr>
              <w:t>(26,900)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80" w:type="dxa"/>
            <w:vAlign w:val="bottom"/>
            <w:tcBorders>
              <w:bottom w:val="single" w:sz="8" w:color="CCEEFF"/>
            </w:tcBorders>
          </w:tcPr>
          <w:p>
            <w:pPr>
              <w:ind w:left="120"/>
              <w:spacing w:after="0" w:line="234" w:lineRule="exact"/>
              <w:rPr>
                <w:sz w:val="20"/>
                <w:szCs w:val="20"/>
                <w:color w:val="auto"/>
              </w:rPr>
            </w:pPr>
            <w:r>
              <w:rPr>
                <w:rFonts w:ascii="Calibri" w:cs="Calibri" w:eastAsia="Calibri" w:hAnsi="Calibri"/>
                <w:sz w:val="20"/>
                <w:szCs w:val="20"/>
                <w:color w:val="auto"/>
              </w:rPr>
              <w:t>In-process research and development</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86,905</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6,629</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86,905</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6,629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shd w:val="clear" w:color="auto" w:fill="CCEEFF"/>
          </w:tcPr>
          <w:p>
            <w:pPr>
              <w:spacing w:after="0" w:line="221" w:lineRule="exact"/>
              <w:rPr>
                <w:sz w:val="20"/>
                <w:szCs w:val="20"/>
                <w:color w:val="auto"/>
              </w:rPr>
            </w:pPr>
            <w:r>
              <w:rPr>
                <w:rFonts w:ascii="Calibri" w:cs="Calibri" w:eastAsia="Calibri" w:hAnsi="Calibri"/>
                <w:sz w:val="20"/>
                <w:szCs w:val="20"/>
                <w:color w:val="auto"/>
              </w:rPr>
              <w:t>Total costs and expenses</w:t>
            </w:r>
          </w:p>
        </w:tc>
        <w:tc>
          <w:tcPr>
            <w:tcW w:w="2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108,886</w:t>
            </w:r>
          </w:p>
        </w:tc>
        <w:tc>
          <w:tcPr>
            <w:tcW w:w="2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21,617</w:t>
            </w:r>
          </w:p>
        </w:tc>
        <w:tc>
          <w:tcPr>
            <w:tcW w:w="2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160,652</w:t>
            </w:r>
          </w:p>
        </w:tc>
        <w:tc>
          <w:tcPr>
            <w:tcW w:w="2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128,606</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80" w:type="dxa"/>
            <w:vAlign w:val="bottom"/>
          </w:tcPr>
          <w:p>
            <w:pPr>
              <w:spacing w:after="0" w:line="214" w:lineRule="exact"/>
              <w:rPr>
                <w:sz w:val="20"/>
                <w:szCs w:val="20"/>
                <w:color w:val="auto"/>
              </w:rPr>
            </w:pPr>
            <w:r>
              <w:rPr>
                <w:rFonts w:ascii="Calibri" w:cs="Calibri" w:eastAsia="Calibri" w:hAnsi="Calibri"/>
                <w:sz w:val="20"/>
                <w:szCs w:val="20"/>
                <w:color w:val="auto"/>
              </w:rPr>
              <w:t>Loss from operatons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line="232" w:lineRule="exact"/>
              <w:rPr>
                <w:sz w:val="20"/>
                <w:szCs w:val="20"/>
                <w:color w:val="auto"/>
              </w:rPr>
            </w:pPr>
            <w:r>
              <w:rPr>
                <w:rFonts w:ascii="Calibri" w:cs="Calibri" w:eastAsia="Calibri" w:hAnsi="Calibri"/>
                <w:sz w:val="20"/>
                <w:szCs w:val="20"/>
                <w:color w:val="auto"/>
              </w:rPr>
              <w:t>(99,675)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line="232" w:lineRule="exact"/>
              <w:rPr>
                <w:sz w:val="20"/>
                <w:szCs w:val="20"/>
                <w:color w:val="auto"/>
              </w:rPr>
            </w:pPr>
            <w:r>
              <w:rPr>
                <w:rFonts w:ascii="Calibri" w:cs="Calibri" w:eastAsia="Calibri" w:hAnsi="Calibri"/>
                <w:sz w:val="20"/>
                <w:szCs w:val="20"/>
                <w:color w:val="auto"/>
              </w:rPr>
              <w:t>(4,047)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line="232" w:lineRule="exact"/>
              <w:rPr>
                <w:sz w:val="20"/>
                <w:szCs w:val="20"/>
                <w:color w:val="auto"/>
              </w:rPr>
            </w:pPr>
            <w:r>
              <w:rPr>
                <w:rFonts w:ascii="Calibri" w:cs="Calibri" w:eastAsia="Calibri" w:hAnsi="Calibri"/>
                <w:sz w:val="20"/>
                <w:szCs w:val="20"/>
                <w:color w:val="auto"/>
              </w:rPr>
              <w:t>(141,932)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line="232" w:lineRule="exact"/>
              <w:rPr>
                <w:sz w:val="20"/>
                <w:szCs w:val="20"/>
                <w:color w:val="auto"/>
              </w:rPr>
            </w:pPr>
            <w:r>
              <w:rPr>
                <w:rFonts w:ascii="Calibri" w:cs="Calibri" w:eastAsia="Calibri" w:hAnsi="Calibri"/>
                <w:sz w:val="20"/>
                <w:szCs w:val="20"/>
                <w:color w:val="auto"/>
              </w:rPr>
              <w:t>(97,357)</w:t>
            </w:r>
          </w:p>
        </w:tc>
        <w:tc>
          <w:tcPr>
            <w:tcW w:w="0" w:type="dxa"/>
            <w:vAlign w:val="bottom"/>
          </w:tcPr>
          <w:p>
            <w:pPr>
              <w:spacing w:after="0"/>
              <w:rPr>
                <w:sz w:val="1"/>
                <w:szCs w:val="1"/>
                <w:color w:val="auto"/>
              </w:rPr>
            </w:pPr>
          </w:p>
        </w:tc>
      </w:tr>
      <w:tr>
        <w:trPr>
          <w:trHeight w:val="247"/>
        </w:trPr>
        <w:tc>
          <w:tcPr>
            <w:tcW w:w="20" w:type="dxa"/>
            <w:vAlign w:val="bottom"/>
            <w:vMerge w:val="restart"/>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4080" w:type="dxa"/>
            <w:vAlign w:val="bottom"/>
          </w:tcPr>
          <w:p>
            <w:pPr>
              <w:spacing w:after="0" w:line="234" w:lineRule="exact"/>
              <w:rPr>
                <w:sz w:val="20"/>
                <w:szCs w:val="20"/>
                <w:color w:val="auto"/>
              </w:rPr>
            </w:pPr>
            <w:r>
              <w:rPr>
                <w:rFonts w:ascii="Calibri" w:cs="Calibri" w:eastAsia="Calibri" w:hAnsi="Calibri"/>
                <w:sz w:val="20"/>
                <w:szCs w:val="20"/>
                <w:color w:val="auto"/>
              </w:rPr>
              <w:t>Other income:</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080" w:type="dxa"/>
            <w:vAlign w:val="bottom"/>
            <w:shd w:val="clear" w:color="auto" w:fill="CCEEFF"/>
          </w:tcPr>
          <w:p>
            <w:pPr>
              <w:ind w:left="120"/>
              <w:spacing w:after="0" w:line="239" w:lineRule="exact"/>
              <w:rPr>
                <w:sz w:val="20"/>
                <w:szCs w:val="20"/>
                <w:color w:val="auto"/>
              </w:rPr>
            </w:pPr>
            <w:r>
              <w:rPr>
                <w:rFonts w:ascii="Calibri" w:cs="Calibri" w:eastAsia="Calibri" w:hAnsi="Calibri"/>
                <w:sz w:val="20"/>
                <w:szCs w:val="20"/>
                <w:color w:val="auto"/>
              </w:rPr>
              <w:t>Interest income</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line="239" w:lineRule="exact"/>
              <w:rPr>
                <w:sz w:val="20"/>
                <w:szCs w:val="20"/>
                <w:color w:val="auto"/>
              </w:rPr>
            </w:pPr>
            <w:r>
              <w:rPr>
                <w:rFonts w:ascii="Calibri" w:cs="Calibri" w:eastAsia="Calibri" w:hAnsi="Calibri"/>
                <w:sz w:val="20"/>
                <w:szCs w:val="20"/>
                <w:color w:val="auto"/>
              </w:rPr>
              <w:t>2,103</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line="239" w:lineRule="exact"/>
              <w:rPr>
                <w:sz w:val="20"/>
                <w:szCs w:val="20"/>
                <w:color w:val="auto"/>
              </w:rPr>
            </w:pPr>
            <w:r>
              <w:rPr>
                <w:rFonts w:ascii="Calibri" w:cs="Calibri" w:eastAsia="Calibri" w:hAnsi="Calibri"/>
                <w:sz w:val="20"/>
                <w:szCs w:val="20"/>
                <w:color w:val="auto"/>
              </w:rPr>
              <w:t>2,189</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line="239" w:lineRule="exact"/>
              <w:rPr>
                <w:sz w:val="20"/>
                <w:szCs w:val="20"/>
                <w:color w:val="auto"/>
              </w:rPr>
            </w:pPr>
            <w:r>
              <w:rPr>
                <w:rFonts w:ascii="Calibri" w:cs="Calibri" w:eastAsia="Calibri" w:hAnsi="Calibri"/>
                <w:sz w:val="20"/>
                <w:szCs w:val="20"/>
                <w:color w:val="auto"/>
              </w:rPr>
              <w:t>7,953</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line="239" w:lineRule="exact"/>
              <w:rPr>
                <w:sz w:val="20"/>
                <w:szCs w:val="20"/>
                <w:color w:val="auto"/>
              </w:rPr>
            </w:pPr>
            <w:r>
              <w:rPr>
                <w:rFonts w:ascii="Calibri" w:cs="Calibri" w:eastAsia="Calibri" w:hAnsi="Calibri"/>
                <w:sz w:val="20"/>
                <w:szCs w:val="20"/>
                <w:color w:val="auto"/>
              </w:rPr>
              <w:t>8,509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Borders>
              <w:bottom w:val="single" w:sz="8" w:color="CCEEFF"/>
            </w:tcBorders>
          </w:tcPr>
          <w:p>
            <w:pPr>
              <w:ind w:left="120"/>
              <w:spacing w:after="0" w:line="234" w:lineRule="exact"/>
              <w:rPr>
                <w:sz w:val="20"/>
                <w:szCs w:val="20"/>
                <w:color w:val="auto"/>
              </w:rPr>
            </w:pPr>
            <w:r>
              <w:rPr>
                <w:rFonts w:ascii="Calibri" w:cs="Calibri" w:eastAsia="Calibri" w:hAnsi="Calibri"/>
                <w:sz w:val="20"/>
                <w:szCs w:val="20"/>
                <w:color w:val="auto"/>
              </w:rPr>
              <w:t>Non-cash royalty income</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1,020</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1,914</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shd w:val="clear" w:color="auto" w:fill="CCEEFF"/>
          </w:tcPr>
          <w:p>
            <w:pPr>
              <w:spacing w:after="0" w:line="221" w:lineRule="exact"/>
              <w:rPr>
                <w:sz w:val="20"/>
                <w:szCs w:val="20"/>
                <w:color w:val="auto"/>
              </w:rPr>
            </w:pPr>
            <w:r>
              <w:rPr>
                <w:rFonts w:ascii="Calibri" w:cs="Calibri" w:eastAsia="Calibri" w:hAnsi="Calibri"/>
                <w:sz w:val="20"/>
                <w:szCs w:val="20"/>
                <w:color w:val="auto"/>
              </w:rPr>
              <w:t>Total other income</w:t>
            </w:r>
          </w:p>
        </w:tc>
        <w:tc>
          <w:tcPr>
            <w:tcW w:w="2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3,123</w:t>
            </w:r>
          </w:p>
        </w:tc>
        <w:tc>
          <w:tcPr>
            <w:tcW w:w="2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2,189</w:t>
            </w:r>
          </w:p>
        </w:tc>
        <w:tc>
          <w:tcPr>
            <w:tcW w:w="2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9,867</w:t>
            </w:r>
          </w:p>
        </w:tc>
        <w:tc>
          <w:tcPr>
            <w:tcW w:w="2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8,509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80" w:type="dxa"/>
            <w:vAlign w:val="bottom"/>
          </w:tcPr>
          <w:p>
            <w:pPr>
              <w:spacing w:after="0" w:line="214" w:lineRule="exact"/>
              <w:rPr>
                <w:sz w:val="20"/>
                <w:szCs w:val="20"/>
                <w:color w:val="auto"/>
              </w:rPr>
            </w:pPr>
            <w:r>
              <w:rPr>
                <w:rFonts w:ascii="Calibri" w:cs="Calibri" w:eastAsia="Calibri" w:hAnsi="Calibri"/>
                <w:sz w:val="20"/>
                <w:szCs w:val="20"/>
                <w:color w:val="auto"/>
              </w:rPr>
              <w:t>Loss before income taxes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line="228" w:lineRule="exact"/>
              <w:rPr>
                <w:sz w:val="20"/>
                <w:szCs w:val="20"/>
                <w:color w:val="auto"/>
              </w:rPr>
            </w:pPr>
            <w:r>
              <w:rPr>
                <w:rFonts w:ascii="Calibri" w:cs="Calibri" w:eastAsia="Calibri" w:hAnsi="Calibri"/>
                <w:sz w:val="20"/>
                <w:szCs w:val="20"/>
                <w:color w:val="auto"/>
              </w:rPr>
              <w:t>(96,552)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line="228" w:lineRule="exact"/>
              <w:rPr>
                <w:sz w:val="20"/>
                <w:szCs w:val="20"/>
                <w:color w:val="auto"/>
              </w:rPr>
            </w:pPr>
            <w:r>
              <w:rPr>
                <w:rFonts w:ascii="Calibri" w:cs="Calibri" w:eastAsia="Calibri" w:hAnsi="Calibri"/>
                <w:sz w:val="20"/>
                <w:szCs w:val="20"/>
                <w:color w:val="auto"/>
              </w:rPr>
              <w:t>(1,858)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line="228" w:lineRule="exact"/>
              <w:rPr>
                <w:sz w:val="20"/>
                <w:szCs w:val="20"/>
                <w:color w:val="auto"/>
              </w:rPr>
            </w:pPr>
            <w:r>
              <w:rPr>
                <w:rFonts w:ascii="Calibri" w:cs="Calibri" w:eastAsia="Calibri" w:hAnsi="Calibri"/>
                <w:sz w:val="20"/>
                <w:szCs w:val="20"/>
                <w:color w:val="auto"/>
              </w:rPr>
              <w:t>(132,065)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line="228" w:lineRule="exact"/>
              <w:rPr>
                <w:sz w:val="20"/>
                <w:szCs w:val="20"/>
                <w:color w:val="auto"/>
              </w:rPr>
            </w:pPr>
            <w:r>
              <w:rPr>
                <w:rFonts w:ascii="Calibri" w:cs="Calibri" w:eastAsia="Calibri" w:hAnsi="Calibri"/>
                <w:sz w:val="20"/>
                <w:szCs w:val="20"/>
                <w:color w:val="auto"/>
              </w:rPr>
              <w:t>(88,848)</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080" w:type="dxa"/>
            <w:vAlign w:val="bottom"/>
            <w:shd w:val="clear" w:color="auto" w:fill="CCEEFF"/>
          </w:tcPr>
          <w:p>
            <w:pPr>
              <w:spacing w:after="0" w:line="243" w:lineRule="exact"/>
              <w:rPr>
                <w:sz w:val="20"/>
                <w:szCs w:val="20"/>
                <w:color w:val="auto"/>
              </w:rPr>
            </w:pPr>
            <w:r>
              <w:rPr>
                <w:rFonts w:ascii="Calibri" w:cs="Calibri" w:eastAsia="Calibri" w:hAnsi="Calibri"/>
                <w:sz w:val="20"/>
                <w:szCs w:val="20"/>
                <w:color w:val="auto"/>
              </w:rPr>
              <w:t>Income tax beneft</w:t>
            </w:r>
          </w:p>
        </w:tc>
        <w:tc>
          <w:tcPr>
            <w:tcW w:w="2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w:t>
            </w:r>
          </w:p>
        </w:tc>
        <w:tc>
          <w:tcPr>
            <w:tcW w:w="2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(367)</w:t>
            </w:r>
          </w:p>
        </w:tc>
        <w:tc>
          <w:tcPr>
            <w:tcW w:w="2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w:t>
            </w:r>
          </w:p>
        </w:tc>
        <w:tc>
          <w:tcPr>
            <w:tcW w:w="2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(367)</w:t>
            </w:r>
          </w:p>
        </w:tc>
        <w:tc>
          <w:tcPr>
            <w:tcW w:w="0" w:type="dxa"/>
            <w:vAlign w:val="bottom"/>
          </w:tcPr>
          <w:p>
            <w:pPr>
              <w:spacing w:after="0"/>
              <w:rPr>
                <w:sz w:val="1"/>
                <w:szCs w:val="1"/>
                <w:color w:val="auto"/>
              </w:rPr>
            </w:pPr>
          </w:p>
        </w:tc>
      </w:tr>
      <w:tr>
        <w:trPr>
          <w:trHeight w:val="272"/>
        </w:trPr>
        <w:tc>
          <w:tcPr>
            <w:tcW w:w="4100" w:type="dxa"/>
            <w:vAlign w:val="bottom"/>
            <w:gridSpan w:val="2"/>
          </w:tcPr>
          <w:p>
            <w:pPr>
              <w:spacing w:after="0" w:line="217" w:lineRule="exact"/>
              <w:rPr>
                <w:sz w:val="20"/>
                <w:szCs w:val="20"/>
                <w:color w:val="auto"/>
              </w:rPr>
            </w:pPr>
            <w:r>
              <w:rPr>
                <w:rFonts w:ascii="Calibri" w:cs="Calibri" w:eastAsia="Calibri" w:hAnsi="Calibri"/>
                <w:sz w:val="20"/>
                <w:szCs w:val="20"/>
                <w:color w:val="auto"/>
              </w:rPr>
              <w:t>Net loss</w:t>
            </w:r>
          </w:p>
        </w:tc>
        <w:tc>
          <w:tcPr>
            <w:tcW w:w="200" w:type="dxa"/>
            <w:vAlign w:val="bottom"/>
          </w:tcPr>
          <w:p>
            <w:pPr>
              <w:spacing w:after="0"/>
              <w:rPr>
                <w:sz w:val="23"/>
                <w:szCs w:val="23"/>
                <w:color w:val="auto"/>
              </w:rPr>
            </w:pPr>
          </w:p>
        </w:tc>
        <w:tc>
          <w:tcPr>
            <w:tcW w:w="220" w:type="dxa"/>
            <w:vAlign w:val="bottom"/>
            <w:tcBorders>
              <w:bottom w:val="single" w:sz="8" w:color="auto"/>
            </w:tcBorders>
          </w:tcPr>
          <w:p>
            <w:pPr>
              <w:jc w:val="right"/>
              <w:ind w:right="21"/>
              <w:spacing w:after="0" w:line="232" w:lineRule="exact"/>
              <w:rPr>
                <w:sz w:val="20"/>
                <w:szCs w:val="20"/>
                <w:color w:val="auto"/>
              </w:rPr>
            </w:pPr>
            <w:r>
              <w:rPr>
                <w:rFonts w:ascii="Calibri" w:cs="Calibri" w:eastAsia="Calibri" w:hAnsi="Calibri"/>
                <w:sz w:val="20"/>
                <w:szCs w:val="20"/>
                <w:color w:val="auto"/>
                <w:w w:val="78"/>
              </w:rPr>
              <w:t>$</w:t>
            </w:r>
          </w:p>
        </w:tc>
        <w:tc>
          <w:tcPr>
            <w:tcW w:w="1100" w:type="dxa"/>
            <w:vAlign w:val="bottom"/>
            <w:tcBorders>
              <w:bottom w:val="single" w:sz="8" w:color="auto"/>
            </w:tcBorders>
          </w:tcPr>
          <w:p>
            <w:pPr>
              <w:jc w:val="right"/>
              <w:spacing w:after="0" w:line="232" w:lineRule="exact"/>
              <w:rPr>
                <w:sz w:val="20"/>
                <w:szCs w:val="20"/>
                <w:color w:val="auto"/>
              </w:rPr>
            </w:pPr>
            <w:r>
              <w:rPr>
                <w:rFonts w:ascii="Calibri" w:cs="Calibri" w:eastAsia="Calibri" w:hAnsi="Calibri"/>
                <w:sz w:val="20"/>
                <w:szCs w:val="20"/>
                <w:color w:val="auto"/>
              </w:rPr>
              <w:t>(96,552)</w:t>
            </w:r>
          </w:p>
        </w:tc>
        <w:tc>
          <w:tcPr>
            <w:tcW w:w="200" w:type="dxa"/>
            <w:vAlign w:val="bottom"/>
          </w:tcPr>
          <w:p>
            <w:pPr>
              <w:spacing w:after="0"/>
              <w:rPr>
                <w:sz w:val="23"/>
                <w:szCs w:val="23"/>
                <w:color w:val="auto"/>
              </w:rPr>
            </w:pPr>
          </w:p>
        </w:tc>
        <w:tc>
          <w:tcPr>
            <w:tcW w:w="220" w:type="dxa"/>
            <w:vAlign w:val="bottom"/>
            <w:tcBorders>
              <w:bottom w:val="single" w:sz="8" w:color="auto"/>
            </w:tcBorders>
          </w:tcPr>
          <w:p>
            <w:pPr>
              <w:jc w:val="right"/>
              <w:ind w:right="21"/>
              <w:spacing w:after="0" w:line="232" w:lineRule="exact"/>
              <w:rPr>
                <w:sz w:val="20"/>
                <w:szCs w:val="20"/>
                <w:color w:val="auto"/>
              </w:rPr>
            </w:pPr>
            <w:r>
              <w:rPr>
                <w:rFonts w:ascii="Calibri" w:cs="Calibri" w:eastAsia="Calibri" w:hAnsi="Calibri"/>
                <w:sz w:val="20"/>
                <w:szCs w:val="20"/>
                <w:color w:val="auto"/>
                <w:w w:val="78"/>
              </w:rPr>
              <w:t>$</w:t>
            </w:r>
          </w:p>
        </w:tc>
        <w:tc>
          <w:tcPr>
            <w:tcW w:w="1100" w:type="dxa"/>
            <w:vAlign w:val="bottom"/>
            <w:tcBorders>
              <w:bottom w:val="single" w:sz="8" w:color="auto"/>
            </w:tcBorders>
          </w:tcPr>
          <w:p>
            <w:pPr>
              <w:jc w:val="right"/>
              <w:spacing w:after="0" w:line="232" w:lineRule="exact"/>
              <w:rPr>
                <w:sz w:val="20"/>
                <w:szCs w:val="20"/>
                <w:color w:val="auto"/>
              </w:rPr>
            </w:pPr>
            <w:r>
              <w:rPr>
                <w:rFonts w:ascii="Calibri" w:cs="Calibri" w:eastAsia="Calibri" w:hAnsi="Calibri"/>
                <w:sz w:val="20"/>
                <w:szCs w:val="20"/>
                <w:color w:val="auto"/>
              </w:rPr>
              <w:t>(1,491)</w:t>
            </w:r>
          </w:p>
        </w:tc>
        <w:tc>
          <w:tcPr>
            <w:tcW w:w="200" w:type="dxa"/>
            <w:vAlign w:val="bottom"/>
          </w:tcPr>
          <w:p>
            <w:pPr>
              <w:spacing w:after="0"/>
              <w:rPr>
                <w:sz w:val="23"/>
                <w:szCs w:val="23"/>
                <w:color w:val="auto"/>
              </w:rPr>
            </w:pPr>
          </w:p>
        </w:tc>
        <w:tc>
          <w:tcPr>
            <w:tcW w:w="160" w:type="dxa"/>
            <w:vAlign w:val="bottom"/>
            <w:tcBorders>
              <w:bottom w:val="single" w:sz="8" w:color="auto"/>
            </w:tcBorders>
          </w:tcPr>
          <w:p>
            <w:pPr>
              <w:jc w:val="right"/>
              <w:spacing w:after="0" w:line="232" w:lineRule="exact"/>
              <w:rPr>
                <w:sz w:val="20"/>
                <w:szCs w:val="20"/>
                <w:color w:val="auto"/>
              </w:rPr>
            </w:pPr>
            <w:r>
              <w:rPr>
                <w:rFonts w:ascii="Calibri" w:cs="Calibri" w:eastAsia="Calibri" w:hAnsi="Calibri"/>
                <w:sz w:val="20"/>
                <w:szCs w:val="20"/>
                <w:color w:val="auto"/>
                <w:w w:val="78"/>
              </w:rPr>
              <w:t>$</w:t>
            </w:r>
          </w:p>
        </w:tc>
        <w:tc>
          <w:tcPr>
            <w:tcW w:w="1020" w:type="dxa"/>
            <w:vAlign w:val="bottom"/>
            <w:tcBorders>
              <w:bottom w:val="single" w:sz="8" w:color="auto"/>
            </w:tcBorders>
          </w:tcPr>
          <w:p>
            <w:pPr>
              <w:jc w:val="right"/>
              <w:spacing w:after="0" w:line="232" w:lineRule="exact"/>
              <w:rPr>
                <w:sz w:val="20"/>
                <w:szCs w:val="20"/>
                <w:color w:val="auto"/>
              </w:rPr>
            </w:pPr>
            <w:r>
              <w:rPr>
                <w:rFonts w:ascii="Calibri" w:cs="Calibri" w:eastAsia="Calibri" w:hAnsi="Calibri"/>
                <w:sz w:val="20"/>
                <w:szCs w:val="20"/>
                <w:color w:val="auto"/>
              </w:rPr>
              <w:t>(132,065)</w:t>
            </w:r>
          </w:p>
        </w:tc>
        <w:tc>
          <w:tcPr>
            <w:tcW w:w="22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w w:val="73"/>
              </w:rPr>
              <w:t>$</w:t>
            </w:r>
          </w:p>
        </w:tc>
        <w:tc>
          <w:tcPr>
            <w:tcW w:w="1040" w:type="dxa"/>
            <w:vAlign w:val="bottom"/>
            <w:tcBorders>
              <w:bottom w:val="single" w:sz="8" w:color="auto"/>
            </w:tcBorders>
          </w:tcPr>
          <w:p>
            <w:pPr>
              <w:jc w:val="right"/>
              <w:spacing w:after="0" w:line="232" w:lineRule="exact"/>
              <w:rPr>
                <w:sz w:val="20"/>
                <w:szCs w:val="20"/>
                <w:color w:val="auto"/>
              </w:rPr>
            </w:pPr>
            <w:r>
              <w:rPr>
                <w:rFonts w:ascii="Calibri" w:cs="Calibri" w:eastAsia="Calibri" w:hAnsi="Calibri"/>
                <w:sz w:val="20"/>
                <w:szCs w:val="20"/>
                <w:color w:val="auto"/>
              </w:rPr>
              <w:t>(88,481)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top w:val="single" w:sz="8" w:color="CCEEFF"/>
              <w:bottom w:val="single" w:sz="8" w:color="CCEEFF"/>
            </w:tcBorders>
            <w:shd w:val="clear" w:color="auto" w:fill="CCEEFF"/>
          </w:tcPr>
          <w:p>
            <w:pPr>
              <w:spacing w:after="0" w:line="208" w:lineRule="exact"/>
              <w:rPr>
                <w:sz w:val="20"/>
                <w:szCs w:val="20"/>
                <w:color w:val="auto"/>
              </w:rPr>
            </w:pPr>
            <w:r>
              <w:rPr>
                <w:rFonts w:ascii="Calibri" w:cs="Calibri" w:eastAsia="Calibri" w:hAnsi="Calibri"/>
                <w:sz w:val="20"/>
                <w:szCs w:val="20"/>
                <w:color w:val="auto"/>
              </w:rPr>
              <w:t>Net loss per share, basic and diluted</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21"/>
              <w:spacing w:after="0" w:line="223" w:lineRule="exact"/>
              <w:rPr>
                <w:sz w:val="20"/>
                <w:szCs w:val="20"/>
                <w:color w:val="auto"/>
              </w:rPr>
            </w:pPr>
            <w:r>
              <w:rPr>
                <w:rFonts w:ascii="Calibri" w:cs="Calibri" w:eastAsia="Calibri" w:hAnsi="Calibri"/>
                <w:sz w:val="20"/>
                <w:szCs w:val="20"/>
                <w:color w:val="auto"/>
                <w:w w:val="78"/>
              </w:rPr>
              <w:t>$</w:t>
            </w:r>
          </w:p>
        </w:tc>
        <w:tc>
          <w:tcPr>
            <w:tcW w:w="110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Calibri" w:cs="Calibri" w:eastAsia="Calibri" w:hAnsi="Calibri"/>
                <w:sz w:val="20"/>
                <w:szCs w:val="20"/>
                <w:color w:val="auto"/>
              </w:rPr>
              <w:t>(1.01)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21"/>
              <w:spacing w:after="0" w:line="223" w:lineRule="exact"/>
              <w:rPr>
                <w:sz w:val="20"/>
                <w:szCs w:val="20"/>
                <w:color w:val="auto"/>
              </w:rPr>
            </w:pPr>
            <w:r>
              <w:rPr>
                <w:rFonts w:ascii="Calibri" w:cs="Calibri" w:eastAsia="Calibri" w:hAnsi="Calibri"/>
                <w:sz w:val="20"/>
                <w:szCs w:val="20"/>
                <w:color w:val="auto"/>
                <w:w w:val="78"/>
              </w:rPr>
              <w:t>$</w:t>
            </w:r>
          </w:p>
        </w:tc>
        <w:tc>
          <w:tcPr>
            <w:tcW w:w="110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Calibri" w:cs="Calibri" w:eastAsia="Calibri" w:hAnsi="Calibri"/>
                <w:sz w:val="20"/>
                <w:szCs w:val="20"/>
                <w:color w:val="auto"/>
              </w:rPr>
              <w:t>(0.02)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Calibri" w:cs="Calibri" w:eastAsia="Calibri" w:hAnsi="Calibri"/>
                <w:sz w:val="20"/>
                <w:szCs w:val="20"/>
                <w:color w:val="auto"/>
                <w:w w:val="78"/>
              </w:rPr>
              <w:t>$</w:t>
            </w:r>
          </w:p>
        </w:tc>
        <w:tc>
          <w:tcPr>
            <w:tcW w:w="102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Calibri" w:cs="Calibri" w:eastAsia="Calibri" w:hAnsi="Calibri"/>
                <w:sz w:val="20"/>
                <w:szCs w:val="20"/>
                <w:color w:val="auto"/>
              </w:rPr>
              <w:t>(1.71)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Calibri" w:cs="Calibri" w:eastAsia="Calibri" w:hAnsi="Calibri"/>
                <w:sz w:val="16"/>
                <w:szCs w:val="16"/>
                <w:color w:val="auto"/>
                <w:w w:val="73"/>
              </w:rPr>
              <w:t>$</w:t>
            </w:r>
          </w:p>
        </w:tc>
        <w:tc>
          <w:tcPr>
            <w:tcW w:w="10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Calibri" w:cs="Calibri" w:eastAsia="Calibri" w:hAnsi="Calibri"/>
                <w:sz w:val="20"/>
                <w:szCs w:val="20"/>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vMerge w:val="restart"/>
          </w:tcPr>
          <w:p>
            <w:pPr>
              <w:spacing w:after="0" w:line="216" w:lineRule="exact"/>
              <w:rPr>
                <w:sz w:val="20"/>
                <w:szCs w:val="20"/>
                <w:color w:val="auto"/>
              </w:rPr>
            </w:pPr>
            <w:r>
              <w:rPr>
                <w:rFonts w:ascii="Calibri" w:cs="Calibri" w:eastAsia="Calibri" w:hAnsi="Calibri"/>
                <w:sz w:val="20"/>
                <w:szCs w:val="20"/>
                <w:color w:val="auto"/>
              </w:rPr>
              <w:t>Weighted average common shares outstanding,</w:t>
            </w: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100" w:type="dxa"/>
            <w:vAlign w:val="bottom"/>
            <w:gridSpan w:val="2"/>
          </w:tcPr>
          <w:p>
            <w:pPr>
              <w:spacing w:after="0" w:line="234" w:lineRule="exact"/>
              <w:rPr>
                <w:sz w:val="20"/>
                <w:szCs w:val="20"/>
                <w:color w:val="auto"/>
              </w:rPr>
            </w:pPr>
            <w:r>
              <w:rPr>
                <w:rFonts w:ascii="Calibri" w:cs="Calibri" w:eastAsia="Calibri" w:hAnsi="Calibri"/>
                <w:sz w:val="20"/>
                <w:szCs w:val="20"/>
                <w:color w:val="auto"/>
              </w:rPr>
              <w:t>basic and diluted</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line="234" w:lineRule="exact"/>
              <w:rPr>
                <w:sz w:val="20"/>
                <w:szCs w:val="20"/>
                <w:color w:val="auto"/>
              </w:rPr>
            </w:pPr>
            <w:r>
              <w:rPr>
                <w:rFonts w:ascii="Calibri" w:cs="Calibri" w:eastAsia="Calibri" w:hAnsi="Calibri"/>
                <w:sz w:val="20"/>
                <w:szCs w:val="20"/>
                <w:color w:val="auto"/>
              </w:rPr>
              <w:t>95,305,768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line="234" w:lineRule="exact"/>
              <w:rPr>
                <w:sz w:val="20"/>
                <w:szCs w:val="20"/>
                <w:color w:val="auto"/>
              </w:rPr>
            </w:pPr>
            <w:r>
              <w:rPr>
                <w:rFonts w:ascii="Calibri" w:cs="Calibri" w:eastAsia="Calibri" w:hAnsi="Calibri"/>
                <w:sz w:val="20"/>
                <w:szCs w:val="20"/>
                <w:color w:val="auto"/>
              </w:rPr>
              <w:t>70,866,315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line="234" w:lineRule="exact"/>
              <w:rPr>
                <w:sz w:val="20"/>
                <w:szCs w:val="20"/>
                <w:color w:val="auto"/>
              </w:rPr>
            </w:pPr>
            <w:r>
              <w:rPr>
                <w:rFonts w:ascii="Calibri" w:cs="Calibri" w:eastAsia="Calibri" w:hAnsi="Calibri"/>
                <w:sz w:val="20"/>
                <w:szCs w:val="20"/>
                <w:color w:val="auto"/>
              </w:rPr>
              <w:t>77,296,665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line="234" w:lineRule="exact"/>
              <w:rPr>
                <w:sz w:val="20"/>
                <w:szCs w:val="20"/>
                <w:color w:val="auto"/>
              </w:rPr>
            </w:pPr>
            <w:r>
              <w:rPr>
                <w:rFonts w:ascii="Calibri" w:cs="Calibri" w:eastAsia="Calibri" w:hAnsi="Calibri"/>
                <w:sz w:val="20"/>
                <w:szCs w:val="20"/>
                <w:color w:val="auto"/>
              </w:rPr>
              <w:t>69,808,855</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60" w:hanging="329"/>
        <w:spacing w:after="0"/>
        <w:tabs>
          <w:tab w:leader="none" w:pos="660" w:val="left"/>
        </w:tabs>
        <w:numPr>
          <w:ilvl w:val="0"/>
          <w:numId w:val="10"/>
        </w:numPr>
        <w:rPr>
          <w:rFonts w:ascii="Calibri" w:cs="Calibri" w:eastAsia="Calibri" w:hAnsi="Calibri"/>
          <w:sz w:val="20"/>
          <w:szCs w:val="20"/>
          <w:color w:val="auto"/>
        </w:rPr>
      </w:pPr>
      <w:r>
        <w:rPr>
          <w:rFonts w:ascii="Calibri" w:cs="Calibri" w:eastAsia="Calibri" w:hAnsi="Calibri"/>
          <w:sz w:val="20"/>
          <w:szCs w:val="20"/>
          <w:i w:val="1"/>
          <w:iCs w:val="1"/>
          <w:color w:val="auto"/>
        </w:rPr>
        <w:t>Amounts include stock-based compensaton expense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820" w:type="dxa"/>
            <w:vAlign w:val="bottom"/>
            <w:shd w:val="clear" w:color="auto" w:fill="CCEEFF"/>
          </w:tcPr>
          <w:p>
            <w:pPr>
              <w:spacing w:after="0"/>
              <w:rPr>
                <w:sz w:val="20"/>
                <w:szCs w:val="20"/>
                <w:color w:val="auto"/>
              </w:rPr>
            </w:pPr>
            <w:r>
              <w:rPr>
                <w:rFonts w:ascii="Calibri" w:cs="Calibri" w:eastAsia="Calibri" w:hAnsi="Calibri"/>
                <w:sz w:val="20"/>
                <w:szCs w:val="20"/>
                <w:color w:val="auto"/>
              </w:rPr>
              <w:t>Cost of revenue</w:t>
            </w:r>
          </w:p>
        </w:tc>
        <w:tc>
          <w:tcPr>
            <w:tcW w:w="940" w:type="dxa"/>
            <w:vAlign w:val="bottom"/>
            <w:gridSpan w:val="2"/>
            <w:shd w:val="clear" w:color="auto" w:fill="CCEEFF"/>
          </w:tcPr>
          <w:p>
            <w:pPr>
              <w:jc w:val="right"/>
              <w:ind w:right="261"/>
              <w:spacing w:after="0"/>
              <w:rPr>
                <w:sz w:val="20"/>
                <w:szCs w:val="20"/>
                <w:color w:val="auto"/>
              </w:rPr>
            </w:pPr>
            <w:r>
              <w:rPr>
                <w:rFonts w:ascii="Calibri" w:cs="Calibri" w:eastAsia="Calibri" w:hAnsi="Calibri"/>
                <w:sz w:val="20"/>
                <w:szCs w:val="20"/>
                <w:color w:val="auto"/>
              </w:rPr>
              <w:t>$</w:t>
            </w:r>
          </w:p>
        </w:tc>
        <w:tc>
          <w:tcPr>
            <w:tcW w:w="86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231</w:t>
            </w:r>
          </w:p>
        </w:tc>
        <w:tc>
          <w:tcPr>
            <w:tcW w:w="620" w:type="dxa"/>
            <w:vAlign w:val="bottom"/>
            <w:gridSpan w:val="2"/>
            <w:shd w:val="clear" w:color="auto" w:fill="CCEEFF"/>
          </w:tcPr>
          <w:p>
            <w:pPr>
              <w:jc w:val="right"/>
              <w:ind w:right="221"/>
              <w:spacing w:after="0"/>
              <w:rPr>
                <w:sz w:val="20"/>
                <w:szCs w:val="20"/>
                <w:color w:val="auto"/>
              </w:rPr>
            </w:pPr>
            <w:r>
              <w:rPr>
                <w:rFonts w:ascii="Calibri" w:cs="Calibri" w:eastAsia="Calibri" w:hAnsi="Calibri"/>
                <w:sz w:val="20"/>
                <w:szCs w:val="20"/>
                <w:color w:val="auto"/>
              </w:rPr>
              <w:t>$</w:t>
            </w:r>
          </w:p>
        </w:tc>
        <w:tc>
          <w:tcPr>
            <w:tcW w:w="9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337</w:t>
            </w:r>
          </w:p>
        </w:tc>
        <w:tc>
          <w:tcPr>
            <w:tcW w:w="540" w:type="dxa"/>
            <w:vAlign w:val="bottom"/>
            <w:gridSpan w:val="2"/>
            <w:shd w:val="clear" w:color="auto" w:fill="CCEEFF"/>
          </w:tcPr>
          <w:p>
            <w:pPr>
              <w:jc w:val="right"/>
              <w:ind w:right="141"/>
              <w:spacing w:after="0"/>
              <w:rPr>
                <w:sz w:val="20"/>
                <w:szCs w:val="20"/>
                <w:color w:val="auto"/>
              </w:rPr>
            </w:pPr>
            <w:r>
              <w:rPr>
                <w:rFonts w:ascii="Calibri" w:cs="Calibri" w:eastAsia="Calibri" w:hAnsi="Calibri"/>
                <w:sz w:val="20"/>
                <w:szCs w:val="20"/>
                <w:color w:val="auto"/>
              </w:rPr>
              <w:t>$</w:t>
            </w:r>
          </w:p>
        </w:tc>
        <w:tc>
          <w:tcPr>
            <w:tcW w:w="84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938</w:t>
            </w:r>
          </w:p>
        </w:tc>
        <w:tc>
          <w:tcPr>
            <w:tcW w:w="2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58"/>
              <w:spacing w:after="0"/>
              <w:rPr>
                <w:sz w:val="20"/>
                <w:szCs w:val="20"/>
                <w:color w:val="auto"/>
              </w:rPr>
            </w:pPr>
            <w:r>
              <w:rPr>
                <w:rFonts w:ascii="Calibri" w:cs="Calibri" w:eastAsia="Calibri" w:hAnsi="Calibri"/>
                <w:sz w:val="20"/>
                <w:szCs w:val="20"/>
                <w:color w:val="auto"/>
                <w:w w:val="78"/>
              </w:rPr>
              <w:t>$</w:t>
            </w:r>
          </w:p>
        </w:tc>
        <w:tc>
          <w:tcPr>
            <w:tcW w:w="86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1,456</w:t>
            </w:r>
          </w:p>
        </w:tc>
      </w:tr>
      <w:tr>
        <w:trPr>
          <w:trHeight w:val="234"/>
        </w:trPr>
        <w:tc>
          <w:tcPr>
            <w:tcW w:w="3820" w:type="dxa"/>
            <w:vAlign w:val="bottom"/>
          </w:tcPr>
          <w:p>
            <w:pPr>
              <w:spacing w:after="0" w:line="234" w:lineRule="exact"/>
              <w:rPr>
                <w:sz w:val="20"/>
                <w:szCs w:val="20"/>
                <w:color w:val="auto"/>
              </w:rPr>
            </w:pPr>
            <w:r>
              <w:rPr>
                <w:rFonts w:ascii="Calibri" w:cs="Calibri" w:eastAsia="Calibri" w:hAnsi="Calibri"/>
                <w:sz w:val="20"/>
                <w:szCs w:val="20"/>
                <w:color w:val="auto"/>
              </w:rPr>
              <w:t>Research and development</w:t>
            </w: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line="234" w:lineRule="exact"/>
              <w:rPr>
                <w:sz w:val="20"/>
                <w:szCs w:val="20"/>
                <w:color w:val="auto"/>
              </w:rPr>
            </w:pPr>
            <w:r>
              <w:rPr>
                <w:rFonts w:ascii="Calibri" w:cs="Calibri" w:eastAsia="Calibri" w:hAnsi="Calibri"/>
                <w:sz w:val="20"/>
                <w:szCs w:val="20"/>
                <w:color w:val="auto"/>
              </w:rPr>
              <w:t>943</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line="234" w:lineRule="exact"/>
              <w:rPr>
                <w:sz w:val="20"/>
                <w:szCs w:val="20"/>
                <w:color w:val="auto"/>
              </w:rPr>
            </w:pPr>
            <w:r>
              <w:rPr>
                <w:rFonts w:ascii="Calibri" w:cs="Calibri" w:eastAsia="Calibri" w:hAnsi="Calibri"/>
                <w:sz w:val="20"/>
                <w:szCs w:val="20"/>
                <w:color w:val="auto"/>
              </w:rPr>
              <w:t>(2,367)</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line="234" w:lineRule="exact"/>
              <w:rPr>
                <w:sz w:val="20"/>
                <w:szCs w:val="20"/>
                <w:color w:val="auto"/>
              </w:rPr>
            </w:pPr>
            <w:r>
              <w:rPr>
                <w:rFonts w:ascii="Calibri" w:cs="Calibri" w:eastAsia="Calibri" w:hAnsi="Calibri"/>
                <w:sz w:val="20"/>
                <w:szCs w:val="20"/>
                <w:color w:val="auto"/>
              </w:rPr>
              <w:t>3,135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line="234" w:lineRule="exact"/>
              <w:rPr>
                <w:sz w:val="20"/>
                <w:szCs w:val="20"/>
                <w:color w:val="auto"/>
              </w:rPr>
            </w:pPr>
            <w:r>
              <w:rPr>
                <w:rFonts w:ascii="Calibri" w:cs="Calibri" w:eastAsia="Calibri" w:hAnsi="Calibri"/>
                <w:sz w:val="20"/>
                <w:szCs w:val="20"/>
                <w:color w:val="auto"/>
              </w:rPr>
              <w:t>6,801</w:t>
            </w:r>
          </w:p>
        </w:tc>
      </w:tr>
      <w:tr>
        <w:trPr>
          <w:trHeight w:val="252"/>
        </w:trPr>
        <w:tc>
          <w:tcPr>
            <w:tcW w:w="3820" w:type="dxa"/>
            <w:vAlign w:val="bottom"/>
            <w:shd w:val="clear" w:color="auto" w:fill="CCEEFF"/>
          </w:tcPr>
          <w:p>
            <w:pPr>
              <w:spacing w:after="0" w:line="243" w:lineRule="exact"/>
              <w:rPr>
                <w:sz w:val="20"/>
                <w:szCs w:val="20"/>
                <w:color w:val="auto"/>
              </w:rPr>
            </w:pPr>
            <w:r>
              <w:rPr>
                <w:rFonts w:ascii="Calibri" w:cs="Calibri" w:eastAsia="Calibri" w:hAnsi="Calibri"/>
                <w:sz w:val="20"/>
                <w:szCs w:val="20"/>
                <w:color w:val="auto"/>
              </w:rPr>
              <w:t>General and administratve</w:t>
            </w:r>
          </w:p>
        </w:tc>
        <w:tc>
          <w:tcPr>
            <w:tcW w:w="48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1,686</w:t>
            </w:r>
          </w:p>
        </w:tc>
        <w:tc>
          <w:tcPr>
            <w:tcW w:w="2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3,296</w:t>
            </w:r>
          </w:p>
        </w:tc>
        <w:tc>
          <w:tcPr>
            <w:tcW w:w="2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6,783</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12,285</w:t>
            </w:r>
          </w:p>
        </w:tc>
      </w:tr>
      <w:tr>
        <w:trPr>
          <w:trHeight w:val="232"/>
        </w:trPr>
        <w:tc>
          <w:tcPr>
            <w:tcW w:w="3820" w:type="dxa"/>
            <w:vAlign w:val="bottom"/>
          </w:tcPr>
          <w:p>
            <w:pPr>
              <w:spacing w:after="0" w:line="217" w:lineRule="exact"/>
              <w:rPr>
                <w:sz w:val="20"/>
                <w:szCs w:val="20"/>
                <w:color w:val="auto"/>
              </w:rPr>
            </w:pPr>
            <w:r>
              <w:rPr>
                <w:rFonts w:ascii="Calibri" w:cs="Calibri" w:eastAsia="Calibri" w:hAnsi="Calibri"/>
                <w:sz w:val="20"/>
                <w:szCs w:val="20"/>
                <w:color w:val="auto"/>
              </w:rPr>
              <w:t>Total stock-based compensaton expense</w:t>
            </w:r>
          </w:p>
        </w:tc>
        <w:tc>
          <w:tcPr>
            <w:tcW w:w="480" w:type="dxa"/>
            <w:vAlign w:val="bottom"/>
          </w:tcPr>
          <w:p>
            <w:pPr>
              <w:spacing w:after="0"/>
              <w:rPr>
                <w:sz w:val="20"/>
                <w:szCs w:val="20"/>
                <w:color w:val="auto"/>
              </w:rPr>
            </w:pPr>
          </w:p>
        </w:tc>
        <w:tc>
          <w:tcPr>
            <w:tcW w:w="460" w:type="dxa"/>
            <w:vAlign w:val="bottom"/>
            <w:tcBorders>
              <w:bottom w:val="single" w:sz="8" w:color="auto"/>
            </w:tcBorders>
          </w:tcPr>
          <w:p>
            <w:pPr>
              <w:jc w:val="right"/>
              <w:ind w:right="261"/>
              <w:spacing w:after="0" w:line="232" w:lineRule="exact"/>
              <w:rPr>
                <w:sz w:val="20"/>
                <w:szCs w:val="20"/>
                <w:color w:val="auto"/>
              </w:rPr>
            </w:pPr>
            <w:r>
              <w:rPr>
                <w:rFonts w:ascii="Calibri" w:cs="Calibri" w:eastAsia="Calibri" w:hAnsi="Calibri"/>
                <w:sz w:val="20"/>
                <w:szCs w:val="20"/>
                <w:color w:val="auto"/>
                <w:w w:val="78"/>
              </w:rPr>
              <w:t>$</w:t>
            </w:r>
          </w:p>
        </w:tc>
        <w:tc>
          <w:tcPr>
            <w:tcW w:w="860" w:type="dxa"/>
            <w:vAlign w:val="bottom"/>
            <w:tcBorders>
              <w:bottom w:val="single" w:sz="8" w:color="auto"/>
            </w:tcBorders>
          </w:tcPr>
          <w:p>
            <w:pPr>
              <w:jc w:val="right"/>
              <w:spacing w:after="0" w:line="232" w:lineRule="exact"/>
              <w:rPr>
                <w:sz w:val="20"/>
                <w:szCs w:val="20"/>
                <w:color w:val="auto"/>
              </w:rPr>
            </w:pPr>
            <w:r>
              <w:rPr>
                <w:rFonts w:ascii="Calibri" w:cs="Calibri" w:eastAsia="Calibri" w:hAnsi="Calibri"/>
                <w:sz w:val="20"/>
                <w:szCs w:val="20"/>
                <w:color w:val="auto"/>
              </w:rPr>
              <w:t>2,860</w:t>
            </w:r>
          </w:p>
        </w:tc>
        <w:tc>
          <w:tcPr>
            <w:tcW w:w="200" w:type="dxa"/>
            <w:vAlign w:val="bottom"/>
          </w:tcPr>
          <w:p>
            <w:pPr>
              <w:spacing w:after="0"/>
              <w:rPr>
                <w:sz w:val="20"/>
                <w:szCs w:val="20"/>
                <w:color w:val="auto"/>
              </w:rPr>
            </w:pPr>
          </w:p>
        </w:tc>
        <w:tc>
          <w:tcPr>
            <w:tcW w:w="420" w:type="dxa"/>
            <w:vAlign w:val="bottom"/>
            <w:tcBorders>
              <w:bottom w:val="single" w:sz="8" w:color="auto"/>
            </w:tcBorders>
          </w:tcPr>
          <w:p>
            <w:pPr>
              <w:jc w:val="right"/>
              <w:ind w:right="221"/>
              <w:spacing w:after="0" w:line="232" w:lineRule="exact"/>
              <w:rPr>
                <w:sz w:val="20"/>
                <w:szCs w:val="20"/>
                <w:color w:val="auto"/>
              </w:rPr>
            </w:pPr>
            <w:r>
              <w:rPr>
                <w:rFonts w:ascii="Calibri" w:cs="Calibri" w:eastAsia="Calibri" w:hAnsi="Calibri"/>
                <w:sz w:val="20"/>
                <w:szCs w:val="20"/>
                <w:color w:val="auto"/>
                <w:w w:val="78"/>
              </w:rPr>
              <w:t>$</w:t>
            </w:r>
          </w:p>
        </w:tc>
        <w:tc>
          <w:tcPr>
            <w:tcW w:w="900" w:type="dxa"/>
            <w:vAlign w:val="bottom"/>
            <w:tcBorders>
              <w:bottom w:val="single" w:sz="8" w:color="auto"/>
            </w:tcBorders>
          </w:tcPr>
          <w:p>
            <w:pPr>
              <w:jc w:val="right"/>
              <w:spacing w:after="0" w:line="232" w:lineRule="exact"/>
              <w:rPr>
                <w:sz w:val="20"/>
                <w:szCs w:val="20"/>
                <w:color w:val="auto"/>
              </w:rPr>
            </w:pPr>
            <w:r>
              <w:rPr>
                <w:rFonts w:ascii="Calibri" w:cs="Calibri" w:eastAsia="Calibri" w:hAnsi="Calibri"/>
                <w:sz w:val="20"/>
                <w:szCs w:val="20"/>
                <w:color w:val="auto"/>
              </w:rPr>
              <w:t>1,266</w:t>
            </w:r>
          </w:p>
        </w:tc>
        <w:tc>
          <w:tcPr>
            <w:tcW w:w="200" w:type="dxa"/>
            <w:vAlign w:val="bottom"/>
          </w:tcPr>
          <w:p>
            <w:pPr>
              <w:spacing w:after="0"/>
              <w:rPr>
                <w:sz w:val="20"/>
                <w:szCs w:val="20"/>
                <w:color w:val="auto"/>
              </w:rPr>
            </w:pPr>
          </w:p>
        </w:tc>
        <w:tc>
          <w:tcPr>
            <w:tcW w:w="340" w:type="dxa"/>
            <w:vAlign w:val="bottom"/>
            <w:tcBorders>
              <w:bottom w:val="single" w:sz="8" w:color="auto"/>
            </w:tcBorders>
          </w:tcPr>
          <w:p>
            <w:pPr>
              <w:jc w:val="right"/>
              <w:ind w:right="141"/>
              <w:spacing w:after="0" w:line="232" w:lineRule="exact"/>
              <w:rPr>
                <w:sz w:val="20"/>
                <w:szCs w:val="20"/>
                <w:color w:val="auto"/>
              </w:rPr>
            </w:pPr>
            <w:r>
              <w:rPr>
                <w:rFonts w:ascii="Calibri" w:cs="Calibri" w:eastAsia="Calibri" w:hAnsi="Calibri"/>
                <w:sz w:val="20"/>
                <w:szCs w:val="20"/>
                <w:color w:val="auto"/>
                <w:w w:val="78"/>
              </w:rPr>
              <w:t>$</w:t>
            </w:r>
          </w:p>
        </w:tc>
        <w:tc>
          <w:tcPr>
            <w:tcW w:w="840" w:type="dxa"/>
            <w:vAlign w:val="bottom"/>
            <w:tcBorders>
              <w:bottom w:val="single" w:sz="8" w:color="auto"/>
            </w:tcBorders>
          </w:tcPr>
          <w:p>
            <w:pPr>
              <w:jc w:val="right"/>
              <w:spacing w:after="0" w:line="232" w:lineRule="exact"/>
              <w:rPr>
                <w:sz w:val="20"/>
                <w:szCs w:val="20"/>
                <w:color w:val="auto"/>
              </w:rPr>
            </w:pPr>
            <w:r>
              <w:rPr>
                <w:rFonts w:ascii="Calibri" w:cs="Calibri" w:eastAsia="Calibri" w:hAnsi="Calibri"/>
                <w:sz w:val="20"/>
                <w:szCs w:val="20"/>
                <w:color w:val="auto"/>
              </w:rPr>
              <w:t>10,856</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58"/>
              <w:spacing w:after="0"/>
              <w:rPr>
                <w:sz w:val="20"/>
                <w:szCs w:val="20"/>
                <w:color w:val="auto"/>
              </w:rPr>
            </w:pPr>
            <w:r>
              <w:rPr>
                <w:rFonts w:ascii="Calibri" w:cs="Calibri" w:eastAsia="Calibri" w:hAnsi="Calibri"/>
                <w:sz w:val="16"/>
                <w:szCs w:val="16"/>
                <w:color w:val="auto"/>
                <w:w w:val="73"/>
              </w:rPr>
              <w:t>$</w:t>
            </w:r>
          </w:p>
        </w:tc>
        <w:tc>
          <w:tcPr>
            <w:tcW w:w="860" w:type="dxa"/>
            <w:vAlign w:val="bottom"/>
            <w:tcBorders>
              <w:bottom w:val="single" w:sz="8" w:color="auto"/>
            </w:tcBorders>
          </w:tcPr>
          <w:p>
            <w:pPr>
              <w:jc w:val="right"/>
              <w:spacing w:after="0" w:line="232" w:lineRule="exact"/>
              <w:rPr>
                <w:sz w:val="20"/>
                <w:szCs w:val="20"/>
                <w:color w:val="auto"/>
              </w:rPr>
            </w:pPr>
            <w:r>
              <w:rPr>
                <w:rFonts w:ascii="Calibri" w:cs="Calibri" w:eastAsia="Calibri" w:hAnsi="Calibri"/>
                <w:sz w:val="20"/>
                <w:szCs w:val="20"/>
                <w:color w:val="auto"/>
              </w:rPr>
              <w:t>20,542</w:t>
            </w:r>
          </w:p>
        </w:tc>
      </w:tr>
      <w:tr>
        <w:trPr>
          <w:trHeight w:val="20"/>
        </w:trPr>
        <w:tc>
          <w:tcPr>
            <w:tcW w:w="3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1" w:right="999" w:bottom="1440" w:gutter="0" w:footer="0" w:header="0"/>
        </w:sectPr>
      </w:pPr>
    </w:p>
    <w:bookmarkStart w:id="8" w:name="page9"/>
    <w:bookmarkEnd w:id="8"/>
    <w:p>
      <w:pPr>
        <w:jc w:val="center"/>
        <w:spacing w:after="0"/>
        <w:rPr>
          <w:sz w:val="20"/>
          <w:szCs w:val="20"/>
          <w:color w:val="auto"/>
        </w:rPr>
      </w:pPr>
      <w:r>
        <w:rPr>
          <w:rFonts w:ascii="Calibri" w:cs="Calibri" w:eastAsia="Calibri" w:hAnsi="Calibri"/>
          <w:sz w:val="20"/>
          <w:szCs w:val="20"/>
          <w:b w:val="1"/>
          <w:bCs w:val="1"/>
          <w:color w:val="auto"/>
        </w:rPr>
        <w:t>Aclaris Therapeutcs, Inc.</w:t>
      </w:r>
    </w:p>
    <w:p>
      <w:pPr>
        <w:jc w:val="center"/>
        <w:spacing w:after="0" w:line="238" w:lineRule="auto"/>
        <w:rPr>
          <w:sz w:val="20"/>
          <w:szCs w:val="20"/>
          <w:color w:val="auto"/>
        </w:rPr>
      </w:pPr>
      <w:r>
        <w:rPr>
          <w:rFonts w:ascii="Calibri" w:cs="Calibri" w:eastAsia="Calibri" w:hAnsi="Calibri"/>
          <w:sz w:val="20"/>
          <w:szCs w:val="20"/>
          <w:color w:val="auto"/>
        </w:rPr>
        <w:t>Selected Consolidated Balance Sheet Data</w:t>
      </w:r>
    </w:p>
    <w:p>
      <w:pPr>
        <w:jc w:val="center"/>
        <w:spacing w:after="0"/>
        <w:rPr>
          <w:sz w:val="20"/>
          <w:szCs w:val="20"/>
          <w:color w:val="auto"/>
        </w:rPr>
      </w:pPr>
      <w:r>
        <w:rPr>
          <w:rFonts w:ascii="Calibri" w:cs="Calibri" w:eastAsia="Calibri" w:hAnsi="Calibri"/>
          <w:sz w:val="20"/>
          <w:szCs w:val="20"/>
          <w:color w:val="auto"/>
        </w:rPr>
        <w:t>(unaudited, in thousands, except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jc w:val="right"/>
              <w:ind w:right="41"/>
              <w:spacing w:after="0"/>
              <w:rPr>
                <w:sz w:val="20"/>
                <w:szCs w:val="20"/>
                <w:color w:val="auto"/>
              </w:rPr>
            </w:pPr>
            <w:r>
              <w:rPr>
                <w:rFonts w:ascii="Calibri" w:cs="Calibri" w:eastAsia="Calibri" w:hAnsi="Calibri"/>
                <w:sz w:val="20"/>
                <w:szCs w:val="20"/>
                <w:b w:val="1"/>
                <w:bCs w:val="1"/>
                <w:color w:val="auto"/>
                <w:w w:val="99"/>
              </w:rPr>
              <w:t>December 31, 2024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Calibri" w:cs="Calibri" w:eastAsia="Calibri" w:hAnsi="Calibri"/>
                <w:sz w:val="20"/>
                <w:szCs w:val="20"/>
                <w:b w:val="1"/>
                <w:bCs w:val="1"/>
                <w:color w:val="auto"/>
              </w:rPr>
              <w:t>December 31, 2023</w:t>
            </w:r>
          </w:p>
        </w:tc>
      </w:tr>
      <w:tr>
        <w:trPr>
          <w:trHeight w:val="33"/>
        </w:trPr>
        <w:tc>
          <w:tcPr>
            <w:tcW w:w="20" w:type="dxa"/>
            <w:vAlign w:val="bottom"/>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940" w:type="dxa"/>
            <w:vAlign w:val="bottom"/>
            <w:shd w:val="clear" w:color="auto" w:fill="CCEEFF"/>
          </w:tcPr>
          <w:p>
            <w:pPr>
              <w:spacing w:after="0" w:line="214" w:lineRule="exact"/>
              <w:rPr>
                <w:sz w:val="20"/>
                <w:szCs w:val="20"/>
                <w:color w:val="auto"/>
              </w:rPr>
            </w:pPr>
            <w:r>
              <w:rPr>
                <w:rFonts w:ascii="Calibri" w:cs="Calibri" w:eastAsia="Calibri" w:hAnsi="Calibri"/>
                <w:sz w:val="20"/>
                <w:szCs w:val="20"/>
                <w:color w:val="auto"/>
              </w:rPr>
              <w:t>Cash, cash equivalents and marketable securites</w:t>
            </w: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1760" w:type="dxa"/>
            <w:vAlign w:val="bottom"/>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203,896</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1760" w:type="dxa"/>
            <w:vAlign w:val="bottom"/>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181,877</w:t>
            </w:r>
          </w:p>
        </w:tc>
        <w:tc>
          <w:tcPr>
            <w:tcW w:w="60" w:type="dxa"/>
            <w:vAlign w:val="bottom"/>
            <w:shd w:val="clear" w:color="auto" w:fill="CCEEFF"/>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4940" w:type="dxa"/>
            <w:vAlign w:val="bottom"/>
          </w:tcPr>
          <w:p>
            <w:pPr>
              <w:spacing w:after="0" w:line="234" w:lineRule="exact"/>
              <w:rPr>
                <w:sz w:val="20"/>
                <w:szCs w:val="20"/>
                <w:color w:val="auto"/>
              </w:rPr>
            </w:pPr>
            <w:r>
              <w:rPr>
                <w:rFonts w:ascii="Calibri" w:cs="Calibri" w:eastAsia="Calibri" w:hAnsi="Calibri"/>
                <w:sz w:val="20"/>
                <w:szCs w:val="20"/>
                <w:color w:val="auto"/>
              </w:rPr>
              <w:t>Total assets</w:t>
            </w:r>
          </w:p>
        </w:tc>
        <w:tc>
          <w:tcPr>
            <w:tcW w:w="106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w:t>
            </w:r>
          </w:p>
        </w:tc>
        <w:tc>
          <w:tcPr>
            <w:tcW w:w="1760" w:type="dxa"/>
            <w:vAlign w:val="bottom"/>
          </w:tcPr>
          <w:p>
            <w:pPr>
              <w:jc w:val="right"/>
              <w:spacing w:after="0" w:line="234" w:lineRule="exact"/>
              <w:rPr>
                <w:sz w:val="20"/>
                <w:szCs w:val="20"/>
                <w:color w:val="auto"/>
              </w:rPr>
            </w:pPr>
            <w:r>
              <w:rPr>
                <w:rFonts w:ascii="Calibri" w:cs="Calibri" w:eastAsia="Calibri" w:hAnsi="Calibri"/>
                <w:sz w:val="20"/>
                <w:szCs w:val="20"/>
                <w:color w:val="auto"/>
              </w:rPr>
              <w:t>220,327</w:t>
            </w:r>
          </w:p>
        </w:tc>
        <w:tc>
          <w:tcPr>
            <w:tcW w:w="32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w:t>
            </w:r>
          </w:p>
        </w:tc>
        <w:tc>
          <w:tcPr>
            <w:tcW w:w="1760" w:type="dxa"/>
            <w:vAlign w:val="bottom"/>
          </w:tcPr>
          <w:p>
            <w:pPr>
              <w:jc w:val="right"/>
              <w:spacing w:after="0" w:line="234" w:lineRule="exact"/>
              <w:rPr>
                <w:sz w:val="20"/>
                <w:szCs w:val="20"/>
                <w:color w:val="auto"/>
              </w:rPr>
            </w:pPr>
            <w:r>
              <w:rPr>
                <w:rFonts w:ascii="Calibri" w:cs="Calibri" w:eastAsia="Calibri" w:hAnsi="Calibri"/>
                <w:sz w:val="20"/>
                <w:szCs w:val="20"/>
                <w:color w:val="auto"/>
              </w:rPr>
              <w:t>197,405</w:t>
            </w:r>
          </w:p>
        </w:tc>
        <w:tc>
          <w:tcPr>
            <w:tcW w:w="60" w:type="dxa"/>
            <w:vAlign w:val="bottom"/>
          </w:tcPr>
          <w:p>
            <w:pPr>
              <w:spacing w:after="0"/>
              <w:rPr>
                <w:sz w:val="20"/>
                <w:szCs w:val="20"/>
                <w:color w:val="auto"/>
              </w:rPr>
            </w:pPr>
          </w:p>
        </w:tc>
      </w:tr>
      <w:tr>
        <w:trPr>
          <w:trHeight w:val="252"/>
        </w:trPr>
        <w:tc>
          <w:tcPr>
            <w:tcW w:w="20" w:type="dxa"/>
            <w:vAlign w:val="bottom"/>
          </w:tcPr>
          <w:p>
            <w:pPr>
              <w:spacing w:after="0"/>
              <w:rPr>
                <w:sz w:val="21"/>
                <w:szCs w:val="21"/>
                <w:color w:val="auto"/>
              </w:rPr>
            </w:pPr>
          </w:p>
        </w:tc>
        <w:tc>
          <w:tcPr>
            <w:tcW w:w="4940" w:type="dxa"/>
            <w:vAlign w:val="bottom"/>
            <w:shd w:val="clear" w:color="auto" w:fill="CCEEFF"/>
          </w:tcPr>
          <w:p>
            <w:pPr>
              <w:spacing w:after="0" w:line="243" w:lineRule="exact"/>
              <w:rPr>
                <w:sz w:val="20"/>
                <w:szCs w:val="20"/>
                <w:color w:val="auto"/>
              </w:rPr>
            </w:pPr>
            <w:r>
              <w:rPr>
                <w:rFonts w:ascii="Calibri" w:cs="Calibri" w:eastAsia="Calibri" w:hAnsi="Calibri"/>
                <w:sz w:val="20"/>
                <w:szCs w:val="20"/>
                <w:color w:val="auto"/>
              </w:rPr>
              <w:t>Total current liabilites</w:t>
            </w:r>
          </w:p>
        </w:tc>
        <w:tc>
          <w:tcPr>
            <w:tcW w:w="1060" w:type="dxa"/>
            <w:vAlign w:val="bottom"/>
            <w:gridSpan w:val="2"/>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w:t>
            </w:r>
          </w:p>
        </w:tc>
        <w:tc>
          <w:tcPr>
            <w:tcW w:w="176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31,596</w:t>
            </w:r>
          </w:p>
        </w:tc>
        <w:tc>
          <w:tcPr>
            <w:tcW w:w="320" w:type="dxa"/>
            <w:vAlign w:val="bottom"/>
            <w:gridSpan w:val="2"/>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w:t>
            </w:r>
          </w:p>
        </w:tc>
        <w:tc>
          <w:tcPr>
            <w:tcW w:w="176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30,952</w:t>
            </w:r>
          </w:p>
        </w:tc>
        <w:tc>
          <w:tcPr>
            <w:tcW w:w="60" w:type="dxa"/>
            <w:vAlign w:val="bottom"/>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4940" w:type="dxa"/>
            <w:vAlign w:val="bottom"/>
          </w:tcPr>
          <w:p>
            <w:pPr>
              <w:spacing w:after="0" w:line="234" w:lineRule="exact"/>
              <w:rPr>
                <w:sz w:val="20"/>
                <w:szCs w:val="20"/>
                <w:color w:val="auto"/>
              </w:rPr>
            </w:pPr>
            <w:r>
              <w:rPr>
                <w:rFonts w:ascii="Calibri" w:cs="Calibri" w:eastAsia="Calibri" w:hAnsi="Calibri"/>
                <w:sz w:val="20"/>
                <w:szCs w:val="20"/>
                <w:color w:val="auto"/>
              </w:rPr>
              <w:t>Total liabilites</w:t>
            </w:r>
          </w:p>
        </w:tc>
        <w:tc>
          <w:tcPr>
            <w:tcW w:w="106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w:t>
            </w:r>
          </w:p>
        </w:tc>
        <w:tc>
          <w:tcPr>
            <w:tcW w:w="1760" w:type="dxa"/>
            <w:vAlign w:val="bottom"/>
          </w:tcPr>
          <w:p>
            <w:pPr>
              <w:jc w:val="right"/>
              <w:spacing w:after="0" w:line="234" w:lineRule="exact"/>
              <w:rPr>
                <w:sz w:val="20"/>
                <w:szCs w:val="20"/>
                <w:color w:val="auto"/>
              </w:rPr>
            </w:pPr>
            <w:r>
              <w:rPr>
                <w:rFonts w:ascii="Calibri" w:cs="Calibri" w:eastAsia="Calibri" w:hAnsi="Calibri"/>
                <w:sz w:val="20"/>
                <w:szCs w:val="20"/>
                <w:color w:val="auto"/>
              </w:rPr>
              <w:t>64,773</w:t>
            </w:r>
          </w:p>
        </w:tc>
        <w:tc>
          <w:tcPr>
            <w:tcW w:w="32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w:t>
            </w:r>
          </w:p>
        </w:tc>
        <w:tc>
          <w:tcPr>
            <w:tcW w:w="1760" w:type="dxa"/>
            <w:vAlign w:val="bottom"/>
          </w:tcPr>
          <w:p>
            <w:pPr>
              <w:jc w:val="right"/>
              <w:spacing w:after="0" w:line="234" w:lineRule="exact"/>
              <w:rPr>
                <w:sz w:val="20"/>
                <w:szCs w:val="20"/>
                <w:color w:val="auto"/>
              </w:rPr>
            </w:pPr>
            <w:r>
              <w:rPr>
                <w:rFonts w:ascii="Calibri" w:cs="Calibri" w:eastAsia="Calibri" w:hAnsi="Calibri"/>
                <w:sz w:val="20"/>
                <w:szCs w:val="20"/>
                <w:color w:val="auto"/>
              </w:rPr>
              <w:t>40,226</w:t>
            </w:r>
          </w:p>
        </w:tc>
        <w:tc>
          <w:tcPr>
            <w:tcW w:w="60" w:type="dxa"/>
            <w:vAlign w:val="bottom"/>
          </w:tcPr>
          <w:p>
            <w:pPr>
              <w:spacing w:after="0"/>
              <w:rPr>
                <w:sz w:val="20"/>
                <w:szCs w:val="20"/>
                <w:color w:val="auto"/>
              </w:rPr>
            </w:pPr>
          </w:p>
        </w:tc>
      </w:tr>
      <w:tr>
        <w:trPr>
          <w:trHeight w:val="252"/>
        </w:trPr>
        <w:tc>
          <w:tcPr>
            <w:tcW w:w="20" w:type="dxa"/>
            <w:vAlign w:val="bottom"/>
          </w:tcPr>
          <w:p>
            <w:pPr>
              <w:spacing w:after="0"/>
              <w:rPr>
                <w:sz w:val="21"/>
                <w:szCs w:val="21"/>
                <w:color w:val="auto"/>
              </w:rPr>
            </w:pPr>
          </w:p>
        </w:tc>
        <w:tc>
          <w:tcPr>
            <w:tcW w:w="4940" w:type="dxa"/>
            <w:vAlign w:val="bottom"/>
            <w:shd w:val="clear" w:color="auto" w:fill="CCEEFF"/>
          </w:tcPr>
          <w:p>
            <w:pPr>
              <w:spacing w:after="0" w:line="243" w:lineRule="exact"/>
              <w:rPr>
                <w:sz w:val="20"/>
                <w:szCs w:val="20"/>
                <w:color w:val="auto"/>
              </w:rPr>
            </w:pPr>
            <w:r>
              <w:rPr>
                <w:rFonts w:ascii="Calibri" w:cs="Calibri" w:eastAsia="Calibri" w:hAnsi="Calibri"/>
                <w:sz w:val="20"/>
                <w:szCs w:val="20"/>
                <w:color w:val="auto"/>
              </w:rPr>
              <w:t>Total stockholders’ equity</w:t>
            </w:r>
          </w:p>
        </w:tc>
        <w:tc>
          <w:tcPr>
            <w:tcW w:w="1060" w:type="dxa"/>
            <w:vAlign w:val="bottom"/>
            <w:gridSpan w:val="2"/>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w:t>
            </w:r>
          </w:p>
        </w:tc>
        <w:tc>
          <w:tcPr>
            <w:tcW w:w="176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155,554</w:t>
            </w:r>
          </w:p>
        </w:tc>
        <w:tc>
          <w:tcPr>
            <w:tcW w:w="320" w:type="dxa"/>
            <w:vAlign w:val="bottom"/>
            <w:gridSpan w:val="2"/>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w:t>
            </w:r>
          </w:p>
        </w:tc>
        <w:tc>
          <w:tcPr>
            <w:tcW w:w="176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157,179</w:t>
            </w:r>
          </w:p>
        </w:tc>
        <w:tc>
          <w:tcPr>
            <w:tcW w:w="60" w:type="dxa"/>
            <w:vAlign w:val="bottom"/>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4940" w:type="dxa"/>
            <w:vAlign w:val="bottom"/>
          </w:tcPr>
          <w:p>
            <w:pPr>
              <w:spacing w:after="0" w:line="234" w:lineRule="exact"/>
              <w:rPr>
                <w:sz w:val="20"/>
                <w:szCs w:val="20"/>
                <w:color w:val="auto"/>
              </w:rPr>
            </w:pPr>
            <w:r>
              <w:rPr>
                <w:rFonts w:ascii="Calibri" w:cs="Calibri" w:eastAsia="Calibri" w:hAnsi="Calibri"/>
                <w:sz w:val="20"/>
                <w:szCs w:val="20"/>
                <w:color w:val="auto"/>
              </w:rPr>
              <w:t>Common stock outstanding</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jc w:val="right"/>
              <w:spacing w:after="0" w:line="234" w:lineRule="exact"/>
              <w:rPr>
                <w:sz w:val="20"/>
                <w:szCs w:val="20"/>
                <w:color w:val="auto"/>
              </w:rPr>
            </w:pPr>
            <w:r>
              <w:rPr>
                <w:rFonts w:ascii="Calibri" w:cs="Calibri" w:eastAsia="Calibri" w:hAnsi="Calibri"/>
                <w:sz w:val="20"/>
                <w:szCs w:val="20"/>
                <w:color w:val="auto"/>
              </w:rPr>
              <w:t>107,850,124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jc w:val="right"/>
              <w:spacing w:after="0" w:line="234" w:lineRule="exact"/>
              <w:rPr>
                <w:sz w:val="20"/>
                <w:szCs w:val="20"/>
                <w:color w:val="auto"/>
              </w:rPr>
            </w:pPr>
            <w:r>
              <w:rPr>
                <w:rFonts w:ascii="Calibri" w:cs="Calibri" w:eastAsia="Calibri" w:hAnsi="Calibri"/>
                <w:sz w:val="20"/>
                <w:szCs w:val="20"/>
                <w:color w:val="auto"/>
              </w:rPr>
              <w:t>70,894,889</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1" w:right="999" w:bottom="1440" w:gutter="0" w:footer="0" w:header="0"/>
        </w:sectPr>
      </w:pPr>
    </w:p>
    <w:bookmarkStart w:id="9" w:name="page10"/>
    <w:bookmarkEnd w:id="9"/>
    <w:p>
      <w:pPr>
        <w:jc w:val="center"/>
        <w:spacing w:after="0"/>
        <w:rPr>
          <w:sz w:val="20"/>
          <w:szCs w:val="20"/>
          <w:color w:val="auto"/>
        </w:rPr>
      </w:pPr>
      <w:r>
        <w:rPr>
          <w:rFonts w:ascii="Calibri" w:cs="Calibri" w:eastAsia="Calibri" w:hAnsi="Calibri"/>
          <w:sz w:val="20"/>
          <w:szCs w:val="20"/>
          <w:b w:val="1"/>
          <w:bCs w:val="1"/>
          <w:color w:val="auto"/>
        </w:rPr>
        <w:t>Aclaris Therapeutcs, Inc.</w:t>
      </w:r>
    </w:p>
    <w:p>
      <w:pPr>
        <w:jc w:val="center"/>
        <w:spacing w:after="0" w:line="238" w:lineRule="auto"/>
        <w:rPr>
          <w:sz w:val="20"/>
          <w:szCs w:val="20"/>
          <w:color w:val="auto"/>
        </w:rPr>
      </w:pPr>
      <w:r>
        <w:rPr>
          <w:rFonts w:ascii="Calibri" w:cs="Calibri" w:eastAsia="Calibri" w:hAnsi="Calibri"/>
          <w:sz w:val="20"/>
          <w:szCs w:val="20"/>
          <w:color w:val="auto"/>
        </w:rPr>
        <w:t>Selected Consolidated Cash Flow Data</w:t>
      </w:r>
    </w:p>
    <w:p>
      <w:pPr>
        <w:jc w:val="center"/>
        <w:spacing w:after="0"/>
        <w:rPr>
          <w:sz w:val="20"/>
          <w:szCs w:val="20"/>
          <w:color w:val="auto"/>
        </w:rPr>
      </w:pPr>
      <w:r>
        <w:rPr>
          <w:rFonts w:ascii="Calibri" w:cs="Calibri" w:eastAsia="Calibri" w:hAnsi="Calibri"/>
          <w:sz w:val="20"/>
          <w:szCs w:val="20"/>
          <w:color w:val="auto"/>
        </w:rPr>
        <w:t>(unaudited,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jc w:val="right"/>
              <w:ind w:right="401"/>
              <w:spacing w:after="0"/>
              <w:rPr>
                <w:sz w:val="20"/>
                <w:szCs w:val="20"/>
                <w:color w:val="auto"/>
              </w:rPr>
            </w:pPr>
            <w:r>
              <w:rPr>
                <w:rFonts w:ascii="Calibri" w:cs="Calibri" w:eastAsia="Calibri" w:hAnsi="Calibri"/>
                <w:sz w:val="20"/>
                <w:szCs w:val="20"/>
                <w:b w:val="1"/>
                <w:bCs w:val="1"/>
                <w:color w:val="auto"/>
              </w:rPr>
              <w:t>Year Ended</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gridSpan w:val="2"/>
          </w:tcPr>
          <w:p>
            <w:pPr>
              <w:jc w:val="center"/>
              <w:ind w:right="180"/>
              <w:spacing w:after="0"/>
              <w:rPr>
                <w:sz w:val="20"/>
                <w:szCs w:val="20"/>
                <w:color w:val="auto"/>
              </w:rPr>
            </w:pPr>
            <w:r>
              <w:rPr>
                <w:rFonts w:ascii="Calibri" w:cs="Calibri" w:eastAsia="Calibri" w:hAnsi="Calibri"/>
                <w:sz w:val="20"/>
                <w:szCs w:val="20"/>
                <w:b w:val="1"/>
                <w:bCs w:val="1"/>
                <w:color w:val="auto"/>
                <w:w w:val="97"/>
              </w:rPr>
              <w:t>Year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jc w:val="right"/>
              <w:ind w:right="61"/>
              <w:spacing w:after="0" w:line="243" w:lineRule="exact"/>
              <w:rPr>
                <w:sz w:val="20"/>
                <w:szCs w:val="20"/>
                <w:color w:val="auto"/>
              </w:rPr>
            </w:pPr>
            <w:r>
              <w:rPr>
                <w:rFonts w:ascii="Calibri" w:cs="Calibri" w:eastAsia="Calibri" w:hAnsi="Calibri"/>
                <w:sz w:val="20"/>
                <w:szCs w:val="20"/>
                <w:b w:val="1"/>
                <w:bCs w:val="1"/>
                <w:color w:val="auto"/>
              </w:rPr>
              <w:t>December 31, 2024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gridSpan w:val="2"/>
          </w:tcPr>
          <w:p>
            <w:pPr>
              <w:jc w:val="center"/>
              <w:ind w:right="160"/>
              <w:spacing w:after="0" w:line="243" w:lineRule="exact"/>
              <w:rPr>
                <w:sz w:val="20"/>
                <w:szCs w:val="20"/>
                <w:color w:val="auto"/>
              </w:rPr>
            </w:pPr>
            <w:r>
              <w:rPr>
                <w:rFonts w:ascii="Calibri" w:cs="Calibri" w:eastAsia="Calibri" w:hAnsi="Calibri"/>
                <w:sz w:val="20"/>
                <w:szCs w:val="20"/>
                <w:b w:val="1"/>
                <w:bCs w:val="1"/>
                <w:color w:val="auto"/>
              </w:rPr>
              <w:t>December 31, 2023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shd w:val="clear" w:color="auto" w:fill="CCEEFF"/>
          </w:tcPr>
          <w:p>
            <w:pPr>
              <w:spacing w:after="0" w:line="214" w:lineRule="exact"/>
              <w:rPr>
                <w:sz w:val="20"/>
                <w:szCs w:val="20"/>
                <w:color w:val="auto"/>
              </w:rPr>
            </w:pPr>
            <w:r>
              <w:rPr>
                <w:rFonts w:ascii="Calibri" w:cs="Calibri" w:eastAsia="Calibri" w:hAnsi="Calibri"/>
                <w:sz w:val="20"/>
                <w:szCs w:val="20"/>
                <w:color w:val="auto"/>
              </w:rPr>
              <w:t>Net loss</w:t>
            </w: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1800" w:type="dxa"/>
            <w:vAlign w:val="bottom"/>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(132,065)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1800" w:type="dxa"/>
            <w:vAlign w:val="bottom"/>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(88,481)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line="234" w:lineRule="exact"/>
              <w:rPr>
                <w:sz w:val="20"/>
                <w:szCs w:val="20"/>
                <w:color w:val="auto"/>
              </w:rPr>
            </w:pPr>
            <w:r>
              <w:rPr>
                <w:rFonts w:ascii="Calibri" w:cs="Calibri" w:eastAsia="Calibri" w:hAnsi="Calibri"/>
                <w:sz w:val="20"/>
                <w:szCs w:val="20"/>
                <w:color w:val="auto"/>
              </w:rPr>
              <w:t>Depreciaton and amortzaton</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spacing w:after="0" w:line="234" w:lineRule="exact"/>
              <w:rPr>
                <w:sz w:val="20"/>
                <w:szCs w:val="20"/>
                <w:color w:val="auto"/>
              </w:rPr>
            </w:pPr>
            <w:r>
              <w:rPr>
                <w:rFonts w:ascii="Calibri" w:cs="Calibri" w:eastAsia="Calibri" w:hAnsi="Calibri"/>
                <w:sz w:val="20"/>
                <w:szCs w:val="20"/>
                <w:color w:val="auto"/>
              </w:rPr>
              <w:t>807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spacing w:after="0" w:line="234" w:lineRule="exact"/>
              <w:rPr>
                <w:sz w:val="20"/>
                <w:szCs w:val="20"/>
                <w:color w:val="auto"/>
              </w:rPr>
            </w:pPr>
            <w:r>
              <w:rPr>
                <w:rFonts w:ascii="Calibri" w:cs="Calibri" w:eastAsia="Calibri" w:hAnsi="Calibri"/>
                <w:sz w:val="20"/>
                <w:szCs w:val="20"/>
                <w:color w:val="auto"/>
              </w:rPr>
              <w:t>863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340" w:type="dxa"/>
            <w:vAlign w:val="bottom"/>
            <w:shd w:val="clear" w:color="auto" w:fill="CCEEFF"/>
          </w:tcPr>
          <w:p>
            <w:pPr>
              <w:spacing w:after="0" w:line="243" w:lineRule="exact"/>
              <w:rPr>
                <w:sz w:val="20"/>
                <w:szCs w:val="20"/>
                <w:color w:val="auto"/>
              </w:rPr>
            </w:pPr>
            <w:r>
              <w:rPr>
                <w:rFonts w:ascii="Calibri" w:cs="Calibri" w:eastAsia="Calibri" w:hAnsi="Calibri"/>
                <w:sz w:val="20"/>
                <w:szCs w:val="20"/>
                <w:color w:val="auto"/>
              </w:rPr>
              <w:t>Stock-based compensaton expense</w:t>
            </w: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10,856</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20,542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line="234" w:lineRule="exact"/>
              <w:rPr>
                <w:sz w:val="20"/>
                <w:szCs w:val="20"/>
                <w:color w:val="auto"/>
              </w:rPr>
            </w:pPr>
            <w:r>
              <w:rPr>
                <w:rFonts w:ascii="Calibri" w:cs="Calibri" w:eastAsia="Calibri" w:hAnsi="Calibri"/>
                <w:sz w:val="20"/>
                <w:szCs w:val="20"/>
                <w:color w:val="auto"/>
              </w:rPr>
              <w:t>Revaluaton of contngent consideraton</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spacing w:after="0" w:line="234" w:lineRule="exact"/>
              <w:rPr>
                <w:sz w:val="20"/>
                <w:szCs w:val="20"/>
                <w:color w:val="auto"/>
              </w:rPr>
            </w:pPr>
            <w:r>
              <w:rPr>
                <w:rFonts w:ascii="Calibri" w:cs="Calibri" w:eastAsia="Calibri" w:hAnsi="Calibri"/>
                <w:sz w:val="20"/>
                <w:szCs w:val="20"/>
                <w:color w:val="auto"/>
              </w:rPr>
              <w:t>2,500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spacing w:after="0" w:line="234" w:lineRule="exact"/>
              <w:rPr>
                <w:sz w:val="20"/>
                <w:szCs w:val="20"/>
                <w:color w:val="auto"/>
              </w:rPr>
            </w:pPr>
            <w:r>
              <w:rPr>
                <w:rFonts w:ascii="Calibri" w:cs="Calibri" w:eastAsia="Calibri" w:hAnsi="Calibri"/>
                <w:sz w:val="20"/>
                <w:szCs w:val="20"/>
                <w:color w:val="auto"/>
              </w:rPr>
              <w:t>(26,900)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340" w:type="dxa"/>
            <w:vAlign w:val="bottom"/>
            <w:shd w:val="clear" w:color="auto" w:fill="CCEEFF"/>
          </w:tcPr>
          <w:p>
            <w:pPr>
              <w:spacing w:after="0" w:line="243" w:lineRule="exact"/>
              <w:rPr>
                <w:sz w:val="20"/>
                <w:szCs w:val="20"/>
                <w:color w:val="auto"/>
              </w:rPr>
            </w:pPr>
            <w:r>
              <w:rPr>
                <w:rFonts w:ascii="Calibri" w:cs="Calibri" w:eastAsia="Calibri" w:hAnsi="Calibri"/>
                <w:sz w:val="20"/>
                <w:szCs w:val="20"/>
                <w:color w:val="auto"/>
              </w:rPr>
              <w:t>In-process research and development expense</w:t>
            </w: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86,905</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6,629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line="234" w:lineRule="exact"/>
              <w:rPr>
                <w:sz w:val="20"/>
                <w:szCs w:val="20"/>
                <w:color w:val="auto"/>
              </w:rPr>
            </w:pPr>
            <w:r>
              <w:rPr>
                <w:rFonts w:ascii="Calibri" w:cs="Calibri" w:eastAsia="Calibri" w:hAnsi="Calibri"/>
                <w:sz w:val="20"/>
                <w:szCs w:val="20"/>
                <w:color w:val="auto"/>
              </w:rPr>
              <w:t>Deferred taxes</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spacing w:after="0" w:line="234" w:lineRule="exact"/>
              <w:rPr>
                <w:sz w:val="20"/>
                <w:szCs w:val="20"/>
                <w:color w:val="auto"/>
              </w:rPr>
            </w:pPr>
            <w:r>
              <w:rPr>
                <w:rFonts w:ascii="Calibri" w:cs="Calibri" w:eastAsia="Calibri" w:hAnsi="Calibri"/>
                <w:sz w:val="20"/>
                <w:szCs w:val="20"/>
                <w:color w:val="auto"/>
              </w:rPr>
              <w:t>(367)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340" w:type="dxa"/>
            <w:vAlign w:val="bottom"/>
            <w:shd w:val="clear" w:color="auto" w:fill="CCEEFF"/>
          </w:tcPr>
          <w:p>
            <w:pPr>
              <w:spacing w:after="0" w:line="243" w:lineRule="exact"/>
              <w:rPr>
                <w:sz w:val="20"/>
                <w:szCs w:val="20"/>
                <w:color w:val="auto"/>
              </w:rPr>
            </w:pPr>
            <w:r>
              <w:rPr>
                <w:rFonts w:ascii="Calibri" w:cs="Calibri" w:eastAsia="Calibri" w:hAnsi="Calibri"/>
                <w:sz w:val="20"/>
                <w:szCs w:val="20"/>
                <w:color w:val="auto"/>
              </w:rPr>
              <w:t>Changes in operatng assets and liabilites</w:t>
            </w:r>
          </w:p>
        </w:tc>
        <w:tc>
          <w:tcPr>
            <w:tcW w:w="14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10,922</w:t>
            </w:r>
          </w:p>
        </w:tc>
        <w:tc>
          <w:tcPr>
            <w:tcW w:w="1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9,389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line="217" w:lineRule="exact"/>
              <w:rPr>
                <w:sz w:val="20"/>
                <w:szCs w:val="20"/>
                <w:color w:val="auto"/>
              </w:rPr>
            </w:pPr>
            <w:r>
              <w:rPr>
                <w:rFonts w:ascii="Calibri" w:cs="Calibri" w:eastAsia="Calibri" w:hAnsi="Calibri"/>
                <w:sz w:val="20"/>
                <w:szCs w:val="20"/>
                <w:color w:val="auto"/>
              </w:rPr>
              <w:t>Net cash used in operatng actvites</w:t>
            </w:r>
          </w:p>
        </w:tc>
        <w:tc>
          <w:tcPr>
            <w:tcW w:w="1480" w:type="dxa"/>
            <w:vAlign w:val="bottom"/>
          </w:tcPr>
          <w:p>
            <w:pPr>
              <w:spacing w:after="0"/>
              <w:rPr>
                <w:sz w:val="20"/>
                <w:szCs w:val="20"/>
                <w:color w:val="auto"/>
              </w:rPr>
            </w:pPr>
          </w:p>
        </w:tc>
        <w:tc>
          <w:tcPr>
            <w:tcW w:w="120" w:type="dxa"/>
            <w:vAlign w:val="bottom"/>
            <w:tcBorders>
              <w:bottom w:val="single" w:sz="8" w:color="auto"/>
            </w:tcBorders>
          </w:tcPr>
          <w:p>
            <w:pPr>
              <w:jc w:val="right"/>
              <w:spacing w:after="0" w:line="228" w:lineRule="exact"/>
              <w:rPr>
                <w:sz w:val="20"/>
                <w:szCs w:val="20"/>
                <w:color w:val="auto"/>
              </w:rPr>
            </w:pPr>
            <w:r>
              <w:rPr>
                <w:rFonts w:ascii="Calibri" w:cs="Calibri" w:eastAsia="Calibri" w:hAnsi="Calibri"/>
                <w:sz w:val="20"/>
                <w:szCs w:val="20"/>
                <w:color w:val="auto"/>
                <w:w w:val="78"/>
              </w:rPr>
              <w:t>$</w:t>
            </w:r>
          </w:p>
        </w:tc>
        <w:tc>
          <w:tcPr>
            <w:tcW w:w="1800" w:type="dxa"/>
            <w:vAlign w:val="bottom"/>
            <w:tcBorders>
              <w:bottom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(20,075)</w:t>
            </w:r>
          </w:p>
        </w:tc>
        <w:tc>
          <w:tcPr>
            <w:tcW w:w="180" w:type="dxa"/>
            <w:vAlign w:val="bottom"/>
          </w:tcPr>
          <w:p>
            <w:pPr>
              <w:spacing w:after="0"/>
              <w:rPr>
                <w:sz w:val="20"/>
                <w:szCs w:val="20"/>
                <w:color w:val="auto"/>
              </w:rPr>
            </w:pPr>
          </w:p>
        </w:tc>
        <w:tc>
          <w:tcPr>
            <w:tcW w:w="120" w:type="dxa"/>
            <w:vAlign w:val="bottom"/>
            <w:tcBorders>
              <w:bottom w:val="single" w:sz="8" w:color="auto"/>
            </w:tcBorders>
          </w:tcPr>
          <w:p>
            <w:pPr>
              <w:jc w:val="right"/>
              <w:spacing w:after="0" w:line="228" w:lineRule="exact"/>
              <w:rPr>
                <w:sz w:val="20"/>
                <w:szCs w:val="20"/>
                <w:color w:val="auto"/>
              </w:rPr>
            </w:pPr>
            <w:r>
              <w:rPr>
                <w:rFonts w:ascii="Calibri" w:cs="Calibri" w:eastAsia="Calibri" w:hAnsi="Calibri"/>
                <w:sz w:val="20"/>
                <w:szCs w:val="20"/>
                <w:color w:val="auto"/>
                <w:w w:val="78"/>
              </w:rPr>
              <w:t>$</w:t>
            </w:r>
          </w:p>
        </w:tc>
        <w:tc>
          <w:tcPr>
            <w:tcW w:w="1800" w:type="dxa"/>
            <w:vAlign w:val="bottom"/>
            <w:tcBorders>
              <w:bottom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(78,325)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8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920"/>
      </w:cols>
      <w:pgMar w:left="980" w:top="86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04"/>
    </w:lvl>
  </w:abstractNum>
  <w:abstractNum w:abstractNumId="2">
    <w:nsid w:val="2EB141F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o"/>
      <w:numFmt w:val="bullet"/>
      <w:start w:val="1"/>
    </w:lvl>
  </w:abstractNum>
  <w:abstractNum w:abstractNumId="7">
    <w:nsid w:val="5BD062C2"/>
    <w:multiLevelType w:val="hybridMultilevel"/>
    <w:lvl w:ilvl="0">
      <w:lvlJc w:val="left"/>
      <w:lvlText w:val="(%1)"/>
      <w:numFmt w:val="decimal"/>
      <w:start w:val="484"/>
    </w:lvl>
  </w:abstractNum>
  <w:abstractNum w:abstractNumId="8">
    <w:nsid w:val="12200854"/>
    <w:multiLevelType w:val="hybridMultilevel"/>
    <w:lvl w:ilvl="0">
      <w:lvlJc w:val="left"/>
      <w:lvlText w:val="(%1)"/>
      <w:numFmt w:val="decimal"/>
      <w:start w:val="484"/>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2025-02-27T06:31:00Z</dcterms:created>
  <dcterms:modified xsi:type="dcterms:W3CDTF">2025-02-27T06:31:00Z</dcterms:modified>
</cp:coreProperties>
</file>