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color w:val="auto"/>
        </w:rPr>
        <w:t>As filed with the U.S. Securities and Exchange Commission on May 7, 2024</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UNDER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ACLARIS THERAPEUTICS, INC.</w:t>
      </w:r>
    </w:p>
    <w:p>
      <w:pPr>
        <w:spacing w:after="0" w:line="58"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592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460" w:type="dxa"/>
            <w:vAlign w:val="bottom"/>
          </w:tcPr>
          <w:p>
            <w:pPr>
              <w:spacing w:after="0"/>
              <w:rPr>
                <w:sz w:val="20"/>
                <w:szCs w:val="20"/>
                <w:color w:val="auto"/>
              </w:rPr>
            </w:pPr>
          </w:p>
        </w:tc>
      </w:tr>
      <w:tr>
        <w:trPr>
          <w:trHeight w:val="183"/>
        </w:trPr>
        <w:tc>
          <w:tcPr>
            <w:tcW w:w="2500" w:type="dxa"/>
            <w:vAlign w:val="bottom"/>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407"/>
        </w:trPr>
        <w:tc>
          <w:tcPr>
            <w:tcW w:w="5920" w:type="dxa"/>
            <w:vAlign w:val="bottom"/>
            <w:gridSpan w:val="3"/>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46-0571712</w:t>
            </w:r>
          </w:p>
        </w:tc>
      </w:tr>
      <w:tr>
        <w:trPr>
          <w:trHeight w:val="216"/>
        </w:trPr>
        <w:tc>
          <w:tcPr>
            <w:tcW w:w="5920" w:type="dxa"/>
            <w:vAlign w:val="bottom"/>
            <w:gridSpan w:val="3"/>
          </w:tcPr>
          <w:p>
            <w:pPr>
              <w:jc w:val="center"/>
              <w:ind w:right="37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920" w:type="dxa"/>
            <w:vAlign w:val="bottom"/>
            <w:gridSpan w:val="3"/>
          </w:tcPr>
          <w:p>
            <w:pPr>
              <w:jc w:val="center"/>
              <w:ind w:right="37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2"/>
        </w:trPr>
        <w:tc>
          <w:tcPr>
            <w:tcW w:w="2500" w:type="dxa"/>
            <w:vAlign w:val="bottom"/>
          </w:tcPr>
          <w:p>
            <w:pPr>
              <w:spacing w:after="0"/>
              <w:rPr>
                <w:sz w:val="24"/>
                <w:szCs w:val="24"/>
                <w:color w:val="auto"/>
              </w:rPr>
            </w:pPr>
          </w:p>
        </w:tc>
        <w:tc>
          <w:tcPr>
            <w:tcW w:w="34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701 Lee Road, Suite 103</w:t>
            </w:r>
          </w:p>
        </w:tc>
        <w:tc>
          <w:tcPr>
            <w:tcW w:w="1460" w:type="dxa"/>
            <w:vAlign w:val="bottom"/>
          </w:tcPr>
          <w:p>
            <w:pPr>
              <w:spacing w:after="0"/>
              <w:rPr>
                <w:sz w:val="24"/>
                <w:szCs w:val="24"/>
                <w:color w:val="auto"/>
              </w:rPr>
            </w:pPr>
          </w:p>
        </w:tc>
      </w:tr>
      <w:tr>
        <w:trPr>
          <w:trHeight w:val="216"/>
        </w:trPr>
        <w:tc>
          <w:tcPr>
            <w:tcW w:w="2500" w:type="dxa"/>
            <w:vAlign w:val="bottom"/>
          </w:tcPr>
          <w:p>
            <w:pPr>
              <w:spacing w:after="0"/>
              <w:rPr>
                <w:sz w:val="18"/>
                <w:szCs w:val="18"/>
                <w:color w:val="auto"/>
              </w:rPr>
            </w:pPr>
          </w:p>
        </w:tc>
        <w:tc>
          <w:tcPr>
            <w:tcW w:w="34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Wayne, PA 19087</w:t>
            </w:r>
          </w:p>
        </w:tc>
        <w:tc>
          <w:tcPr>
            <w:tcW w:w="1460" w:type="dxa"/>
            <w:vAlign w:val="bottom"/>
          </w:tcPr>
          <w:p>
            <w:pPr>
              <w:spacing w:after="0"/>
              <w:rPr>
                <w:sz w:val="18"/>
                <w:szCs w:val="18"/>
                <w:color w:val="auto"/>
              </w:rPr>
            </w:pPr>
          </w:p>
        </w:tc>
      </w:tr>
      <w:tr>
        <w:trPr>
          <w:trHeight w:val="238"/>
        </w:trPr>
        <w:tc>
          <w:tcPr>
            <w:tcW w:w="592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460" w:type="dxa"/>
            <w:vAlign w:val="bottom"/>
          </w:tcPr>
          <w:p>
            <w:pPr>
              <w:spacing w:after="0"/>
              <w:rPr>
                <w:sz w:val="20"/>
                <w:szCs w:val="20"/>
                <w:color w:val="auto"/>
              </w:rPr>
            </w:pPr>
          </w:p>
        </w:tc>
      </w:tr>
      <w:tr>
        <w:trPr>
          <w:trHeight w:val="203"/>
        </w:trPr>
        <w:tc>
          <w:tcPr>
            <w:tcW w:w="250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3"/>
        </w:trPr>
        <w:tc>
          <w:tcPr>
            <w:tcW w:w="2500" w:type="dxa"/>
            <w:vAlign w:val="bottom"/>
          </w:tcPr>
          <w:p>
            <w:pPr>
              <w:spacing w:after="0"/>
              <w:rPr>
                <w:sz w:val="24"/>
                <w:szCs w:val="24"/>
                <w:color w:val="auto"/>
              </w:rPr>
            </w:pPr>
          </w:p>
        </w:tc>
        <w:tc>
          <w:tcPr>
            <w:tcW w:w="34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tc>
        <w:tc>
          <w:tcPr>
            <w:tcW w:w="1460" w:type="dxa"/>
            <w:vAlign w:val="bottom"/>
          </w:tcPr>
          <w:p>
            <w:pPr>
              <w:spacing w:after="0"/>
              <w:rPr>
                <w:sz w:val="24"/>
                <w:szCs w:val="24"/>
                <w:color w:val="auto"/>
              </w:rPr>
            </w:pPr>
          </w:p>
        </w:tc>
      </w:tr>
      <w:tr>
        <w:trPr>
          <w:trHeight w:val="238"/>
        </w:trPr>
        <w:tc>
          <w:tcPr>
            <w:tcW w:w="2500" w:type="dxa"/>
            <w:vAlign w:val="bottom"/>
          </w:tcPr>
          <w:p>
            <w:pPr>
              <w:spacing w:after="0"/>
              <w:rPr>
                <w:sz w:val="20"/>
                <w:szCs w:val="20"/>
                <w:color w:val="auto"/>
              </w:rPr>
            </w:pPr>
          </w:p>
        </w:tc>
        <w:tc>
          <w:tcPr>
            <w:tcW w:w="34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(Full title of the plan)</w:t>
            </w:r>
          </w:p>
        </w:tc>
        <w:tc>
          <w:tcPr>
            <w:tcW w:w="14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128270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Neal Walker</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Interim President and Chief Executive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Aclaris Therapeutics, Inc.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701 Lee Road, Suite 103</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Wayne, PA 19087</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(484) 324-7933</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 (Telephone number, including area code, of agent for service)</w:t>
      </w:r>
    </w:p>
    <w:p>
      <w:pPr>
        <w:spacing w:after="0" w:line="135" w:lineRule="exact"/>
        <w:rPr>
          <w:sz w:val="24"/>
          <w:szCs w:val="24"/>
          <w:color w:val="auto"/>
        </w:rPr>
      </w:pPr>
    </w:p>
    <w:tbl>
      <w:tblPr>
        <w:tblLayout w:type="fixed"/>
        <w:tblInd w:w="200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49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42"/>
        </w:trPr>
        <w:tc>
          <w:tcPr>
            <w:tcW w:w="25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Mark Ballantyne</w:t>
            </w:r>
          </w:p>
        </w:tc>
        <w:tc>
          <w:tcPr>
            <w:tcW w:w="498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Kevin Balthaser</w:t>
            </w:r>
          </w:p>
        </w:tc>
      </w:tr>
      <w:tr>
        <w:trPr>
          <w:trHeight w:val="216"/>
        </w:trPr>
        <w:tc>
          <w:tcPr>
            <w:tcW w:w="25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Brian F. Leaf</w:t>
            </w:r>
          </w:p>
        </w:tc>
        <w:tc>
          <w:tcPr>
            <w:tcW w:w="49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16"/>
        </w:trPr>
        <w:tc>
          <w:tcPr>
            <w:tcW w:w="25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49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Aclaris Therapeutics, Inc.</w:t>
            </w:r>
          </w:p>
        </w:tc>
      </w:tr>
      <w:tr>
        <w:trPr>
          <w:trHeight w:val="216"/>
        </w:trPr>
        <w:tc>
          <w:tcPr>
            <w:tcW w:w="25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11951 Freedom Drive</w:t>
            </w:r>
          </w:p>
        </w:tc>
        <w:tc>
          <w:tcPr>
            <w:tcW w:w="498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701 Lee Road, Suite 103</w:t>
            </w:r>
          </w:p>
        </w:tc>
      </w:tr>
      <w:tr>
        <w:trPr>
          <w:trHeight w:val="216"/>
        </w:trPr>
        <w:tc>
          <w:tcPr>
            <w:tcW w:w="25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Reston, VA 20190-5640</w:t>
            </w:r>
          </w:p>
        </w:tc>
        <w:tc>
          <w:tcPr>
            <w:tcW w:w="49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8"/>
              </w:rPr>
              <w:t>Wayne, PA 19087</w:t>
            </w:r>
          </w:p>
        </w:tc>
      </w:tr>
      <w:tr>
        <w:trPr>
          <w:trHeight w:val="238"/>
        </w:trPr>
        <w:tc>
          <w:tcPr>
            <w:tcW w:w="25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(703) 456-8000</w:t>
            </w:r>
          </w:p>
        </w:tc>
        <w:tc>
          <w:tcPr>
            <w:tcW w:w="498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(484) 324-7933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128905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4"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sectPr>
      </w:pPr>
    </w:p>
    <w:p>
      <w:pPr>
        <w:spacing w:after="0" w:line="68"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9" w:lineRule="exact"/>
        <w:rPr>
          <w:sz w:val="24"/>
          <w:szCs w:val="24"/>
          <w:color w:val="auto"/>
        </w:rPr>
      </w:pPr>
    </w:p>
    <w:p>
      <w:pPr>
        <w:sectPr>
          <w:pgSz w:w="11900" w:h="16838" w:orient="portrait"/>
          <w:cols w:equalWidth="0" w:num="2">
            <w:col w:w="6260" w:space="720"/>
            <w:col w:w="4280"/>
          </w:cols>
          <w:pgMar w:left="320" w:top="229" w:right="31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General Instruction E of Form S-8, this Registration Statement on Form S-8 (the “Registration Statement”) is being filed for the purpose of registering an additional 2,835,795 shares of common stock, $0.00001 par value per share (“Common Stock”), of Aclaris Therapeutics, Inc. (the “Registrant”) to be issued pursuant to the Aclaris Therapeutics, Inc. 2015 Equity Incentive Plan (the “2015 EIP”) pursuant to the provisions of the 2015 EIP providing for an automatic increase in the number of shares reserved and available for issuance under the 2015 EIP on January 1, 2024.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instructional note to Part I of Form S-8 as promulgated by the U.S. Securities and Exchange Commission (the “Commission”), the information specified by Part I of the Form S-8 has been omitted from this Registration Statement.</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incorporated by reference into this Registration Statement:</w:t>
      </w:r>
    </w:p>
    <w:p>
      <w:pPr>
        <w:spacing w:after="0" w:line="225" w:lineRule="exact"/>
        <w:rPr>
          <w:sz w:val="20"/>
          <w:szCs w:val="20"/>
          <w:color w:val="auto"/>
        </w:rPr>
      </w:pPr>
    </w:p>
    <w:p>
      <w:pPr>
        <w:ind w:left="600" w:hanging="268"/>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Registration Statement on Form S-8 (</w:t>
      </w:r>
      <w:hyperlink r:id="rId17">
        <w:r>
          <w:rPr>
            <w:rFonts w:ascii="Times New Roman" w:cs="Times New Roman" w:eastAsia="Times New Roman" w:hAnsi="Times New Roman"/>
            <w:sz w:val="18"/>
            <w:szCs w:val="18"/>
            <w:u w:val="single" w:color="auto"/>
            <w:color w:val="0000EE"/>
          </w:rPr>
          <w:t>File No. 333-207434</w:t>
        </w:r>
      </w:hyperlink>
      <w:r>
        <w:rPr>
          <w:rFonts w:ascii="Times New Roman" w:cs="Times New Roman" w:eastAsia="Times New Roman" w:hAnsi="Times New Roman"/>
          <w:sz w:val="18"/>
          <w:szCs w:val="18"/>
          <w:color w:val="auto"/>
        </w:rPr>
        <w:t>) relating to the 2015 EIP, filed with the Commission on October 15,</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2015;</w:t>
      </w:r>
    </w:p>
    <w:p>
      <w:pPr>
        <w:spacing w:after="0" w:line="206" w:lineRule="exact"/>
        <w:rPr>
          <w:rFonts w:ascii="Times New Roman" w:cs="Times New Roman" w:eastAsia="Times New Roman" w:hAnsi="Times New Roman"/>
          <w:sz w:val="18"/>
          <w:szCs w:val="18"/>
          <w:color w:val="auto"/>
        </w:rPr>
      </w:pPr>
    </w:p>
    <w:p>
      <w:pPr>
        <w:ind w:right="20" w:firstLine="332"/>
        <w:spacing w:after="0" w:line="282" w:lineRule="auto"/>
        <w:tabs>
          <w:tab w:leader="none" w:pos="59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w:t>
      </w:r>
      <w:hyperlink r:id="rId18">
        <w:r>
          <w:rPr>
            <w:rFonts w:ascii="Times New Roman" w:cs="Times New Roman" w:eastAsia="Times New Roman" w:hAnsi="Times New Roman"/>
            <w:sz w:val="18"/>
            <w:szCs w:val="18"/>
            <w:u w:val="single" w:color="auto"/>
            <w:color w:val="0000EE"/>
          </w:rPr>
          <w:t>File No. 001-37581</w:t>
        </w:r>
      </w:hyperlink>
      <w:r>
        <w:rPr>
          <w:rFonts w:ascii="Times New Roman" w:cs="Times New Roman" w:eastAsia="Times New Roman" w:hAnsi="Times New Roman"/>
          <w:sz w:val="18"/>
          <w:szCs w:val="18"/>
          <w:color w:val="auto"/>
        </w:rPr>
        <w:t>) for the fiscal year ended December 31, 2023, filed with the Commission on February 27, 2024;</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93"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(File No. 001-37581) filed with the Commission on </w:t>
      </w:r>
      <w:hyperlink r:id="rId19">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February 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March 19,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extent the information in such reports is filed and not furnished; and</w:t>
      </w:r>
    </w:p>
    <w:p>
      <w:pPr>
        <w:spacing w:after="0" w:line="161" w:lineRule="exact"/>
        <w:rPr>
          <w:rFonts w:ascii="Times New Roman" w:cs="Times New Roman" w:eastAsia="Times New Roman" w:hAnsi="Times New Roman"/>
          <w:sz w:val="18"/>
          <w:szCs w:val="18"/>
          <w:color w:val="0000EE"/>
        </w:rPr>
      </w:pPr>
    </w:p>
    <w:p>
      <w:pPr>
        <w:jc w:val="both"/>
        <w:ind w:firstLine="332"/>
        <w:spacing w:after="0" w:line="261" w:lineRule="auto"/>
        <w:tabs>
          <w:tab w:leader="none" w:pos="623" w:val="left"/>
        </w:tabs>
        <w:numPr>
          <w:ilvl w:val="0"/>
          <w:numId w:val="1"/>
        </w:numPr>
        <w:rPr>
          <w:rFonts w:ascii="Times New Roman" w:cs="Times New Roman" w:eastAsia="Times New Roman" w:hAnsi="Times New Roman"/>
          <w:sz w:val="18"/>
          <w:szCs w:val="18"/>
          <w:color w:val="000000"/>
        </w:rPr>
      </w:pPr>
      <w:hyperlink r:id="rId22">
        <w:r>
          <w:rPr>
            <w:rFonts w:ascii="Times New Roman" w:cs="Times New Roman" w:eastAsia="Times New Roman" w:hAnsi="Times New Roman"/>
            <w:sz w:val="18"/>
            <w:szCs w:val="18"/>
            <w:color w:val="auto"/>
          </w:rPr>
          <w:t xml:space="preserve">The description of the Registrant’s Common Stock, which is contained in a registration statement on </w:t>
        </w:r>
        <w:r>
          <w:rPr>
            <w:rFonts w:ascii="Times New Roman" w:cs="Times New Roman" w:eastAsia="Times New Roman" w:hAnsi="Times New Roman"/>
            <w:sz w:val="18"/>
            <w:szCs w:val="18"/>
            <w:u w:val="single" w:color="auto"/>
            <w:color w:val="0000EE"/>
          </w:rPr>
          <w:t>Form 8-A filed on October 2, 2015</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(File No. 001-37581</w:t>
        </w:r>
        <w:r>
          <w:rPr>
            <w:rFonts w:ascii="Times New Roman" w:cs="Times New Roman" w:eastAsia="Times New Roman" w:hAnsi="Times New Roman"/>
            <w:sz w:val="18"/>
            <w:szCs w:val="18"/>
            <w:color w:val="000000"/>
          </w:rPr>
          <w:t>) under the Securities Exchange Act of 1934, as amended (the “Exchange Act”), as updated by the description of the Registrant’s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capital stock contained in the Registrant’s </w:t>
      </w:r>
      <w:hyperlink r:id="rId18">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000000"/>
        </w:rPr>
        <w:t>, including any amendment or report filed for the purpose of updating such description.</w:t>
      </w:r>
    </w:p>
    <w:p>
      <w:pPr>
        <w:spacing w:after="0" w:line="180" w:lineRule="exact"/>
        <w:rPr>
          <w:rFonts w:ascii="Times New Roman" w:cs="Times New Roman" w:eastAsia="Times New Roman" w:hAnsi="Times New Roman"/>
          <w:sz w:val="18"/>
          <w:szCs w:val="18"/>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200" w:type="dxa"/>
            <w:vAlign w:val="bottom"/>
          </w:tcPr>
          <w:p>
            <w:pPr>
              <w:spacing w:after="0"/>
              <w:rPr>
                <w:sz w:val="20"/>
                <w:szCs w:val="20"/>
                <w:color w:val="auto"/>
              </w:rPr>
            </w:pPr>
          </w:p>
        </w:tc>
        <w:tc>
          <w:tcPr>
            <w:tcW w:w="4640" w:type="dxa"/>
            <w:vAlign w:val="bottom"/>
            <w:gridSpan w:val="20"/>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6"/>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Schedule</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5"/>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File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60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3"/>
              </w:rPr>
              <w:t>Number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1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380" w:type="dxa"/>
            <w:vAlign w:val="bottom"/>
          </w:tcPr>
          <w:p>
            <w:pPr>
              <w:spacing w:after="0"/>
              <w:rPr>
                <w:sz w:val="17"/>
                <w:szCs w:val="17"/>
                <w:color w:val="auto"/>
              </w:rPr>
            </w:pPr>
          </w:p>
        </w:tc>
        <w:tc>
          <w:tcPr>
            <w:tcW w:w="700" w:type="dxa"/>
            <w:vAlign w:val="bottom"/>
            <w:gridSpan w:val="5"/>
          </w:tcPr>
          <w:p>
            <w:pPr>
              <w:jc w:val="center"/>
              <w:ind w:right="360"/>
              <w:spacing w:after="0" w:line="198" w:lineRule="exact"/>
              <w:rPr>
                <w:sz w:val="20"/>
                <w:szCs w:val="20"/>
                <w:color w:val="auto"/>
              </w:rPr>
            </w:pPr>
            <w:r>
              <w:rPr>
                <w:rFonts w:ascii="Times New Roman" w:cs="Times New Roman" w:eastAsia="Times New Roman" w:hAnsi="Times New Roman"/>
                <w:sz w:val="18"/>
                <w:szCs w:val="18"/>
                <w:b w:val="1"/>
                <w:bCs w:val="1"/>
                <w:color w:val="auto"/>
                <w:w w:val="78"/>
              </w:rPr>
              <w:t>Form</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6"/>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420" w:type="dxa"/>
            <w:vAlign w:val="bottom"/>
            <w:gridSpan w:val="8"/>
          </w:tcPr>
          <w:p>
            <w:pPr>
              <w:ind w:left="280"/>
              <w:spacing w:after="0" w:line="19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500" w:type="dxa"/>
            <w:vAlign w:val="bottom"/>
            <w:gridSpan w:val="5"/>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88"/>
              </w:rPr>
            </w:pPr>
            <w:hyperlink r:id="rId2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gridSpan w:val="14"/>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Amended and Restated Certificate of Incorporation of the</w:t>
              </w:r>
            </w:hyperlink>
          </w:p>
        </w:tc>
        <w:tc>
          <w:tcPr>
            <w:tcW w:w="68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gridSpan w:val="5"/>
          </w:tcPr>
          <w:p>
            <w:pPr>
              <w:jc w:val="center"/>
              <w:ind w:right="440"/>
              <w:spacing w:after="0"/>
              <w:rPr>
                <w:rFonts w:ascii="Times New Roman" w:cs="Times New Roman" w:eastAsia="Times New Roman" w:hAnsi="Times New Roman"/>
                <w:sz w:val="18"/>
                <w:szCs w:val="18"/>
                <w:color w:val="0000EE"/>
                <w:w w:val="92"/>
              </w:rPr>
            </w:pPr>
            <w:hyperlink r:id="rId24">
              <w:r>
                <w:rPr>
                  <w:rFonts w:ascii="Times New Roman" w:cs="Times New Roman" w:eastAsia="Times New Roman" w:hAnsi="Times New Roman"/>
                  <w:sz w:val="18"/>
                  <w:szCs w:val="18"/>
                  <w:color w:val="0000EE"/>
                  <w:w w:val="92"/>
                </w:rPr>
                <w:t>8-K</w:t>
              </w:r>
            </w:hyperlink>
          </w:p>
        </w:tc>
        <w:tc>
          <w:tcPr>
            <w:tcW w:w="980" w:type="dxa"/>
            <w:vAlign w:val="bottom"/>
            <w:gridSpan w:val="6"/>
          </w:tcPr>
          <w:p>
            <w:pPr>
              <w:jc w:val="center"/>
              <w:ind w:left="110"/>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001-37581</w:t>
              </w:r>
            </w:hyperlink>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6"/>
          </w:tcPr>
          <w:p>
            <w:pPr>
              <w:jc w:val="center"/>
              <w:ind w:left="290"/>
              <w:spacing w:after="0"/>
              <w:rPr>
                <w:rFonts w:ascii="Times New Roman" w:cs="Times New Roman" w:eastAsia="Times New Roman" w:hAnsi="Times New Roman"/>
                <w:sz w:val="18"/>
                <w:szCs w:val="18"/>
                <w:color w:val="0000EE"/>
                <w:w w:val="97"/>
              </w:rPr>
            </w:pPr>
            <w:hyperlink r:id="rId24">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4"/>
          </w:tcPr>
          <w:p>
            <w:pPr>
              <w:jc w:val="center"/>
              <w:ind w:left="110"/>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10/13/2015</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Registrant.</w:t>
              </w:r>
            </w:hyperlink>
          </w:p>
        </w:tc>
        <w:tc>
          <w:tcPr>
            <w:tcW w:w="68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88"/>
              </w:rPr>
            </w:pPr>
            <w:hyperlink r:id="rId25">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gridSpan w:val="21"/>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Certificate of Amendment to Amended and Restated Certificate of</w:t>
              </w:r>
            </w:hyperlink>
          </w:p>
        </w:tc>
        <w:tc>
          <w:tcPr>
            <w:tcW w:w="380" w:type="dxa"/>
            <w:vAlign w:val="bottom"/>
          </w:tcPr>
          <w:p>
            <w:pPr>
              <w:spacing w:after="0"/>
              <w:rPr>
                <w:sz w:val="17"/>
                <w:szCs w:val="17"/>
                <w:color w:val="auto"/>
              </w:rPr>
            </w:pPr>
          </w:p>
        </w:tc>
        <w:tc>
          <w:tcPr>
            <w:tcW w:w="700" w:type="dxa"/>
            <w:vAlign w:val="bottom"/>
            <w:gridSpan w:val="5"/>
          </w:tcPr>
          <w:p>
            <w:pPr>
              <w:jc w:val="center"/>
              <w:ind w:right="400"/>
              <w:spacing w:after="0" w:line="196" w:lineRule="exact"/>
              <w:rPr>
                <w:rFonts w:ascii="Times New Roman" w:cs="Times New Roman" w:eastAsia="Times New Roman" w:hAnsi="Times New Roman"/>
                <w:sz w:val="18"/>
                <w:szCs w:val="18"/>
                <w:color w:val="0000EE"/>
                <w:w w:val="80"/>
              </w:rPr>
            </w:pPr>
            <w:hyperlink r:id="rId25">
              <w:r>
                <w:rPr>
                  <w:rFonts w:ascii="Times New Roman" w:cs="Times New Roman" w:eastAsia="Times New Roman" w:hAnsi="Times New Roman"/>
                  <w:sz w:val="18"/>
                  <w:szCs w:val="18"/>
                  <w:color w:val="0000EE"/>
                  <w:w w:val="80"/>
                </w:rPr>
                <w:t>10-Q</w:t>
              </w:r>
            </w:hyperlink>
          </w:p>
        </w:tc>
        <w:tc>
          <w:tcPr>
            <w:tcW w:w="980" w:type="dxa"/>
            <w:vAlign w:val="bottom"/>
            <w:gridSpan w:val="6"/>
          </w:tcPr>
          <w:p>
            <w:pPr>
              <w:jc w:val="center"/>
              <w:ind w:left="110"/>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001-37581</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6"/>
          </w:tcPr>
          <w:p>
            <w:pPr>
              <w:jc w:val="center"/>
              <w:ind w:left="290"/>
              <w:spacing w:after="0" w:line="196" w:lineRule="exact"/>
              <w:rPr>
                <w:rFonts w:ascii="Times New Roman" w:cs="Times New Roman" w:eastAsia="Times New Roman" w:hAnsi="Times New Roman"/>
                <w:sz w:val="18"/>
                <w:szCs w:val="18"/>
                <w:color w:val="0000EE"/>
                <w:w w:val="97"/>
              </w:rPr>
            </w:pPr>
            <w:hyperlink r:id="rId25">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gridSpan w:val="4"/>
          </w:tcPr>
          <w:p>
            <w:pPr>
              <w:jc w:val="center"/>
              <w:ind w:left="110"/>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08/07/2023</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Incorporation of the Registrant.</w:t>
              </w:r>
            </w:hyperlink>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88"/>
              </w:rPr>
            </w:pPr>
            <w:hyperlink r:id="rId26">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3</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gridSpan w:val="21"/>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Amended and Restated Bylaws of the Registrant.</w:t>
              </w:r>
            </w:hyperlink>
          </w:p>
        </w:tc>
        <w:tc>
          <w:tcPr>
            <w:tcW w:w="380" w:type="dxa"/>
            <w:vAlign w:val="bottom"/>
          </w:tcPr>
          <w:p>
            <w:pPr>
              <w:spacing w:after="0"/>
              <w:rPr>
                <w:sz w:val="17"/>
                <w:szCs w:val="17"/>
                <w:color w:val="auto"/>
              </w:rPr>
            </w:pPr>
          </w:p>
        </w:tc>
        <w:tc>
          <w:tcPr>
            <w:tcW w:w="700" w:type="dxa"/>
            <w:vAlign w:val="bottom"/>
            <w:gridSpan w:val="5"/>
          </w:tcPr>
          <w:p>
            <w:pPr>
              <w:jc w:val="center"/>
              <w:ind w:right="440"/>
              <w:spacing w:after="0" w:line="196" w:lineRule="exact"/>
              <w:rPr>
                <w:rFonts w:ascii="Times New Roman" w:cs="Times New Roman" w:eastAsia="Times New Roman" w:hAnsi="Times New Roman"/>
                <w:sz w:val="18"/>
                <w:szCs w:val="18"/>
                <w:color w:val="0000EE"/>
                <w:w w:val="92"/>
              </w:rPr>
            </w:pPr>
            <w:hyperlink r:id="rId26">
              <w:r>
                <w:rPr>
                  <w:rFonts w:ascii="Times New Roman" w:cs="Times New Roman" w:eastAsia="Times New Roman" w:hAnsi="Times New Roman"/>
                  <w:sz w:val="18"/>
                  <w:szCs w:val="18"/>
                  <w:color w:val="0000EE"/>
                  <w:w w:val="92"/>
                </w:rPr>
                <w:t>8-K</w:t>
              </w:r>
            </w:hyperlink>
          </w:p>
        </w:tc>
        <w:tc>
          <w:tcPr>
            <w:tcW w:w="980" w:type="dxa"/>
            <w:vAlign w:val="bottom"/>
            <w:gridSpan w:val="6"/>
          </w:tcPr>
          <w:p>
            <w:pPr>
              <w:jc w:val="center"/>
              <w:ind w:left="110"/>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001-37581</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6"/>
          </w:tcPr>
          <w:p>
            <w:pPr>
              <w:jc w:val="center"/>
              <w:ind w:left="290"/>
              <w:spacing w:after="0" w:line="196" w:lineRule="exact"/>
              <w:rPr>
                <w:rFonts w:ascii="Times New Roman" w:cs="Times New Roman" w:eastAsia="Times New Roman" w:hAnsi="Times New Roman"/>
                <w:sz w:val="18"/>
                <w:szCs w:val="18"/>
                <w:color w:val="0000EE"/>
                <w:w w:val="97"/>
              </w:rPr>
            </w:pPr>
            <w:hyperlink r:id="rId26">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gridSpan w:val="4"/>
          </w:tcPr>
          <w:p>
            <w:pPr>
              <w:jc w:val="center"/>
              <w:ind w:left="110"/>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06/24/2020</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88"/>
              </w:rPr>
            </w:pPr>
            <w:hyperlink r:id="rId2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4</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gridSpan w:val="11"/>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2015 Equity Incentive Plan.</w:t>
              </w:r>
            </w:hyperlink>
          </w:p>
        </w:tc>
        <w:tc>
          <w:tcPr>
            <w:tcW w:w="1300" w:type="dxa"/>
            <w:vAlign w:val="bottom"/>
            <w:gridSpan w:val="10"/>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gridSpan w:val="3"/>
          </w:tcPr>
          <w:p>
            <w:pPr>
              <w:jc w:val="center"/>
              <w:spacing w:after="0" w:line="196" w:lineRule="exact"/>
              <w:rPr>
                <w:rFonts w:ascii="Times New Roman" w:cs="Times New Roman" w:eastAsia="Times New Roman" w:hAnsi="Times New Roman"/>
                <w:sz w:val="18"/>
                <w:szCs w:val="18"/>
                <w:color w:val="0000EE"/>
                <w:w w:val="95"/>
              </w:rPr>
            </w:pPr>
            <w:hyperlink r:id="rId27">
              <w:r>
                <w:rPr>
                  <w:rFonts w:ascii="Times New Roman" w:cs="Times New Roman" w:eastAsia="Times New Roman" w:hAnsi="Times New Roman"/>
                  <w:sz w:val="18"/>
                  <w:szCs w:val="18"/>
                  <w:color w:val="0000EE"/>
                  <w:w w:val="95"/>
                </w:rPr>
                <w:t>S-8</w:t>
              </w:r>
            </w:hyperlink>
          </w:p>
        </w:tc>
        <w:tc>
          <w:tcPr>
            <w:tcW w:w="460" w:type="dxa"/>
            <w:vAlign w:val="bottom"/>
            <w:gridSpan w:val="2"/>
          </w:tcPr>
          <w:p>
            <w:pPr>
              <w:spacing w:after="0"/>
              <w:rPr>
                <w:sz w:val="17"/>
                <w:szCs w:val="17"/>
                <w:color w:val="auto"/>
              </w:rPr>
            </w:pPr>
          </w:p>
        </w:tc>
        <w:tc>
          <w:tcPr>
            <w:tcW w:w="1380" w:type="dxa"/>
            <w:vAlign w:val="bottom"/>
            <w:gridSpan w:val="8"/>
          </w:tcPr>
          <w:p>
            <w:pPr>
              <w:jc w:val="center"/>
              <w:ind w:right="80"/>
              <w:spacing w:after="0" w:line="196"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333-207434</w:t>
              </w:r>
            </w:hyperlink>
          </w:p>
        </w:tc>
        <w:tc>
          <w:tcPr>
            <w:tcW w:w="760" w:type="dxa"/>
            <w:vAlign w:val="bottom"/>
            <w:gridSpan w:val="6"/>
          </w:tcPr>
          <w:p>
            <w:pPr>
              <w:jc w:val="center"/>
              <w:ind w:left="290"/>
              <w:spacing w:after="0" w:line="196" w:lineRule="exact"/>
              <w:rPr>
                <w:rFonts w:ascii="Times New Roman" w:cs="Times New Roman" w:eastAsia="Times New Roman" w:hAnsi="Times New Roman"/>
                <w:sz w:val="18"/>
                <w:szCs w:val="18"/>
                <w:color w:val="0000EE"/>
                <w:w w:val="97"/>
              </w:rPr>
            </w:pPr>
            <w:hyperlink r:id="rId2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6</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gridSpan w:val="4"/>
          </w:tcPr>
          <w:p>
            <w:pPr>
              <w:jc w:val="center"/>
              <w:ind w:left="110"/>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10/15/2015</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88"/>
              </w:rPr>
            </w:pPr>
            <w:hyperlink r:id="rId28">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5</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19"/>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Form of Stock Option Grant Notice and Stock Option Agreement</w:t>
              </w:r>
            </w:hyperlink>
          </w:p>
        </w:tc>
        <w:tc>
          <w:tcPr>
            <w:tcW w:w="1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gridSpan w:val="4"/>
          </w:tcPr>
          <w:p>
            <w:pPr>
              <w:jc w:val="center"/>
              <w:spacing w:after="0" w:line="196" w:lineRule="exact"/>
              <w:rPr>
                <w:rFonts w:ascii="Times New Roman" w:cs="Times New Roman" w:eastAsia="Times New Roman" w:hAnsi="Times New Roman"/>
                <w:sz w:val="18"/>
                <w:szCs w:val="18"/>
                <w:color w:val="0000EE"/>
                <w:w w:val="78"/>
              </w:rPr>
            </w:pPr>
            <w:hyperlink r:id="rId28">
              <w:r>
                <w:rPr>
                  <w:rFonts w:ascii="Times New Roman" w:cs="Times New Roman" w:eastAsia="Times New Roman" w:hAnsi="Times New Roman"/>
                  <w:sz w:val="18"/>
                  <w:szCs w:val="18"/>
                  <w:color w:val="0000EE"/>
                  <w:w w:val="78"/>
                </w:rPr>
                <w:t>S-1/A</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7"/>
          </w:tcPr>
          <w:p>
            <w:pPr>
              <w:jc w:val="center"/>
              <w:ind w:right="300"/>
              <w:spacing w:after="0" w:line="196"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333-206437</w:t>
              </w:r>
            </w:hyperlink>
          </w:p>
        </w:tc>
        <w:tc>
          <w:tcPr>
            <w:tcW w:w="840" w:type="dxa"/>
            <w:vAlign w:val="bottom"/>
            <w:gridSpan w:val="7"/>
          </w:tcPr>
          <w:p>
            <w:pPr>
              <w:jc w:val="center"/>
              <w:ind w:left="190"/>
              <w:spacing w:after="0" w:line="196"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580" w:type="dxa"/>
            <w:vAlign w:val="bottom"/>
          </w:tcPr>
          <w:p>
            <w:pPr>
              <w:spacing w:after="0"/>
              <w:rPr>
                <w:sz w:val="17"/>
                <w:szCs w:val="17"/>
                <w:color w:val="auto"/>
              </w:rPr>
            </w:pPr>
          </w:p>
        </w:tc>
        <w:tc>
          <w:tcPr>
            <w:tcW w:w="1020" w:type="dxa"/>
            <w:vAlign w:val="bottom"/>
            <w:gridSpan w:val="4"/>
          </w:tcPr>
          <w:p>
            <w:pPr>
              <w:jc w:val="center"/>
              <w:ind w:left="110"/>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09/25/2015</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under 2015 Equity Incentive Plan.</w:t>
              </w:r>
            </w:hyperlink>
          </w:p>
        </w:tc>
        <w:tc>
          <w:tcPr>
            <w:tcW w:w="1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88"/>
              </w:rPr>
            </w:pPr>
            <w:hyperlink r:id="rId29">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6</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Form of Restricted Stock Unit Grant Notice and Restricted Stock</w:t>
              </w:r>
            </w:hyperlink>
          </w:p>
        </w:tc>
        <w:tc>
          <w:tcPr>
            <w:tcW w:w="14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gridSpan w:val="4"/>
          </w:tcPr>
          <w:p>
            <w:pPr>
              <w:jc w:val="center"/>
              <w:spacing w:after="0" w:line="196" w:lineRule="exact"/>
              <w:rPr>
                <w:rFonts w:ascii="Times New Roman" w:cs="Times New Roman" w:eastAsia="Times New Roman" w:hAnsi="Times New Roman"/>
                <w:sz w:val="18"/>
                <w:szCs w:val="18"/>
                <w:color w:val="0000EE"/>
                <w:w w:val="78"/>
              </w:rPr>
            </w:pPr>
            <w:hyperlink r:id="rId29">
              <w:r>
                <w:rPr>
                  <w:rFonts w:ascii="Times New Roman" w:cs="Times New Roman" w:eastAsia="Times New Roman" w:hAnsi="Times New Roman"/>
                  <w:sz w:val="18"/>
                  <w:szCs w:val="18"/>
                  <w:color w:val="0000EE"/>
                  <w:w w:val="78"/>
                </w:rPr>
                <w:t>S-1/A</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7"/>
          </w:tcPr>
          <w:p>
            <w:pPr>
              <w:jc w:val="center"/>
              <w:ind w:right="300"/>
              <w:spacing w:after="0" w:line="196"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333-206437</w:t>
              </w:r>
            </w:hyperlink>
          </w:p>
        </w:tc>
        <w:tc>
          <w:tcPr>
            <w:tcW w:w="760" w:type="dxa"/>
            <w:vAlign w:val="bottom"/>
            <w:gridSpan w:val="6"/>
          </w:tcPr>
          <w:p>
            <w:pPr>
              <w:jc w:val="center"/>
              <w:ind w:left="270"/>
              <w:spacing w:after="0" w:line="196"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gridSpan w:val="4"/>
          </w:tcPr>
          <w:p>
            <w:pPr>
              <w:jc w:val="center"/>
              <w:ind w:left="110"/>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09/25/2015</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Unit Agreement under 2015 Equity Incentive Plan.</w:t>
              </w:r>
            </w:hyperlink>
          </w:p>
        </w:tc>
        <w:tc>
          <w:tcPr>
            <w:tcW w:w="1020" w:type="dxa"/>
            <w:vAlign w:val="bottom"/>
            <w:tcBorders>
              <w:top w:val="single" w:sz="8" w:color="0000EE"/>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88"/>
              </w:rPr>
            </w:pPr>
            <w:hyperlink r:id="rId30">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7</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gridSpan w:val="21"/>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Form of Performance Stock Option Grant Notice and Stock Option</w:t>
              </w:r>
            </w:hyperlink>
          </w:p>
        </w:tc>
        <w:tc>
          <w:tcPr>
            <w:tcW w:w="380" w:type="dxa"/>
            <w:vAlign w:val="bottom"/>
          </w:tcPr>
          <w:p>
            <w:pPr>
              <w:spacing w:after="0"/>
              <w:rPr>
                <w:sz w:val="17"/>
                <w:szCs w:val="17"/>
                <w:color w:val="auto"/>
              </w:rPr>
            </w:pPr>
          </w:p>
        </w:tc>
        <w:tc>
          <w:tcPr>
            <w:tcW w:w="700" w:type="dxa"/>
            <w:vAlign w:val="bottom"/>
            <w:gridSpan w:val="5"/>
          </w:tcPr>
          <w:p>
            <w:pPr>
              <w:jc w:val="center"/>
              <w:ind w:right="400"/>
              <w:spacing w:after="0" w:line="196" w:lineRule="exact"/>
              <w:rPr>
                <w:rFonts w:ascii="Times New Roman" w:cs="Times New Roman" w:eastAsia="Times New Roman" w:hAnsi="Times New Roman"/>
                <w:sz w:val="18"/>
                <w:szCs w:val="18"/>
                <w:color w:val="0000EE"/>
                <w:w w:val="80"/>
              </w:rPr>
            </w:pPr>
            <w:hyperlink r:id="rId30">
              <w:r>
                <w:rPr>
                  <w:rFonts w:ascii="Times New Roman" w:cs="Times New Roman" w:eastAsia="Times New Roman" w:hAnsi="Times New Roman"/>
                  <w:sz w:val="18"/>
                  <w:szCs w:val="18"/>
                  <w:color w:val="0000EE"/>
                  <w:w w:val="80"/>
                </w:rPr>
                <w:t>10-K</w:t>
              </w:r>
            </w:hyperlink>
          </w:p>
        </w:tc>
        <w:tc>
          <w:tcPr>
            <w:tcW w:w="980" w:type="dxa"/>
            <w:vAlign w:val="bottom"/>
            <w:gridSpan w:val="6"/>
          </w:tcPr>
          <w:p>
            <w:pPr>
              <w:jc w:val="center"/>
              <w:ind w:left="110"/>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001-37581</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6"/>
          </w:tcPr>
          <w:p>
            <w:pPr>
              <w:jc w:val="center"/>
              <w:ind w:left="270"/>
              <w:spacing w:after="0" w:line="196" w:lineRule="exact"/>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gridSpan w:val="4"/>
          </w:tcPr>
          <w:p>
            <w:pPr>
              <w:jc w:val="center"/>
              <w:ind w:left="110"/>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03/18/2019</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Agreement used in connection with the 2015 Equity Incentive</w:t>
              </w:r>
            </w:hyperlink>
          </w:p>
        </w:tc>
        <w:tc>
          <w:tcPr>
            <w:tcW w:w="3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Plan.</w:t>
              </w:r>
            </w:hyperlink>
          </w:p>
        </w:tc>
        <w:tc>
          <w:tcPr>
            <w:tcW w:w="38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88"/>
              </w:rPr>
            </w:pPr>
            <w:hyperlink r:id="rId31">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8</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gridSpan w:val="21"/>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Performance Restricted Stock Unit Grant Notice and</w:t>
              </w:r>
            </w:hyperlink>
          </w:p>
        </w:tc>
        <w:tc>
          <w:tcPr>
            <w:tcW w:w="380" w:type="dxa"/>
            <w:vAlign w:val="bottom"/>
          </w:tcPr>
          <w:p>
            <w:pPr>
              <w:spacing w:after="0"/>
              <w:rPr>
                <w:sz w:val="17"/>
                <w:szCs w:val="17"/>
                <w:color w:val="auto"/>
              </w:rPr>
            </w:pPr>
          </w:p>
        </w:tc>
        <w:tc>
          <w:tcPr>
            <w:tcW w:w="700" w:type="dxa"/>
            <w:vAlign w:val="bottom"/>
            <w:gridSpan w:val="5"/>
          </w:tcPr>
          <w:p>
            <w:pPr>
              <w:jc w:val="center"/>
              <w:ind w:right="400"/>
              <w:spacing w:after="0" w:line="196" w:lineRule="exact"/>
              <w:rPr>
                <w:rFonts w:ascii="Times New Roman" w:cs="Times New Roman" w:eastAsia="Times New Roman" w:hAnsi="Times New Roman"/>
                <w:sz w:val="18"/>
                <w:szCs w:val="18"/>
                <w:color w:val="0000EE"/>
                <w:w w:val="80"/>
              </w:rPr>
            </w:pPr>
            <w:hyperlink r:id="rId31">
              <w:r>
                <w:rPr>
                  <w:rFonts w:ascii="Times New Roman" w:cs="Times New Roman" w:eastAsia="Times New Roman" w:hAnsi="Times New Roman"/>
                  <w:sz w:val="18"/>
                  <w:szCs w:val="18"/>
                  <w:color w:val="0000EE"/>
                  <w:w w:val="80"/>
                </w:rPr>
                <w:t>10-K</w:t>
              </w:r>
            </w:hyperlink>
          </w:p>
        </w:tc>
        <w:tc>
          <w:tcPr>
            <w:tcW w:w="980" w:type="dxa"/>
            <w:vAlign w:val="bottom"/>
            <w:gridSpan w:val="6"/>
          </w:tcPr>
          <w:p>
            <w:pPr>
              <w:jc w:val="center"/>
              <w:ind w:left="110"/>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001-37581</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7"/>
          </w:tcPr>
          <w:p>
            <w:pPr>
              <w:jc w:val="center"/>
              <w:ind w:left="190"/>
              <w:spacing w:after="0" w:line="196"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580" w:type="dxa"/>
            <w:vAlign w:val="bottom"/>
          </w:tcPr>
          <w:p>
            <w:pPr>
              <w:spacing w:after="0"/>
              <w:rPr>
                <w:sz w:val="17"/>
                <w:szCs w:val="17"/>
                <w:color w:val="auto"/>
              </w:rPr>
            </w:pPr>
          </w:p>
        </w:tc>
        <w:tc>
          <w:tcPr>
            <w:tcW w:w="1020" w:type="dxa"/>
            <w:vAlign w:val="bottom"/>
            <w:gridSpan w:val="4"/>
          </w:tcPr>
          <w:p>
            <w:pPr>
              <w:jc w:val="center"/>
              <w:ind w:left="110"/>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03/18/2019</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Restricted Stock Unit Award Agreement used in connection with</w:t>
              </w:r>
            </w:hyperlink>
          </w:p>
        </w:tc>
        <w:tc>
          <w:tcPr>
            <w:tcW w:w="16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the 2015 Equity Incentive Plan.</w:t>
              </w:r>
            </w:hyperlink>
          </w:p>
        </w:tc>
        <w:tc>
          <w:tcPr>
            <w:tcW w:w="2560" w:type="dxa"/>
            <w:vAlign w:val="bottom"/>
            <w:gridSpan w:val="13"/>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Opinion of Cooley LLP.</w:t>
            </w:r>
          </w:p>
        </w:tc>
        <w:tc>
          <w:tcPr>
            <w:tcW w:w="3100" w:type="dxa"/>
            <w:vAlign w:val="bottom"/>
            <w:gridSpan w:val="16"/>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gridSpan w:val="5"/>
          </w:tcPr>
          <w:p>
            <w:pPr>
              <w:jc w:val="center"/>
              <w:ind w:right="46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5"/>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5"/>
          </w:tcPr>
          <w:p>
            <w:pPr>
              <w:jc w:val="center"/>
              <w:ind w:right="82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center"/>
              <w:ind w:right="86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Cooley LLP (included in Exhibit 5.1).</w:t>
            </w:r>
          </w:p>
        </w:tc>
        <w:tc>
          <w:tcPr>
            <w:tcW w:w="1260" w:type="dxa"/>
            <w:vAlign w:val="bottom"/>
            <w:gridSpan w:val="9"/>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gridSpan w:val="5"/>
          </w:tcPr>
          <w:p>
            <w:pPr>
              <w:jc w:val="center"/>
              <w:ind w:right="46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5"/>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5"/>
          </w:tcPr>
          <w:p>
            <w:pPr>
              <w:jc w:val="center"/>
              <w:ind w:right="82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center"/>
              <w:ind w:right="86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400" w:type="dxa"/>
            <w:vAlign w:val="bottom"/>
            <w:gridSpan w:val="8"/>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380" w:type="dxa"/>
            <w:vAlign w:val="bottom"/>
          </w:tcPr>
          <w:p>
            <w:pPr>
              <w:spacing w:after="0"/>
              <w:rPr>
                <w:sz w:val="17"/>
                <w:szCs w:val="17"/>
                <w:color w:val="auto"/>
              </w:rPr>
            </w:pPr>
          </w:p>
        </w:tc>
        <w:tc>
          <w:tcPr>
            <w:tcW w:w="700" w:type="dxa"/>
            <w:vAlign w:val="bottom"/>
            <w:gridSpan w:val="5"/>
          </w:tcPr>
          <w:p>
            <w:pPr>
              <w:jc w:val="center"/>
              <w:ind w:right="46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5"/>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5"/>
          </w:tcPr>
          <w:p>
            <w:pPr>
              <w:jc w:val="center"/>
              <w:ind w:right="82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center"/>
              <w:ind w:right="86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180" w:type="dxa"/>
            <w:vAlign w:val="bottom"/>
            <w:gridSpan w:val="11"/>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24.</w:t>
            </w:r>
            <w:r>
              <w:rPr>
                <w:rFonts w:ascii="Times New Roman" w:cs="Times New Roman" w:eastAsia="Times New Roman" w:hAnsi="Times New Roman"/>
                <w:sz w:val="18"/>
                <w:szCs w:val="18"/>
                <w:u w:val="single" w:color="auto"/>
                <w:color w:val="0000EE"/>
                <w:w w:val="98"/>
              </w:rPr>
              <w:t>1*</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of this Form S-</w:t>
            </w:r>
          </w:p>
        </w:tc>
        <w:tc>
          <w:tcPr>
            <w:tcW w:w="380" w:type="dxa"/>
            <w:vAlign w:val="bottom"/>
          </w:tcPr>
          <w:p>
            <w:pPr>
              <w:spacing w:after="0"/>
              <w:rPr>
                <w:sz w:val="17"/>
                <w:szCs w:val="17"/>
                <w:color w:val="auto"/>
              </w:rPr>
            </w:pPr>
          </w:p>
        </w:tc>
        <w:tc>
          <w:tcPr>
            <w:tcW w:w="700" w:type="dxa"/>
            <w:vAlign w:val="bottom"/>
            <w:gridSpan w:val="5"/>
          </w:tcPr>
          <w:p>
            <w:pPr>
              <w:jc w:val="center"/>
              <w:ind w:right="46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5"/>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5"/>
          </w:tcPr>
          <w:p>
            <w:pPr>
              <w:jc w:val="center"/>
              <w:ind w:right="82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center"/>
              <w:ind w:right="86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2"/>
              </w:rPr>
              <w:t>8).</w:t>
            </w: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107*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Filing Fee Table</w:t>
            </w:r>
          </w:p>
        </w:tc>
        <w:tc>
          <w:tcPr>
            <w:tcW w:w="3660" w:type="dxa"/>
            <w:vAlign w:val="bottom"/>
            <w:gridSpan w:val="17"/>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gridSpan w:val="5"/>
          </w:tcPr>
          <w:p>
            <w:pPr>
              <w:jc w:val="center"/>
              <w:ind w:right="46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5"/>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5"/>
          </w:tcPr>
          <w:p>
            <w:pPr>
              <w:jc w:val="center"/>
              <w:ind w:right="82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center"/>
              <w:ind w:right="860"/>
              <w:spacing w:after="0" w:line="196" w:lineRule="exact"/>
              <w:rPr>
                <w:sz w:val="20"/>
                <w:szCs w:val="20"/>
                <w:color w:val="auto"/>
              </w:rPr>
            </w:pPr>
            <w:r>
              <w:rPr>
                <w:rFonts w:ascii="Times New Roman" w:cs="Times New Roman" w:eastAsia="Times New Roman" w:hAnsi="Times New Roman"/>
                <w:sz w:val="18"/>
                <w:szCs w:val="18"/>
                <w:color w:val="0000EE"/>
                <w:w w:val="88"/>
              </w:rPr>
              <w:t>–</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Wayne, Commonwealth of Pennsylvania, on this 7th day of May, 2024.</w:t>
      </w:r>
    </w:p>
    <w:p>
      <w:pPr>
        <w:spacing w:after="0" w:line="1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claris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Neal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Neal Walker</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now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ll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ersons</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resents</w:t>
      </w:r>
      <w:r>
        <w:rPr>
          <w:rFonts w:ascii="Times New Roman" w:cs="Times New Roman" w:eastAsia="Times New Roman" w:hAnsi="Times New Roman"/>
          <w:sz w:val="18"/>
          <w:szCs w:val="18"/>
          <w:color w:val="auto"/>
        </w:rPr>
        <w:t>, that each person whose signature appears below constitutes and appoints Neal Walker and Kevin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Balthaser, and each of them, as his or her true and lawful attorneys-in-fact and agents, each with the full power of substitution, for him or her and in their name, place or stead,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674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25"/>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Neal Walker</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Interim President, Chief Executive Officer and 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2024</w:t>
            </w:r>
          </w:p>
        </w:tc>
        <w:tc>
          <w:tcPr>
            <w:tcW w:w="0" w:type="dxa"/>
            <w:vAlign w:val="bottom"/>
          </w:tcPr>
          <w:p>
            <w:pPr>
              <w:spacing w:after="0"/>
              <w:rPr>
                <w:sz w:val="1"/>
                <w:szCs w:val="1"/>
                <w:color w:val="auto"/>
              </w:rPr>
            </w:pP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Neal Walker</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Balthaser</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2024</w:t>
            </w:r>
          </w:p>
        </w:tc>
        <w:tc>
          <w:tcPr>
            <w:tcW w:w="0" w:type="dxa"/>
            <w:vAlign w:val="bottom"/>
          </w:tcPr>
          <w:p>
            <w:pPr>
              <w:spacing w:after="0"/>
              <w:rPr>
                <w:sz w:val="1"/>
                <w:szCs w:val="1"/>
                <w:color w:val="auto"/>
              </w:rPr>
            </w:pP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Kevin Balthaser</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Molineaux</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May 7, 2024</w:t>
            </w:r>
          </w:p>
        </w:tc>
        <w:tc>
          <w:tcPr>
            <w:tcW w:w="0" w:type="dxa"/>
            <w:vAlign w:val="bottom"/>
          </w:tcPr>
          <w:p>
            <w:pPr>
              <w:spacing w:after="0"/>
              <w:rPr>
                <w:sz w:val="1"/>
                <w:szCs w:val="1"/>
                <w:color w:val="auto"/>
              </w:rPr>
            </w:pPr>
          </w:p>
        </w:tc>
      </w:tr>
      <w:tr>
        <w:trPr>
          <w:trHeight w:val="88"/>
        </w:trPr>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Christopher Molineaux</w:t>
            </w:r>
          </w:p>
        </w:tc>
        <w:tc>
          <w:tcPr>
            <w:tcW w:w="120" w:type="dxa"/>
            <w:vAlign w:val="bottom"/>
          </w:tcPr>
          <w:p>
            <w:pPr>
              <w:spacing w:after="0"/>
              <w:rPr>
                <w:sz w:val="7"/>
                <w:szCs w:val="7"/>
                <w:color w:val="auto"/>
              </w:rPr>
            </w:pPr>
          </w:p>
        </w:tc>
        <w:tc>
          <w:tcPr>
            <w:tcW w:w="6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Anand Mehra, M.D.</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May 7, 2024</w:t>
            </w:r>
          </w:p>
        </w:tc>
        <w:tc>
          <w:tcPr>
            <w:tcW w:w="0" w:type="dxa"/>
            <w:vAlign w:val="bottom"/>
          </w:tcPr>
          <w:p>
            <w:pPr>
              <w:spacing w:after="0"/>
              <w:rPr>
                <w:sz w:val="1"/>
                <w:szCs w:val="1"/>
                <w:color w:val="auto"/>
              </w:rPr>
            </w:pPr>
          </w:p>
        </w:tc>
      </w:tr>
      <w:tr>
        <w:trPr>
          <w:trHeight w:val="88"/>
        </w:trPr>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Anand Mehra, M.D.</w:t>
            </w:r>
          </w:p>
        </w:tc>
        <w:tc>
          <w:tcPr>
            <w:tcW w:w="120" w:type="dxa"/>
            <w:vAlign w:val="bottom"/>
          </w:tcPr>
          <w:p>
            <w:pPr>
              <w:spacing w:after="0"/>
              <w:rPr>
                <w:sz w:val="7"/>
                <w:szCs w:val="7"/>
                <w:color w:val="auto"/>
              </w:rPr>
            </w:pPr>
          </w:p>
        </w:tc>
        <w:tc>
          <w:tcPr>
            <w:tcW w:w="6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Humphries</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May 7, 2024</w:t>
            </w:r>
          </w:p>
        </w:tc>
        <w:tc>
          <w:tcPr>
            <w:tcW w:w="0" w:type="dxa"/>
            <w:vAlign w:val="bottom"/>
          </w:tcPr>
          <w:p>
            <w:pPr>
              <w:spacing w:after="0"/>
              <w:rPr>
                <w:sz w:val="1"/>
                <w:szCs w:val="1"/>
                <w:color w:val="auto"/>
              </w:rPr>
            </w:pPr>
          </w:p>
        </w:tc>
      </w:tr>
      <w:tr>
        <w:trPr>
          <w:trHeight w:val="88"/>
        </w:trPr>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William Humphries</w:t>
            </w:r>
          </w:p>
        </w:tc>
        <w:tc>
          <w:tcPr>
            <w:tcW w:w="120" w:type="dxa"/>
            <w:vAlign w:val="bottom"/>
          </w:tcPr>
          <w:p>
            <w:pPr>
              <w:spacing w:after="0"/>
              <w:rPr>
                <w:sz w:val="7"/>
                <w:szCs w:val="7"/>
                <w:color w:val="auto"/>
              </w:rPr>
            </w:pPr>
          </w:p>
        </w:tc>
        <w:tc>
          <w:tcPr>
            <w:tcW w:w="6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Powell</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2024</w:t>
            </w:r>
          </w:p>
        </w:tc>
        <w:tc>
          <w:tcPr>
            <w:tcW w:w="0" w:type="dxa"/>
            <w:vAlign w:val="bottom"/>
          </w:tcPr>
          <w:p>
            <w:pPr>
              <w:spacing w:after="0"/>
              <w:rPr>
                <w:sz w:val="1"/>
                <w:szCs w:val="1"/>
                <w:color w:val="auto"/>
              </w:rPr>
            </w:pP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Powell</w:t>
            </w:r>
          </w:p>
        </w:tc>
        <w:tc>
          <w:tcPr>
            <w:tcW w:w="1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Schiff</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2024</w:t>
            </w:r>
          </w:p>
        </w:tc>
        <w:tc>
          <w:tcPr>
            <w:tcW w:w="0" w:type="dxa"/>
            <w:vAlign w:val="bottom"/>
          </w:tcPr>
          <w:p>
            <w:pPr>
              <w:spacing w:after="0"/>
              <w:rPr>
                <w:sz w:val="1"/>
                <w:szCs w:val="1"/>
                <w:color w:val="auto"/>
              </w:rPr>
            </w:pP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Schiff</w:t>
            </w:r>
          </w:p>
        </w:tc>
        <w:tc>
          <w:tcPr>
            <w:tcW w:w="1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Bryan Reasons</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2024</w:t>
            </w:r>
          </w:p>
        </w:tc>
        <w:tc>
          <w:tcPr>
            <w:tcW w:w="0" w:type="dxa"/>
            <w:vAlign w:val="bottom"/>
          </w:tcPr>
          <w:p>
            <w:pPr>
              <w:spacing w:after="0"/>
              <w:rPr>
                <w:sz w:val="1"/>
                <w:szCs w:val="1"/>
                <w:color w:val="auto"/>
              </w:rPr>
            </w:pP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Bryan Reasons</w:t>
            </w:r>
          </w:p>
        </w:tc>
        <w:tc>
          <w:tcPr>
            <w:tcW w:w="1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Maxine Gowen</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2024</w:t>
            </w:r>
          </w:p>
        </w:tc>
        <w:tc>
          <w:tcPr>
            <w:tcW w:w="0" w:type="dxa"/>
            <w:vAlign w:val="bottom"/>
          </w:tcPr>
          <w:p>
            <w:pPr>
              <w:spacing w:after="0"/>
              <w:rPr>
                <w:sz w:val="1"/>
                <w:szCs w:val="1"/>
                <w:color w:val="auto"/>
              </w:rPr>
            </w:pP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Maxine Gowen</w:t>
            </w:r>
          </w:p>
        </w:tc>
        <w:tc>
          <w:tcPr>
            <w:tcW w:w="1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Vincent Milano</w:t>
            </w: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2024</w:t>
            </w:r>
          </w:p>
        </w:tc>
        <w:tc>
          <w:tcPr>
            <w:tcW w:w="0" w:type="dxa"/>
            <w:vAlign w:val="bottom"/>
          </w:tcPr>
          <w:p>
            <w:pPr>
              <w:spacing w:after="0"/>
              <w:rPr>
                <w:sz w:val="1"/>
                <w:szCs w:val="1"/>
                <w:color w:val="auto"/>
              </w:rPr>
            </w:pP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Vincent Milano</w:t>
            </w:r>
          </w:p>
        </w:tc>
        <w:tc>
          <w:tcPr>
            <w:tcW w:w="1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05890" cy="505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140589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Ballantyne</w:t>
      </w:r>
    </w:p>
    <w:p>
      <w:pPr>
        <w:spacing w:after="0" w:line="27" w:lineRule="exact"/>
        <w:rPr>
          <w:sz w:val="20"/>
          <w:szCs w:val="20"/>
          <w:color w:val="auto"/>
        </w:rPr>
      </w:pPr>
    </w:p>
    <w:p>
      <w:pPr>
        <w:ind w:right="9360" w:firstLine="8"/>
        <w:spacing w:after="0" w:line="290" w:lineRule="auto"/>
        <w:tabs>
          <w:tab w:leader="none" w:pos="1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+1 703 456 8084 mballantyne@cooley.com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Aclaris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701 Lee Road, Suite 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Wayne, PA 19087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acted as counsel to Aclaris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covering the offering of up to 2,835,795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$0.00001 per share, pursuant to the Company’s 2015 Equity Incentive Plan (the “</w:t>
      </w:r>
      <w:r>
        <w:rPr>
          <w:rFonts w:ascii="Times New Roman" w:cs="Times New Roman" w:eastAsia="Times New Roman" w:hAnsi="Times New Roman"/>
          <w:sz w:val="18"/>
          <w:szCs w:val="18"/>
          <w:b w:val="1"/>
          <w:bCs w:val="1"/>
          <w:i w:val="1"/>
          <w:iCs w:val="1"/>
          <w:color w:val="auto"/>
        </w:rPr>
        <w:t>2015 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related prospectus, (b) the Company’s certificate of incorporation and bylaws, each as currently in effect, (c) the 2015 Plan,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2015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Reston Town Center 11951 Freedom Drive 14th Floor Reston, VA 20190-5656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+1 703 456 8000 f: +1 703 456 8100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05890"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05890" cy="50609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Ballantyne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Mark Ballantyne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Cooley LLP Reston Town Center 11951 Freedom Drive 14th Floor Reston, VA 20190-5656</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 +1 703 456 8000 f: +1 703 456 8100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8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Aclaris Therapeutics, Inc. of our report dated February 27, 2024 relating to the financial statements and the effectiveness of internal control over financial reporting, which appears in Aclaris Therapeutics, Inc.'s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2024</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Aclaris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800" w:type="dxa"/>
            <w:vAlign w:val="bottom"/>
            <w:tcBorders>
              <w:top w:val="single" w:sz="8" w:color="auto"/>
              <w:left w:val="single" w:sz="8" w:color="auto"/>
              <w:right w:val="single" w:sz="8" w:color="auto"/>
            </w:tcBorders>
          </w:tcPr>
          <w:p>
            <w:pPr>
              <w:spacing w:after="0"/>
              <w:rPr>
                <w:sz w:val="16"/>
                <w:szCs w:val="16"/>
                <w:color w:val="auto"/>
              </w:rPr>
            </w:pPr>
          </w:p>
        </w:tc>
        <w:tc>
          <w:tcPr>
            <w:tcW w:w="3380" w:type="dxa"/>
            <w:vAlign w:val="bottom"/>
            <w:tcBorders>
              <w:top w:val="single" w:sz="8" w:color="auto"/>
              <w:right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440" w:type="dxa"/>
            <w:vAlign w:val="bottom"/>
            <w:tcBorders>
              <w:top w:val="single" w:sz="8" w:color="auto"/>
              <w:right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84"/>
        </w:trPr>
        <w:tc>
          <w:tcPr>
            <w:tcW w:w="800" w:type="dxa"/>
            <w:vAlign w:val="bottom"/>
            <w:tcBorders>
              <w:left w:val="single" w:sz="8" w:color="auto"/>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Security</w:t>
            </w:r>
          </w:p>
        </w:tc>
        <w:tc>
          <w:tcPr>
            <w:tcW w:w="33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Calculation</w:t>
            </w:r>
          </w:p>
        </w:tc>
        <w:tc>
          <w:tcPr>
            <w:tcW w:w="11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4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9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270"/>
        </w:trPr>
        <w:tc>
          <w:tcPr>
            <w:tcW w:w="8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338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Security Class Title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2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3"/>
              </w:rPr>
              <w:t>Registered</w:t>
            </w:r>
            <w:r>
              <w:rPr>
                <w:rFonts w:ascii="Times New Roman" w:cs="Times New Roman" w:eastAsia="Times New Roman" w:hAnsi="Times New Roman"/>
                <w:sz w:val="29"/>
                <w:szCs w:val="29"/>
                <w:b w:val="1"/>
                <w:bCs w:val="1"/>
                <w:color w:val="auto"/>
                <w:w w:val="93"/>
                <w:vertAlign w:val="superscript"/>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Fee 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196"/>
        </w:trPr>
        <w:tc>
          <w:tcPr>
            <w:tcW w:w="800" w:type="dxa"/>
            <w:vAlign w:val="bottom"/>
            <w:tcBorders>
              <w:left w:val="single" w:sz="8" w:color="auto"/>
              <w:right w:val="single" w:sz="8" w:color="auto"/>
            </w:tcBorders>
          </w:tcPr>
          <w:p>
            <w:pPr>
              <w:ind w:left="160"/>
              <w:spacing w:after="0" w:line="196" w:lineRule="exact"/>
              <w:rPr>
                <w:sz w:val="20"/>
                <w:szCs w:val="20"/>
                <w:color w:val="auto"/>
              </w:rPr>
            </w:pPr>
            <w:r>
              <w:rPr>
                <w:rFonts w:ascii="Times New Roman" w:cs="Times New Roman" w:eastAsia="Times New Roman" w:hAnsi="Times New Roman"/>
                <w:sz w:val="18"/>
                <w:szCs w:val="18"/>
                <w:color w:val="auto"/>
              </w:rPr>
              <w:t>Equity</w:t>
            </w:r>
          </w:p>
        </w:tc>
        <w:tc>
          <w:tcPr>
            <w:tcW w:w="33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Common Stock, par value $0.00001 per</w:t>
            </w:r>
          </w:p>
        </w:tc>
        <w:tc>
          <w:tcPr>
            <w:tcW w:w="10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Other</w:t>
            </w:r>
          </w:p>
        </w:tc>
        <w:tc>
          <w:tcPr>
            <w:tcW w:w="11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4"/>
                <w:szCs w:val="14"/>
                <w:color w:val="auto"/>
              </w:rPr>
              <w:t>2,835,795</w:t>
            </w:r>
            <w:r>
              <w:rPr>
                <w:rFonts w:ascii="Times New Roman" w:cs="Times New Roman" w:eastAsia="Times New Roman" w:hAnsi="Times New Roman"/>
                <w:sz w:val="22"/>
                <w:szCs w:val="22"/>
                <w:color w:val="auto"/>
                <w:vertAlign w:val="superscript"/>
              </w:rPr>
              <w:t>(2)</w:t>
            </w:r>
          </w:p>
        </w:tc>
        <w:tc>
          <w:tcPr>
            <w:tcW w:w="14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4"/>
                <w:szCs w:val="14"/>
                <w:color w:val="auto"/>
              </w:rPr>
              <w:t>$1.21</w:t>
            </w:r>
            <w:r>
              <w:rPr>
                <w:rFonts w:ascii="Times New Roman" w:cs="Times New Roman" w:eastAsia="Times New Roman" w:hAnsi="Times New Roman"/>
                <w:sz w:val="22"/>
                <w:szCs w:val="22"/>
                <w:color w:val="auto"/>
                <w:vertAlign w:val="superscript"/>
              </w:rPr>
              <w:t>(3)</w:t>
            </w:r>
          </w:p>
        </w:tc>
        <w:tc>
          <w:tcPr>
            <w:tcW w:w="14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$3,431,311.95</w:t>
            </w:r>
          </w:p>
        </w:tc>
        <w:tc>
          <w:tcPr>
            <w:tcW w:w="98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$0.0001476</w:t>
            </w:r>
          </w:p>
        </w:tc>
        <w:tc>
          <w:tcPr>
            <w:tcW w:w="11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$506.47</w:t>
            </w:r>
          </w:p>
        </w:tc>
        <w:tc>
          <w:tcPr>
            <w:tcW w:w="0" w:type="dxa"/>
            <w:vAlign w:val="bottom"/>
          </w:tcPr>
          <w:p>
            <w:pPr>
              <w:spacing w:after="0"/>
              <w:rPr>
                <w:sz w:val="1"/>
                <w:szCs w:val="1"/>
                <w:color w:val="auto"/>
              </w:rPr>
            </w:pPr>
          </w:p>
        </w:tc>
      </w:tr>
      <w:tr>
        <w:trPr>
          <w:trHeight w:val="211"/>
        </w:trPr>
        <w:tc>
          <w:tcPr>
            <w:tcW w:w="800" w:type="dxa"/>
            <w:vAlign w:val="bottom"/>
            <w:tcBorders>
              <w:left w:val="single" w:sz="8" w:color="auto"/>
              <w:right w:val="single" w:sz="8" w:color="auto"/>
            </w:tcBorders>
          </w:tcPr>
          <w:p>
            <w:pPr>
              <w:spacing w:after="0"/>
              <w:rPr>
                <w:sz w:val="18"/>
                <w:szCs w:val="18"/>
                <w:color w:val="auto"/>
              </w:rPr>
            </w:pPr>
          </w:p>
        </w:tc>
        <w:tc>
          <w:tcPr>
            <w:tcW w:w="3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 Aclaris Therapeutics, Inc. 2015 Equity</w:t>
            </w:r>
          </w:p>
        </w:tc>
        <w:tc>
          <w:tcPr>
            <w:tcW w:w="10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Incentive Plan</w:t>
            </w:r>
          </w:p>
        </w:tc>
        <w:tc>
          <w:tcPr>
            <w:tcW w:w="10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80" w:type="dxa"/>
            <w:vAlign w:val="bottom"/>
            <w:tcBorders>
              <w:left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Offering Amount</w:t>
            </w:r>
          </w:p>
        </w:tc>
        <w:tc>
          <w:tcPr>
            <w:tcW w:w="10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$3,431,311.95</w:t>
            </w:r>
          </w:p>
        </w:tc>
        <w:tc>
          <w:tcPr>
            <w:tcW w:w="9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4180" w:type="dxa"/>
            <w:vAlign w:val="bottom"/>
            <w:tcBorders>
              <w:left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0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4180" w:type="dxa"/>
            <w:vAlign w:val="bottom"/>
            <w:tcBorders>
              <w:left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0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$506.47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right="20" w:hanging="652"/>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shares of common stock, par value $0.00001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Aclaris Therapeutics,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that become issuable under the 2015 Equity Incentive Plan (the “</w:t>
      </w:r>
      <w:r>
        <w:rPr>
          <w:rFonts w:ascii="Times New Roman" w:cs="Times New Roman" w:eastAsia="Times New Roman" w:hAnsi="Times New Roman"/>
          <w:sz w:val="18"/>
          <w:szCs w:val="18"/>
          <w:b w:val="1"/>
          <w:bCs w:val="1"/>
          <w:i w:val="1"/>
          <w:iCs w:val="1"/>
          <w:color w:val="auto"/>
        </w:rPr>
        <w:t>2015 Plan</w:t>
      </w:r>
      <w:r>
        <w:rPr>
          <w:rFonts w:ascii="Times New Roman" w:cs="Times New Roman" w:eastAsia="Times New Roman" w:hAnsi="Times New Roman"/>
          <w:sz w:val="18"/>
          <w:szCs w:val="18"/>
          <w:color w:val="auto"/>
        </w:rPr>
        <w:t>”) set forth herein by reason of any stock dividend, stock split, recapitalization, or other similar transaction effected that results in an increase to the number of outstanding shares of Registrant’s Common Stock, as applicable.</w:t>
      </w:r>
    </w:p>
    <w:p>
      <w:pPr>
        <w:spacing w:after="0" w:line="183"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were added to the shares authorized for issuance under the 2015 Plan on January 1, 2024 pursuant to an “evergreen” provision contained in the 2015 Plan.</w:t>
      </w:r>
    </w:p>
    <w:p>
      <w:pPr>
        <w:spacing w:after="0" w:line="161"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Rule 457(h) promulgated under the Securities Act solely for the purpose of calculating the registration fee. The offering price per share and the aggregate offering price are based upon a per share price of $1.21, which is the average of the high and low prices per share of the Registrant’s Common Stock on April 30, 2024,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upperLetter"/>
      <w:start w:val="20"/>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jpeg"/><Relationship Id="rId35" Type="http://schemas.openxmlformats.org/officeDocument/2006/relationships/image" Target="media/image14.png"/><Relationship Id="rId36" Type="http://schemas.openxmlformats.org/officeDocument/2006/relationships/image" Target="media/image15.jpe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17" Type="http://schemas.openxmlformats.org/officeDocument/2006/relationships/hyperlink" Target="https://www.sec.gov/Archives/edgar/data/1557746/000110465915070883/a15-21110_1s8.htm" TargetMode="External"/><Relationship Id="rId18" Type="http://schemas.openxmlformats.org/officeDocument/2006/relationships/hyperlink" Target="https://www.sec.gov/ix?doc=/Archives/edgar/data/1557746/000155837024001753/acrs-20231231x10k.htm" TargetMode="External"/><Relationship Id="rId19" Type="http://schemas.openxmlformats.org/officeDocument/2006/relationships/hyperlink" Target="https://www.sec.gov/ix?doc=/Archives/edgar/data/1557746/000155837024000373/acrs-20240115x8k.htm" TargetMode="External"/><Relationship Id="rId20" Type="http://schemas.openxmlformats.org/officeDocument/2006/relationships/hyperlink" Target="https://www.sec.gov/ix?doc=/Archives/edgar/data/1557746/000155837024000769/acrs-20240131x8k.htm" TargetMode="External"/><Relationship Id="rId21" Type="http://schemas.openxmlformats.org/officeDocument/2006/relationships/hyperlink" Target="https://www.sec.gov/ix?doc=/Archives/edgar/data/1557746/000155837024003572/acrs-20240314x8k.htm" TargetMode="External"/><Relationship Id="rId22" Type="http://schemas.openxmlformats.org/officeDocument/2006/relationships/hyperlink" Target="https://www.sec.gov/Archives/edgar/data/1557746/000110465915068921/a15-8156_98a12b.htm" TargetMode="External"/><Relationship Id="rId24" Type="http://schemas.openxmlformats.org/officeDocument/2006/relationships/hyperlink" Target="http://www.sec.gov/Archives/edgar/data/1557746/000110465915070341/a15-21034_1ex3d1.htm" TargetMode="External"/><Relationship Id="rId25" Type="http://schemas.openxmlformats.org/officeDocument/2006/relationships/hyperlink" Target="http://www.sec.gov/Archives/edgar/data/1557746/000155837023013491/acrs-20230630xex3d2.htm" TargetMode="External"/><Relationship Id="rId26" Type="http://schemas.openxmlformats.org/officeDocument/2006/relationships/hyperlink" Target="http://www.sec.gov/Archives/edgar/data/1557746/000155837020007743/tmb-20200623xex3d1.htm" TargetMode="External"/><Relationship Id="rId27" Type="http://schemas.openxmlformats.org/officeDocument/2006/relationships/hyperlink" Target="http://www.sec.gov/Archives/edgar/data/1557746/000110465915070883/a15-21110_1ex4d6.htm" TargetMode="External"/><Relationship Id="rId28" Type="http://schemas.openxmlformats.org/officeDocument/2006/relationships/hyperlink" Target="http://www.sec.gov/Archives/edgar/data/1557746/000104746915007533/a2225995zex-10_10.htm" TargetMode="External"/><Relationship Id="rId29" Type="http://schemas.openxmlformats.org/officeDocument/2006/relationships/hyperlink" Target="http://www.sec.gov/Archives/edgar/data/1557746/000104746915007533/a2225995zex-10_11.htm" TargetMode="External"/><Relationship Id="rId30" Type="http://schemas.openxmlformats.org/officeDocument/2006/relationships/hyperlink" Target="http://www.sec.gov/Archives/edgar/data/1557746/000155837019002211/acrs-20181231ex10112f66b.htm" TargetMode="External"/><Relationship Id="rId31" Type="http://schemas.openxmlformats.org/officeDocument/2006/relationships/hyperlink" Target="http://www.sec.gov/Archives/edgar/data/1557746/000155837019002211/acrs-20181231ex1012720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2024-05-07T15:28:55Z</dcterms:created>
  <dcterms:modified xsi:type="dcterms:W3CDTF">2024-05-07T15:28:55Z</dcterms:modified>
</cp:coreProperties>
</file>