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4352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43521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7"/>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5"/>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RA CAPITAL MANAGEMENT,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5"/>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0000EE"/>
            </w:tcBorders>
            <w:gridSpan w:val="2"/>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LLC</w:t>
              </w:r>
            </w:hyperlink>
          </w:p>
        </w:tc>
        <w:tc>
          <w:tcPr>
            <w:tcW w:w="900" w:type="dxa"/>
            <w:vAlign w:val="bottom"/>
            <w:tcBorders>
              <w:top w:val="single" w:sz="8" w:color="0000EE"/>
            </w:tcBorders>
          </w:tcPr>
          <w:p>
            <w:pPr>
              <w:spacing w:after="0"/>
              <w:rPr>
                <w:sz w:val="19"/>
                <w:szCs w:val="19"/>
                <w:color w:val="auto"/>
              </w:rPr>
            </w:pPr>
          </w:p>
        </w:tc>
        <w:tc>
          <w:tcPr>
            <w:tcW w:w="112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0000FF"/>
              </w:rPr>
              <w:t>10/07/2015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color w:val="auto"/>
              </w:rPr>
              <w:t>(Last)</w:t>
            </w:r>
          </w:p>
        </w:tc>
        <w:tc>
          <w:tcPr>
            <w:tcW w:w="900" w:type="dxa"/>
            <w:vAlign w:val="bottom"/>
          </w:tcPr>
          <w:p>
            <w:pPr>
              <w:jc w:val="center"/>
              <w:ind w:right="82"/>
              <w:spacing w:after="0"/>
              <w:rPr>
                <w:sz w:val="20"/>
                <w:szCs w:val="20"/>
                <w:color w:val="auto"/>
              </w:rPr>
            </w:pPr>
            <w:r>
              <w:rPr>
                <w:rFonts w:ascii="Arial" w:cs="Arial" w:eastAsia="Arial" w:hAnsi="Arial"/>
                <w:sz w:val="14"/>
                <w:szCs w:val="14"/>
                <w:color w:val="auto"/>
                <w:w w:val="92"/>
              </w:rPr>
              <w:t>(First)</w:t>
            </w:r>
          </w:p>
        </w:tc>
        <w:tc>
          <w:tcPr>
            <w:tcW w:w="142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0000FF"/>
              </w:rPr>
              <w:t>20 PARK PLAZA, SUITE 1200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40" w:type="dxa"/>
            <w:vAlign w:val="bottom"/>
            <w:gridSpan w:val="4"/>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900" w:type="dxa"/>
            <w:vAlign w:val="bottom"/>
          </w:tcPr>
          <w:p>
            <w:pPr>
              <w:jc w:val="center"/>
              <w:ind w:right="142"/>
              <w:spacing w:after="0"/>
              <w:rPr>
                <w:sz w:val="20"/>
                <w:szCs w:val="20"/>
                <w:color w:val="auto"/>
              </w:rPr>
            </w:pPr>
            <w:r>
              <w:rPr>
                <w:rFonts w:ascii="Arial" w:cs="Arial" w:eastAsia="Arial" w:hAnsi="Arial"/>
                <w:sz w:val="18"/>
                <w:szCs w:val="18"/>
                <w:color w:val="0000FF"/>
              </w:rPr>
              <w:t>MA</w:t>
            </w:r>
          </w:p>
        </w:tc>
        <w:tc>
          <w:tcPr>
            <w:tcW w:w="1120" w:type="dxa"/>
            <w:vAlign w:val="bottom"/>
          </w:tcPr>
          <w:p>
            <w:pPr>
              <w:ind w:left="380"/>
              <w:spacing w:after="0"/>
              <w:rPr>
                <w:sz w:val="20"/>
                <w:szCs w:val="20"/>
                <w:color w:val="auto"/>
              </w:rPr>
            </w:pPr>
            <w:r>
              <w:rPr>
                <w:rFonts w:ascii="Arial" w:cs="Arial" w:eastAsia="Arial" w:hAnsi="Arial"/>
                <w:sz w:val="18"/>
                <w:szCs w:val="18"/>
                <w:color w:val="0000FF"/>
              </w:rPr>
              <w:t>02116</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Aclaris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ACRS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251"/>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21"/>
                <w:szCs w:val="21"/>
                <w:color w:val="auto"/>
              </w:rPr>
            </w:pPr>
          </w:p>
        </w:tc>
        <w:tc>
          <w:tcPr>
            <w:tcW w:w="2680" w:type="dxa"/>
            <w:vAlign w:val="bottom"/>
            <w:tcBorders>
              <w:bottom w:val="single" w:sz="8" w:color="2C2C2C"/>
            </w:tcBorders>
          </w:tcPr>
          <w:p>
            <w:pPr>
              <w:spacing w:after="0"/>
              <w:rPr>
                <w:sz w:val="21"/>
                <w:szCs w:val="21"/>
                <w:color w:val="auto"/>
              </w:rPr>
            </w:pP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89"/>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27" w:lineRule="exact"/>
        <w:rPr>
          <w:sz w:val="20"/>
          <w:szCs w:val="20"/>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10"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6"/>
              </w:rPr>
              <w:t>Common Stock, $0.00001 par value</w:t>
            </w:r>
          </w:p>
        </w:tc>
        <w:tc>
          <w:tcPr>
            <w:tcW w:w="6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jc w:val="right"/>
              <w:ind w:right="347"/>
              <w:spacing w:after="0"/>
              <w:rPr>
                <w:sz w:val="20"/>
                <w:szCs w:val="20"/>
                <w:color w:val="auto"/>
              </w:rPr>
            </w:pPr>
            <w:r>
              <w:rPr>
                <w:rFonts w:ascii="Arial" w:cs="Arial" w:eastAsia="Arial" w:hAnsi="Arial"/>
                <w:sz w:val="18"/>
                <w:szCs w:val="18"/>
                <w:color w:val="0000FF"/>
              </w:rPr>
              <w:t>2,237,130</w:t>
            </w:r>
            <w:r>
              <w:rPr>
                <w:rFonts w:ascii="Arial" w:cs="Arial" w:eastAsia="Arial" w:hAnsi="Arial"/>
                <w:sz w:val="22"/>
                <w:szCs w:val="22"/>
                <w:color w:val="008000"/>
                <w:vertAlign w:val="superscript"/>
              </w:rPr>
              <w:t>(1)</w:t>
            </w:r>
          </w:p>
        </w:tc>
        <w:tc>
          <w:tcPr>
            <w:tcW w:w="104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I</w:t>
            </w:r>
          </w:p>
        </w:tc>
        <w:tc>
          <w:tcPr>
            <w:tcW w:w="178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w w:val="86"/>
              </w:rPr>
              <w:t>See Footnote</w:t>
            </w:r>
            <w:r>
              <w:rPr>
                <w:rFonts w:ascii="Arial" w:cs="Arial" w:eastAsia="Arial" w:hAnsi="Arial"/>
                <w:sz w:val="22"/>
                <w:szCs w:val="22"/>
                <w:color w:val="008000"/>
                <w:w w:val="86"/>
                <w:vertAlign w:val="superscript"/>
              </w:rPr>
              <w:t>(2)(3)</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1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2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6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7"/>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RA CAPITAL MANAGEMENT, LLC</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gridSpan w:val="2"/>
          </w:tcPr>
          <w:p>
            <w:pPr>
              <w:ind w:left="380"/>
              <w:spacing w:after="0"/>
              <w:rPr>
                <w:sz w:val="20"/>
                <w:szCs w:val="20"/>
                <w:color w:val="auto"/>
              </w:rPr>
            </w:pPr>
            <w:r>
              <w:rPr>
                <w:rFonts w:ascii="Arial" w:cs="Arial" w:eastAsia="Arial" w:hAnsi="Arial"/>
                <w:sz w:val="14"/>
                <w:szCs w:val="14"/>
                <w:color w:val="auto"/>
              </w:rPr>
              <w:t>(First)</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20 PARK PLAZA, SUITE 1200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2"/>
          </w:tcPr>
          <w:p>
            <w:pPr>
              <w:ind w:left="380"/>
              <w:spacing w:after="0"/>
              <w:rPr>
                <w:sz w:val="20"/>
                <w:szCs w:val="20"/>
                <w:color w:val="auto"/>
              </w:rPr>
            </w:pPr>
            <w:r>
              <w:rPr>
                <w:rFonts w:ascii="Arial" w:cs="Arial" w:eastAsia="Arial" w:hAnsi="Arial"/>
                <w:sz w:val="18"/>
                <w:szCs w:val="18"/>
                <w:color w:val="0000FF"/>
              </w:rPr>
              <w:t>MA</w:t>
            </w:r>
          </w:p>
        </w:tc>
        <w:tc>
          <w:tcPr>
            <w:tcW w:w="640" w:type="dxa"/>
            <w:vAlign w:val="bottom"/>
          </w:tcPr>
          <w:p>
            <w:pPr>
              <w:ind w:left="180"/>
              <w:spacing w:after="0"/>
              <w:rPr>
                <w:sz w:val="20"/>
                <w:szCs w:val="20"/>
                <w:color w:val="auto"/>
              </w:rPr>
            </w:pPr>
            <w:r>
              <w:rPr>
                <w:rFonts w:ascii="Arial" w:cs="Arial" w:eastAsia="Arial" w:hAnsi="Arial"/>
                <w:sz w:val="18"/>
                <w:szCs w:val="18"/>
                <w:color w:val="0000FF"/>
                <w:w w:val="87"/>
              </w:rPr>
              <w:t>02116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gridSpan w:val="2"/>
          </w:tcPr>
          <w:p>
            <w:pPr>
              <w:ind w:left="380"/>
              <w:spacing w:after="0"/>
              <w:rPr>
                <w:sz w:val="20"/>
                <w:szCs w:val="20"/>
                <w:color w:val="auto"/>
              </w:rPr>
            </w:pPr>
            <w:r>
              <w:rPr>
                <w:rFonts w:ascii="Arial" w:cs="Arial" w:eastAsia="Arial" w:hAnsi="Arial"/>
                <w:sz w:val="14"/>
                <w:szCs w:val="14"/>
                <w:color w:val="auto"/>
              </w:rPr>
              <w:t>(State)</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Kolchinsky Peter</w:t>
              </w:r>
            </w:hyperlink>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gridSpan w:val="2"/>
          </w:tcPr>
          <w:p>
            <w:pPr>
              <w:ind w:left="380"/>
              <w:spacing w:after="0"/>
              <w:rPr>
                <w:sz w:val="20"/>
                <w:szCs w:val="20"/>
                <w:color w:val="auto"/>
              </w:rPr>
            </w:pPr>
            <w:r>
              <w:rPr>
                <w:rFonts w:ascii="Arial" w:cs="Arial" w:eastAsia="Arial" w:hAnsi="Arial"/>
                <w:sz w:val="14"/>
                <w:szCs w:val="14"/>
                <w:color w:val="auto"/>
              </w:rPr>
              <w:t>(First)</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20 PARK PLAZA, SUITE 1200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2"/>
          </w:tcPr>
          <w:p>
            <w:pPr>
              <w:ind w:left="380"/>
              <w:spacing w:after="0"/>
              <w:rPr>
                <w:sz w:val="20"/>
                <w:szCs w:val="20"/>
                <w:color w:val="auto"/>
              </w:rPr>
            </w:pPr>
            <w:r>
              <w:rPr>
                <w:rFonts w:ascii="Arial" w:cs="Arial" w:eastAsia="Arial" w:hAnsi="Arial"/>
                <w:sz w:val="18"/>
                <w:szCs w:val="18"/>
                <w:color w:val="0000FF"/>
              </w:rPr>
              <w:t>MA</w:t>
            </w:r>
          </w:p>
        </w:tc>
        <w:tc>
          <w:tcPr>
            <w:tcW w:w="640" w:type="dxa"/>
            <w:vAlign w:val="bottom"/>
          </w:tcPr>
          <w:p>
            <w:pPr>
              <w:ind w:left="180"/>
              <w:spacing w:after="0"/>
              <w:rPr>
                <w:sz w:val="20"/>
                <w:szCs w:val="20"/>
                <w:color w:val="auto"/>
              </w:rPr>
            </w:pPr>
            <w:r>
              <w:rPr>
                <w:rFonts w:ascii="Arial" w:cs="Arial" w:eastAsia="Arial" w:hAnsi="Arial"/>
                <w:sz w:val="18"/>
                <w:szCs w:val="18"/>
                <w:color w:val="0000FF"/>
                <w:w w:val="87"/>
              </w:rPr>
              <w:t>02116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gridSpan w:val="2"/>
          </w:tcPr>
          <w:p>
            <w:pPr>
              <w:ind w:left="380"/>
              <w:spacing w:after="0"/>
              <w:rPr>
                <w:sz w:val="20"/>
                <w:szCs w:val="20"/>
                <w:color w:val="auto"/>
              </w:rPr>
            </w:pPr>
            <w:r>
              <w:rPr>
                <w:rFonts w:ascii="Arial" w:cs="Arial" w:eastAsia="Arial" w:hAnsi="Arial"/>
                <w:sz w:val="14"/>
                <w:szCs w:val="14"/>
                <w:color w:val="auto"/>
              </w:rPr>
              <w:t>(State)</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include 1,871,841 shares held by RA Capital Healthcare Fund, L.P. (the "Fund") and 365,289 shares held in an account owned by Blackwell Partners, LLC (the "Blackwell Account").</w:t>
      </w:r>
    </w:p>
    <w:p>
      <w:pPr>
        <w:spacing w:after="0" w:line="64" w:lineRule="exact"/>
        <w:rPr>
          <w:rFonts w:ascii="Arial" w:cs="Arial" w:eastAsia="Arial" w:hAnsi="Arial"/>
          <w:sz w:val="12"/>
          <w:szCs w:val="12"/>
          <w:color w:val="008000"/>
        </w:rPr>
      </w:pPr>
    </w:p>
    <w:p>
      <w:pPr>
        <w:ind w:left="40" w:right="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RA Capital Management, LLC (the "Adviser") is the general partner of the Fund and the investment adviser of the Blackwell Account. Peter Kolchinsky is the sole manager of the Adviser. In their respective capacities, each of Mr. Kolchinsky and the Adviser may be deemed to beneficially own the reported securities for purposes of Section 13(d) of the Securities Exchange Act of 1934.</w:t>
      </w:r>
    </w:p>
    <w:p>
      <w:pPr>
        <w:ind w:left="40" w:right="2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Adviser and Mr. Kolchinsky disclaim beneficial ownership of the reported securities for purposes of Rule 16a-1(a)(1) under the Exchange Act in reliance on Rule 16a-1(a)(1)(v) and (vii), respectively, and therefore disclaim any obligation to report ownership of the reported securities under Section 16a of the Exchange Act. The filing of this Form 3 shall not be construed as an admission that either the Adviser or Mr. Kolchinsky is or was, for purposes of Section 16 of the Exchange Act, the beneficial owner of any of the securities reported herein.</w:t>
      </w:r>
    </w:p>
    <w:p>
      <w:pPr>
        <w:spacing w:after="0" w:line="32"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8"/>
                <w:szCs w:val="18"/>
                <w:color w:val="0000FF"/>
                <w:w w:val="93"/>
              </w:rPr>
              <w:t>/s/ Peter Kolchinsky Manager</w:t>
            </w:r>
          </w:p>
        </w:tc>
        <w:tc>
          <w:tcPr>
            <w:tcW w:w="900" w:type="dxa"/>
            <w:vAlign w:val="bottom"/>
          </w:tcPr>
          <w:p>
            <w:pPr>
              <w:spacing w:after="0"/>
              <w:rPr>
                <w:sz w:val="18"/>
                <w:szCs w:val="18"/>
                <w:color w:val="auto"/>
              </w:rPr>
            </w:pPr>
          </w:p>
        </w:tc>
      </w:tr>
      <w:tr>
        <w:trPr>
          <w:trHeight w:val="222"/>
        </w:trPr>
        <w:tc>
          <w:tcPr>
            <w:tcW w:w="2200" w:type="dxa"/>
            <w:vAlign w:val="bottom"/>
          </w:tcPr>
          <w:p>
            <w:pPr>
              <w:spacing w:after="0"/>
              <w:rPr>
                <w:sz w:val="20"/>
                <w:szCs w:val="20"/>
                <w:color w:val="auto"/>
              </w:rPr>
            </w:pPr>
            <w:r>
              <w:rPr>
                <w:rFonts w:ascii="Arial" w:cs="Arial" w:eastAsia="Arial" w:hAnsi="Arial"/>
                <w:sz w:val="18"/>
                <w:szCs w:val="18"/>
                <w:color w:val="0000FF"/>
                <w:w w:val="98"/>
              </w:rPr>
              <w:t>of RA Capital Management,</w:t>
            </w:r>
          </w:p>
        </w:tc>
        <w:tc>
          <w:tcPr>
            <w:tcW w:w="900" w:type="dxa"/>
            <w:vAlign w:val="bottom"/>
          </w:tcPr>
          <w:p>
            <w:pPr>
              <w:jc w:val="right"/>
              <w:spacing w:after="0"/>
              <w:rPr>
                <w:sz w:val="20"/>
                <w:szCs w:val="20"/>
                <w:color w:val="auto"/>
              </w:rPr>
            </w:pPr>
            <w:r>
              <w:rPr>
                <w:rFonts w:ascii="Arial" w:cs="Arial" w:eastAsia="Arial" w:hAnsi="Arial"/>
                <w:sz w:val="18"/>
                <w:szCs w:val="18"/>
                <w:color w:val="0000FF"/>
                <w:w w:val="97"/>
              </w:rPr>
              <w:t>10/12/2015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-161290</wp:posOffset>
            </wp:positionV>
            <wp:extent cx="1328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-23495</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tbl>
      <w:tblPr>
        <w:tblLayout w:type="fixed"/>
        <w:tblInd w:w="6860" w:type="dxa"/>
        <w:tblCellMar>
          <w:top w:w="0" w:type="dxa"/>
          <w:left w:w="0" w:type="dxa"/>
          <w:bottom w:w="0" w:type="dxa"/>
          <w:right w:w="0" w:type="dxa"/>
        </w:tblCellMar>
      </w:tblPr>
      <w:tr>
        <w:trPr>
          <w:trHeight w:val="178"/>
        </w:trPr>
        <w:tc>
          <w:tcPr>
            <w:tcW w:w="1880" w:type="dxa"/>
            <w:vAlign w:val="bottom"/>
            <w:gridSpan w:val="4"/>
          </w:tcPr>
          <w:p>
            <w:pPr>
              <w:spacing w:after="0" w:line="177" w:lineRule="exact"/>
              <w:rPr>
                <w:sz w:val="20"/>
                <w:szCs w:val="20"/>
                <w:color w:val="auto"/>
              </w:rPr>
            </w:pPr>
            <w:r>
              <w:rPr>
                <w:rFonts w:ascii="Arial" w:cs="Arial" w:eastAsia="Arial" w:hAnsi="Arial"/>
                <w:sz w:val="18"/>
                <w:szCs w:val="18"/>
                <w:color w:val="0000FF"/>
              </w:rPr>
              <w:t>LLC</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gridSpan w:val="4"/>
          </w:tcPr>
          <w:p>
            <w:pPr>
              <w:spacing w:after="0"/>
              <w:rPr>
                <w:sz w:val="20"/>
                <w:szCs w:val="20"/>
                <w:color w:val="auto"/>
              </w:rPr>
            </w:pPr>
            <w:r>
              <w:rPr>
                <w:rFonts w:ascii="Arial" w:cs="Arial" w:eastAsia="Arial" w:hAnsi="Arial"/>
                <w:sz w:val="18"/>
                <w:szCs w:val="18"/>
                <w:color w:val="0000FF"/>
              </w:rPr>
              <w:t>/s/ Peter Kolchinsky,</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0000FF"/>
              </w:rPr>
              <w:t>10/12/2015</w:t>
            </w:r>
          </w:p>
        </w:tc>
        <w:tc>
          <w:tcPr>
            <w:tcW w:w="0" w:type="dxa"/>
            <w:vAlign w:val="bottom"/>
          </w:tcPr>
          <w:p>
            <w:pPr>
              <w:spacing w:after="0"/>
              <w:rPr>
                <w:sz w:val="1"/>
                <w:szCs w:val="1"/>
                <w:color w:val="auto"/>
              </w:rPr>
            </w:pPr>
          </w:p>
        </w:tc>
      </w:tr>
      <w:tr>
        <w:trPr>
          <w:trHeight w:val="88"/>
        </w:trPr>
        <w:tc>
          <w:tcPr>
            <w:tcW w:w="8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5"/>
              </w:rPr>
              <w:t>individually</w:t>
            </w:r>
          </w:p>
        </w:tc>
        <w:tc>
          <w:tcPr>
            <w:tcW w:w="600" w:type="dxa"/>
            <w:vAlign w:val="bottom"/>
            <w:tcBorders>
              <w:top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860" w:type="dxa"/>
            <w:vAlign w:val="bottom"/>
            <w:tcBorders>
              <w:top w:val="single" w:sz="8" w:color="auto"/>
              <w:bottom w:val="single" w:sz="8" w:color="auto"/>
            </w:tcBorders>
            <w:gridSpan w:val="2"/>
            <w:vMerge w:val="continue"/>
          </w:tcPr>
          <w:p>
            <w:pPr>
              <w:spacing w:after="0"/>
              <w:rPr>
                <w:sz w:val="7"/>
                <w:szCs w:val="7"/>
                <w:color w:val="auto"/>
              </w:rPr>
            </w:pPr>
          </w:p>
        </w:tc>
        <w:tc>
          <w:tcPr>
            <w:tcW w:w="600" w:type="dxa"/>
            <w:vAlign w:val="bottom"/>
            <w:tcBorders>
              <w:top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1" Type="http://schemas.openxmlformats.org/officeDocument/2006/relationships/hyperlink" Target="http://www.sec.gov/cgi-bin/browse-edgar?action=getcompany&amp;CIK=0001346824" TargetMode="External"/><Relationship Id="rId12" Type="http://schemas.openxmlformats.org/officeDocument/2006/relationships/hyperlink" Target="http://www.sec.gov/cgi-bin/browse-edgar?action=getcompany&amp;CIK=0001557746" TargetMode="External"/><Relationship Id="rId13" Type="http://schemas.openxmlformats.org/officeDocument/2006/relationships/hyperlink" Target="http://www.sec.gov/cgi-bin/browse-edgar?action=getcompany&amp;CIK=00013848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2019-12-23T21:52:13Z</dcterms:created>
  <dcterms:modified xsi:type="dcterms:W3CDTF">2019-12-23T21:52:13Z</dcterms:modified>
</cp:coreProperties>
</file>