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57">
        <w:r>
          <w:rPr>
            <w:rFonts w:ascii="Arial" w:cs="Arial" w:eastAsia="Arial" w:hAnsi="Arial"/>
            <w:sz w:val="21"/>
            <w:szCs w:val="21"/>
            <w:u w:val="single" w:color="auto"/>
            <w:color w:val="0000EE"/>
          </w:rPr>
          <w:t>INDEX TO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4"/>
          <w:szCs w:val="24"/>
          <w:color w:val="auto"/>
        </w:rPr>
      </w:pPr>
    </w:p>
    <w:p>
      <w:pPr>
        <w:jc w:val="right"/>
        <w:ind w:right="20"/>
        <w:spacing w:after="0"/>
        <w:rPr>
          <w:sz w:val="20"/>
          <w:szCs w:val="20"/>
          <w:color w:val="auto"/>
        </w:rPr>
      </w:pPr>
      <w:r>
        <w:rPr>
          <w:rFonts w:ascii="Arial" w:cs="Arial" w:eastAsia="Arial" w:hAnsi="Arial"/>
          <w:sz w:val="17"/>
          <w:szCs w:val="17"/>
          <w:b w:val="1"/>
          <w:bCs w:val="1"/>
          <w:color w:val="auto"/>
        </w:rPr>
        <w:t>Filed Pursuant to Rule 424(b)(4)</w:t>
      </w:r>
    </w:p>
    <w:p>
      <w:pPr>
        <w:spacing w:after="0" w:line="21" w:lineRule="exact"/>
        <w:rPr>
          <w:sz w:val="24"/>
          <w:szCs w:val="24"/>
          <w:color w:val="auto"/>
        </w:rPr>
      </w:pPr>
    </w:p>
    <w:p>
      <w:pPr>
        <w:jc w:val="right"/>
        <w:ind w:right="20"/>
        <w:spacing w:after="0"/>
        <w:rPr>
          <w:sz w:val="20"/>
          <w:szCs w:val="20"/>
          <w:color w:val="auto"/>
        </w:rPr>
      </w:pPr>
      <w:r>
        <w:rPr>
          <w:rFonts w:ascii="Arial" w:cs="Arial" w:eastAsia="Arial" w:hAnsi="Arial"/>
          <w:sz w:val="17"/>
          <w:szCs w:val="17"/>
          <w:b w:val="1"/>
          <w:bCs w:val="1"/>
          <w:color w:val="auto"/>
        </w:rPr>
        <w:t>Registration No. 333-206437</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2350770</wp:posOffset>
            </wp:positionH>
            <wp:positionV relativeFrom="paragraph">
              <wp:posOffset>154305</wp:posOffset>
            </wp:positionV>
            <wp:extent cx="2555875" cy="957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957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46" w:lineRule="exact"/>
        <w:rPr>
          <w:sz w:val="24"/>
          <w:szCs w:val="24"/>
          <w:color w:val="auto"/>
        </w:rPr>
      </w:pPr>
    </w:p>
    <w:p>
      <w:pPr>
        <w:ind w:right="180"/>
        <w:spacing w:after="0" w:line="246" w:lineRule="auto"/>
        <w:rPr>
          <w:sz w:val="20"/>
          <w:szCs w:val="20"/>
          <w:color w:val="auto"/>
        </w:rPr>
      </w:pPr>
      <w:r>
        <w:rPr>
          <w:rFonts w:ascii="Arial" w:cs="Arial" w:eastAsia="Arial" w:hAnsi="Arial"/>
          <w:sz w:val="17"/>
          <w:szCs w:val="17"/>
          <w:color w:val="auto"/>
        </w:rPr>
        <w:t>We are offering 5,000,000 shares of our common stock. This is our initial public offering and no public market currently exists for our common stock. The initial public offering price is $11.00 per share. Our common stock has been approved for listing on The NASDAQ Global Select Market under the symbol "ACRS."</w:t>
      </w:r>
    </w:p>
    <w:p>
      <w:pPr>
        <w:spacing w:after="0" w:line="179" w:lineRule="exact"/>
        <w:rPr>
          <w:sz w:val="24"/>
          <w:szCs w:val="24"/>
          <w:color w:val="auto"/>
        </w:rPr>
      </w:pPr>
    </w:p>
    <w:p>
      <w:pPr>
        <w:ind w:right="780"/>
        <w:spacing w:after="0" w:line="276" w:lineRule="auto"/>
        <w:rPr>
          <w:sz w:val="20"/>
          <w:szCs w:val="20"/>
          <w:color w:val="auto"/>
        </w:rPr>
      </w:pPr>
      <w:r>
        <w:rPr>
          <w:rFonts w:ascii="Arial" w:cs="Arial" w:eastAsia="Arial" w:hAnsi="Arial"/>
          <w:sz w:val="17"/>
          <w:szCs w:val="17"/>
          <w:b w:val="1"/>
          <w:bCs w:val="1"/>
          <w:color w:val="auto"/>
        </w:rPr>
        <w:t>We are an "emerging growth company" as defined in Section 2(a) of the Securities Act of 1933 and will be subject to reduced public company reporting requirements. See "Prospectus Summary — Implications of Being an Emerging Growth Company."</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Please read "Risk Factors" beginning on page 11 of this prospectus.</w:t>
      </w:r>
    </w:p>
    <w:p>
      <w:pPr>
        <w:spacing w:after="0" w:line="211" w:lineRule="exact"/>
        <w:rPr>
          <w:sz w:val="24"/>
          <w:szCs w:val="24"/>
          <w:color w:val="auto"/>
        </w:rPr>
      </w:pPr>
    </w:p>
    <w:p>
      <w:pPr>
        <w:ind w:right="220"/>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6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906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r>
      <w:tr>
        <w:trPr>
          <w:trHeight w:val="192"/>
        </w:trPr>
        <w:tc>
          <w:tcPr>
            <w:tcW w:w="9060" w:type="dxa"/>
            <w:vAlign w:val="bottom"/>
          </w:tcPr>
          <w:p>
            <w:pPr>
              <w:spacing w:after="0" w:line="193" w:lineRule="exact"/>
              <w:rPr>
                <w:sz w:val="20"/>
                <w:szCs w:val="20"/>
                <w:color w:val="auto"/>
              </w:rPr>
            </w:pPr>
            <w:r>
              <w:rPr>
                <w:rFonts w:ascii="Arial" w:cs="Arial" w:eastAsia="Arial" w:hAnsi="Arial"/>
                <w:sz w:val="17"/>
                <w:szCs w:val="17"/>
                <w:color w:val="auto"/>
              </w:rPr>
              <w:t>Public offering price</w:t>
            </w:r>
          </w:p>
        </w:tc>
        <w:tc>
          <w:tcPr>
            <w:tcW w:w="260" w:type="dxa"/>
            <w:vAlign w:val="bottom"/>
          </w:tcPr>
          <w:p>
            <w:pPr>
              <w:spacing w:after="0" w:line="193"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93" w:lineRule="exact"/>
              <w:rPr>
                <w:sz w:val="20"/>
                <w:szCs w:val="20"/>
                <w:color w:val="auto"/>
              </w:rPr>
            </w:pPr>
            <w:r>
              <w:rPr>
                <w:rFonts w:ascii="Arial" w:cs="Arial" w:eastAsia="Arial" w:hAnsi="Arial"/>
                <w:sz w:val="17"/>
                <w:szCs w:val="17"/>
                <w:color w:val="auto"/>
              </w:rPr>
              <w:t>11.00</w:t>
            </w:r>
          </w:p>
        </w:tc>
        <w:tc>
          <w:tcPr>
            <w:tcW w:w="38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55,000,000</w:t>
            </w:r>
          </w:p>
        </w:tc>
        <w:tc>
          <w:tcPr>
            <w:tcW w:w="180" w:type="dxa"/>
            <w:vAlign w:val="bottom"/>
          </w:tcPr>
          <w:p>
            <w:pPr>
              <w:spacing w:after="0"/>
              <w:rPr>
                <w:sz w:val="16"/>
                <w:szCs w:val="16"/>
                <w:color w:val="auto"/>
              </w:rPr>
            </w:pPr>
          </w:p>
        </w:tc>
      </w:tr>
      <w:tr>
        <w:trPr>
          <w:trHeight w:val="236"/>
        </w:trPr>
        <w:tc>
          <w:tcPr>
            <w:tcW w:w="9060" w:type="dxa"/>
            <w:vAlign w:val="bottom"/>
          </w:tcPr>
          <w:p>
            <w:pPr>
              <w:spacing w:after="0" w:line="236" w:lineRule="exact"/>
              <w:rPr>
                <w:sz w:val="20"/>
                <w:szCs w:val="20"/>
                <w:color w:val="auto"/>
              </w:rPr>
            </w:pPr>
            <w:r>
              <w:rPr>
                <w:rFonts w:ascii="Arial" w:cs="Arial" w:eastAsia="Arial" w:hAnsi="Arial"/>
                <w:sz w:val="17"/>
                <w:szCs w:val="17"/>
                <w:color w:val="auto"/>
              </w:rPr>
              <w:t>Underwriting discount and commissions</w:t>
            </w:r>
            <w:r>
              <w:rPr>
                <w:rFonts w:ascii="Arial" w:cs="Arial" w:eastAsia="Arial" w:hAnsi="Arial"/>
                <w:sz w:val="27"/>
                <w:szCs w:val="27"/>
                <w:color w:val="auto"/>
                <w:vertAlign w:val="superscript"/>
              </w:rPr>
              <w:t>(1)</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0.77</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3,850,000</w:t>
            </w:r>
          </w:p>
        </w:tc>
        <w:tc>
          <w:tcPr>
            <w:tcW w:w="180" w:type="dxa"/>
            <w:vAlign w:val="bottom"/>
          </w:tcPr>
          <w:p>
            <w:pPr>
              <w:spacing w:after="0"/>
              <w:rPr>
                <w:sz w:val="20"/>
                <w:szCs w:val="20"/>
                <w:color w:val="auto"/>
              </w:rPr>
            </w:pPr>
          </w:p>
        </w:tc>
      </w:tr>
      <w:tr>
        <w:trPr>
          <w:trHeight w:val="204"/>
        </w:trPr>
        <w:tc>
          <w:tcPr>
            <w:tcW w:w="9060" w:type="dxa"/>
            <w:vAlign w:val="bottom"/>
          </w:tcPr>
          <w:p>
            <w:pPr>
              <w:spacing w:after="0"/>
              <w:rPr>
                <w:sz w:val="20"/>
                <w:szCs w:val="20"/>
                <w:color w:val="auto"/>
              </w:rPr>
            </w:pPr>
            <w:r>
              <w:rPr>
                <w:rFonts w:ascii="Arial" w:cs="Arial" w:eastAsia="Arial" w:hAnsi="Arial"/>
                <w:sz w:val="17"/>
                <w:szCs w:val="17"/>
                <w:color w:val="auto"/>
              </w:rPr>
              <w:t>Proceeds to us, before expenses</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10.23</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51,150,000</w:t>
            </w:r>
          </w:p>
        </w:tc>
        <w:tc>
          <w:tcPr>
            <w:tcW w:w="180" w:type="dxa"/>
            <w:vAlign w:val="bottom"/>
          </w:tcPr>
          <w:p>
            <w:pPr>
              <w:spacing w:after="0"/>
              <w:rPr>
                <w:sz w:val="17"/>
                <w:szCs w:val="17"/>
                <w:color w:val="auto"/>
              </w:rPr>
            </w:pPr>
          </w:p>
        </w:tc>
      </w:tr>
      <w:tr>
        <w:trPr>
          <w:trHeight w:val="94"/>
        </w:trPr>
        <w:tc>
          <w:tcPr>
            <w:tcW w:w="9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pacing w:after="0" w:line="141" w:lineRule="exact"/>
        <w:rPr>
          <w:sz w:val="24"/>
          <w:szCs w:val="24"/>
          <w:color w:val="auto"/>
        </w:rPr>
      </w:pPr>
    </w:p>
    <w:p>
      <w:pPr>
        <w:ind w:left="520" w:hanging="515"/>
        <w:spacing w:after="0"/>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See "Underwriting" in this prospectus for a description of compensation payable to the underwriters.</w:t>
      </w:r>
    </w:p>
    <w:p>
      <w:pPr>
        <w:spacing w:after="0" w:line="197" w:lineRule="exact"/>
        <w:rPr>
          <w:sz w:val="24"/>
          <w:szCs w:val="24"/>
          <w:color w:val="auto"/>
        </w:rPr>
      </w:pPr>
    </w:p>
    <w:p>
      <w:pPr>
        <w:ind w:right="80"/>
        <w:spacing w:after="0" w:line="244"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up to an aggregate of $15.0 million in shares of our common stock in this offering at the initial public offering price per share. However, because indications of interest are not binding agreements or commitments to purchase, the underwriters may determine to sell more, less or no shares in this offering to any of these entities, or any of these entities may determine to purchase more, less or no shares in this offering. The underwriters will receive the same underwriting discount on any shares purchased by these entities as they will on any other shares sold to the public in this offering.</w:t>
      </w:r>
    </w:p>
    <w:p>
      <w:pPr>
        <w:spacing w:after="0" w:line="199" w:lineRule="exact"/>
        <w:rPr>
          <w:sz w:val="24"/>
          <w:szCs w:val="24"/>
          <w:color w:val="auto"/>
        </w:rPr>
      </w:pPr>
    </w:p>
    <w:p>
      <w:pPr>
        <w:jc w:val="both"/>
        <w:ind w:right="20"/>
        <w:spacing w:after="0" w:line="246" w:lineRule="auto"/>
        <w:rPr>
          <w:sz w:val="20"/>
          <w:szCs w:val="20"/>
          <w:color w:val="auto"/>
        </w:rPr>
      </w:pPr>
      <w:r>
        <w:rPr>
          <w:rFonts w:ascii="Arial" w:cs="Arial" w:eastAsia="Arial" w:hAnsi="Arial"/>
          <w:sz w:val="17"/>
          <w:szCs w:val="17"/>
          <w:color w:val="auto"/>
        </w:rPr>
        <w:t>Delivery of the shares of common stock is expected to be made on or about October 13, 2015. We have granted the underwriters an option for a period of 30 days to purchase an additional 750,000 shares of our common stock. If the underwriters exercise the option in full, the total underwriting discounts and commissions payable by us will be $4.4 million, and the total proceeds to us, before expenses, will be $58.8 million.</w:t>
      </w:r>
    </w:p>
    <w:p>
      <w:pPr>
        <w:spacing w:after="0" w:line="162" w:lineRule="exact"/>
        <w:rPr>
          <w:sz w:val="24"/>
          <w:szCs w:val="24"/>
          <w:color w:val="auto"/>
        </w:rPr>
      </w:pPr>
    </w:p>
    <w:p>
      <w:pPr>
        <w:ind w:left="1160"/>
        <w:spacing w:after="0"/>
        <w:tabs>
          <w:tab w:leader="none" w:pos="920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Citigroup</w:t>
      </w: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William Blair</w:t>
      </w:r>
    </w:p>
    <w:p>
      <w:pPr>
        <w:sectPr>
          <w:pgSz w:w="11900" w:h="16838" w:orient="portrait"/>
          <w:cols w:equalWidth="0" w:num="1">
            <w:col w:w="11440"/>
          </w:cols>
          <w:pgMar w:left="240" w:top="669" w:right="219" w:bottom="1440" w:gutter="0" w:footer="0" w:header="0"/>
        </w:sect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Prospectus dated October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669" w:right="21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1320" w:type="dxa"/>
            <w:vAlign w:val="bottom"/>
          </w:tcPr>
          <w:p>
            <w:pPr>
              <w:spacing w:after="0"/>
              <w:rPr>
                <w:sz w:val="14"/>
                <w:szCs w:val="14"/>
                <w:color w:val="auto"/>
              </w:rPr>
            </w:pPr>
          </w:p>
        </w:tc>
      </w:tr>
      <w:tr>
        <w:trPr>
          <w:trHeight w:val="373"/>
        </w:trPr>
        <w:tc>
          <w:tcPr>
            <w:tcW w:w="1160" w:type="dxa"/>
            <w:vAlign w:val="bottom"/>
          </w:tcPr>
          <w:p>
            <w:pPr>
              <w:spacing w:after="0"/>
              <w:rPr>
                <w:sz w:val="24"/>
                <w:szCs w:val="24"/>
                <w:color w:val="auto"/>
              </w:rPr>
            </w:pPr>
          </w:p>
        </w:tc>
        <w:tc>
          <w:tcPr>
            <w:tcW w:w="850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Prospectus Summary</w:t>
              </w:r>
            </w:hyperlink>
          </w:p>
        </w:tc>
        <w:tc>
          <w:tcPr>
            <w:tcW w:w="1780" w:type="dxa"/>
            <w:vAlign w:val="bottom"/>
            <w:gridSpan w:val="5"/>
          </w:tcPr>
          <w:p>
            <w:pPr>
              <w:jc w:val="right"/>
              <w:ind w:right="1320"/>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13">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6880" w:type="dxa"/>
            <w:vAlign w:val="bottom"/>
            <w:gridSpan w:val="12"/>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13">
              <w:r>
                <w:rPr>
                  <w:rFonts w:ascii="Arial" w:cs="Arial" w:eastAsia="Arial" w:hAnsi="Arial"/>
                  <w:sz w:val="17"/>
                  <w:szCs w:val="17"/>
                  <w:color w:val="0000EE"/>
                  <w:w w:val="94"/>
                </w:rPr>
                <w:t>11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52">
              <w:r>
                <w:rPr>
                  <w:rFonts w:ascii="Arial" w:cs="Arial" w:eastAsia="Arial" w:hAnsi="Arial"/>
                  <w:sz w:val="17"/>
                  <w:szCs w:val="17"/>
                  <w:color w:val="0000EE"/>
                </w:rPr>
                <w:t>Special Note Regarding Forward-Looking Statements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52">
              <w:r>
                <w:rPr>
                  <w:rFonts w:ascii="Arial" w:cs="Arial" w:eastAsia="Arial" w:hAnsi="Arial"/>
                  <w:sz w:val="17"/>
                  <w:szCs w:val="17"/>
                  <w:color w:val="0000EE"/>
                </w:rPr>
                <w:t>50</w:t>
              </w:r>
            </w:hyperlink>
          </w:p>
        </w:tc>
      </w:tr>
      <w:tr>
        <w:trPr>
          <w:trHeight w:val="177"/>
        </w:trPr>
        <w:tc>
          <w:tcPr>
            <w:tcW w:w="116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w:anchor="page53">
              <w:r>
                <w:rPr>
                  <w:rFonts w:ascii="Arial" w:cs="Arial" w:eastAsia="Arial" w:hAnsi="Arial"/>
                  <w:sz w:val="17"/>
                  <w:szCs w:val="17"/>
                  <w:color w:val="0000EE"/>
                </w:rPr>
                <w:t>Industry and Market Data</w:t>
              </w:r>
            </w:hyperlink>
          </w:p>
        </w:tc>
        <w:tc>
          <w:tcPr>
            <w:tcW w:w="448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4"/>
              </w:rPr>
            </w:pPr>
            <w:hyperlink w:anchor="page53">
              <w:r>
                <w:rPr>
                  <w:rFonts w:ascii="Arial" w:cs="Arial" w:eastAsia="Arial" w:hAnsi="Arial"/>
                  <w:sz w:val="17"/>
                  <w:szCs w:val="17"/>
                  <w:color w:val="0000EE"/>
                  <w:w w:val="94"/>
                </w:rPr>
                <w:t>51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Use of Proceeds</w:t>
              </w:r>
            </w:hyperlink>
          </w:p>
        </w:tc>
        <w:tc>
          <w:tcPr>
            <w:tcW w:w="640" w:type="dxa"/>
            <w:vAlign w:val="bottom"/>
            <w:tcBorders>
              <w:top w:val="single" w:sz="8" w:color="0000EE"/>
            </w:tcBorders>
            <w:gridSpan w:val="5"/>
          </w:tcPr>
          <w:p>
            <w:pPr>
              <w:spacing w:after="0"/>
              <w:rPr>
                <w:sz w:val="15"/>
                <w:szCs w:val="15"/>
                <w:color w:val="auto"/>
              </w:rPr>
            </w:pPr>
          </w:p>
        </w:tc>
        <w:tc>
          <w:tcPr>
            <w:tcW w:w="6600" w:type="dxa"/>
            <w:vAlign w:val="bottom"/>
            <w:gridSpan w:val="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52</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55">
              <w:r>
                <w:rPr>
                  <w:rFonts w:ascii="Arial" w:cs="Arial" w:eastAsia="Arial" w:hAnsi="Arial"/>
                  <w:sz w:val="17"/>
                  <w:szCs w:val="17"/>
                  <w:color w:val="0000EE"/>
                  <w:w w:val="98"/>
                </w:rPr>
                <w:t>Dividend Policy</w:t>
              </w:r>
            </w:hyperlink>
          </w:p>
        </w:tc>
        <w:tc>
          <w:tcPr>
            <w:tcW w:w="7340" w:type="dxa"/>
            <w:vAlign w:val="bottom"/>
            <w:gridSpan w:val="1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53</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56">
              <w:r>
                <w:rPr>
                  <w:rFonts w:ascii="Arial" w:cs="Arial" w:eastAsia="Arial" w:hAnsi="Arial"/>
                  <w:sz w:val="17"/>
                  <w:szCs w:val="17"/>
                  <w:color w:val="0000EE"/>
                  <w:w w:val="97"/>
                </w:rPr>
                <w:t>Capitalization</w:t>
              </w:r>
            </w:hyperlink>
          </w:p>
        </w:tc>
        <w:tc>
          <w:tcPr>
            <w:tcW w:w="7480" w:type="dxa"/>
            <w:vAlign w:val="bottom"/>
            <w:gridSpan w:val="15"/>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54</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58">
              <w:r>
                <w:rPr>
                  <w:rFonts w:ascii="Arial" w:cs="Arial" w:eastAsia="Arial" w:hAnsi="Arial"/>
                  <w:sz w:val="17"/>
                  <w:szCs w:val="17"/>
                  <w:color w:val="0000EE"/>
                  <w:w w:val="95"/>
                </w:rPr>
                <w:t>Dilution</w:t>
              </w:r>
            </w:hyperlink>
          </w:p>
        </w:tc>
        <w:tc>
          <w:tcPr>
            <w:tcW w:w="79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56</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9"/>
          </w:tcPr>
          <w:p>
            <w:pPr>
              <w:spacing w:after="0" w:line="176"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Selected Financial Data</w:t>
              </w:r>
            </w:hyperlink>
          </w:p>
        </w:tc>
        <w:tc>
          <w:tcPr>
            <w:tcW w:w="670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59</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18"/>
          </w:tcPr>
          <w:p>
            <w:pPr>
              <w:spacing w:after="0" w:line="176" w:lineRule="exact"/>
              <w:rPr>
                <w:rFonts w:ascii="Arial" w:cs="Arial" w:eastAsia="Arial" w:hAnsi="Arial"/>
                <w:sz w:val="17"/>
                <w:szCs w:val="17"/>
                <w:color w:val="0000EE"/>
                <w:w w:val="99"/>
              </w:rPr>
            </w:pPr>
            <w:hyperlink w:anchor="page63">
              <w:r>
                <w:rPr>
                  <w:rFonts w:ascii="Arial" w:cs="Arial" w:eastAsia="Arial" w:hAnsi="Arial"/>
                  <w:sz w:val="17"/>
                  <w:szCs w:val="17"/>
                  <w:color w:val="0000EE"/>
                  <w:w w:val="99"/>
                </w:rPr>
                <w:t>Management's Discussion and Analysis of Financial Condition and Results of Operations</w:t>
              </w:r>
            </w:hyperlink>
          </w:p>
        </w:tc>
        <w:tc>
          <w:tcPr>
            <w:tcW w:w="18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61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76">
              <w:r>
                <w:rPr>
                  <w:rFonts w:ascii="Arial" w:cs="Arial" w:eastAsia="Arial" w:hAnsi="Arial"/>
                  <w:sz w:val="17"/>
                  <w:szCs w:val="17"/>
                  <w:color w:val="0000EE"/>
                </w:rPr>
                <w:t>Business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76">
              <w:r>
                <w:rPr>
                  <w:rFonts w:ascii="Arial" w:cs="Arial" w:eastAsia="Arial" w:hAnsi="Arial"/>
                  <w:sz w:val="17"/>
                  <w:szCs w:val="17"/>
                  <w:color w:val="0000EE"/>
                </w:rPr>
                <w:t>74</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11">
              <w:r>
                <w:rPr>
                  <w:rFonts w:ascii="Arial" w:cs="Arial" w:eastAsia="Arial" w:hAnsi="Arial"/>
                  <w:sz w:val="17"/>
                  <w:szCs w:val="17"/>
                  <w:color w:val="0000EE"/>
                </w:rPr>
                <w:t>Management</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11">
              <w:r>
                <w:rPr>
                  <w:rFonts w:ascii="Arial" w:cs="Arial" w:eastAsia="Arial" w:hAnsi="Arial"/>
                  <w:sz w:val="17"/>
                  <w:szCs w:val="17"/>
                  <w:color w:val="0000EE"/>
                </w:rPr>
                <w:t>109</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880" w:type="dxa"/>
            <w:vAlign w:val="bottom"/>
            <w:gridSpan w:val="10"/>
          </w:tcPr>
          <w:p>
            <w:pPr>
              <w:spacing w:after="0" w:line="176" w:lineRule="exact"/>
              <w:rPr>
                <w:rFonts w:ascii="Arial" w:cs="Arial" w:eastAsia="Arial" w:hAnsi="Arial"/>
                <w:sz w:val="17"/>
                <w:szCs w:val="17"/>
                <w:color w:val="0000EE"/>
                <w:w w:val="98"/>
              </w:rPr>
            </w:pPr>
            <w:hyperlink w:anchor="page119">
              <w:r>
                <w:rPr>
                  <w:rFonts w:ascii="Arial" w:cs="Arial" w:eastAsia="Arial" w:hAnsi="Arial"/>
                  <w:sz w:val="17"/>
                  <w:szCs w:val="17"/>
                  <w:color w:val="0000EE"/>
                  <w:w w:val="98"/>
                </w:rPr>
                <w:t>Executive Compensation</w:t>
              </w:r>
            </w:hyperlink>
          </w:p>
        </w:tc>
        <w:tc>
          <w:tcPr>
            <w:tcW w:w="6620" w:type="dxa"/>
            <w:vAlign w:val="bottom"/>
            <w:gridSpan w:val="9"/>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19">
              <w:r>
                <w:rPr>
                  <w:rFonts w:ascii="Arial" w:cs="Arial" w:eastAsia="Arial" w:hAnsi="Arial"/>
                  <w:sz w:val="17"/>
                  <w:szCs w:val="17"/>
                  <w:color w:val="0000EE"/>
                </w:rPr>
                <w:t>117</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28">
              <w:r>
                <w:rPr>
                  <w:rFonts w:ascii="Arial" w:cs="Arial" w:eastAsia="Arial" w:hAnsi="Arial"/>
                  <w:sz w:val="17"/>
                  <w:szCs w:val="17"/>
                  <w:color w:val="0000EE"/>
                  <w:w w:val="99"/>
                </w:rPr>
                <w:t>Certain Relationships and Related Party Transactions</w:t>
              </w:r>
            </w:hyperlink>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8">
              <w:r>
                <w:rPr>
                  <w:rFonts w:ascii="Arial" w:cs="Arial" w:eastAsia="Arial" w:hAnsi="Arial"/>
                  <w:sz w:val="17"/>
                  <w:szCs w:val="17"/>
                  <w:color w:val="0000EE"/>
                </w:rPr>
                <w:t>126</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8"/>
          </w:tcPr>
          <w:p>
            <w:pPr>
              <w:spacing w:after="0" w:line="176" w:lineRule="exact"/>
              <w:rPr>
                <w:rFonts w:ascii="Arial" w:cs="Arial" w:eastAsia="Arial" w:hAnsi="Arial"/>
                <w:sz w:val="17"/>
                <w:szCs w:val="17"/>
                <w:color w:val="0000EE"/>
                <w:w w:val="98"/>
              </w:rPr>
            </w:pPr>
            <w:hyperlink w:anchor="page134">
              <w:r>
                <w:rPr>
                  <w:rFonts w:ascii="Arial" w:cs="Arial" w:eastAsia="Arial" w:hAnsi="Arial"/>
                  <w:sz w:val="17"/>
                  <w:szCs w:val="17"/>
                  <w:color w:val="0000EE"/>
                  <w:w w:val="98"/>
                </w:rPr>
                <w:t>Principal Stockholders</w:t>
              </w:r>
            </w:hyperlink>
          </w:p>
        </w:tc>
        <w:tc>
          <w:tcPr>
            <w:tcW w:w="2360" w:type="dxa"/>
            <w:vAlign w:val="bottom"/>
            <w:gridSpan w:val="8"/>
          </w:tcPr>
          <w:p>
            <w:pPr>
              <w:spacing w:after="0"/>
              <w:rPr>
                <w:sz w:val="15"/>
                <w:szCs w:val="15"/>
                <w:color w:val="auto"/>
              </w:rPr>
            </w:pPr>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4">
              <w:r>
                <w:rPr>
                  <w:rFonts w:ascii="Arial" w:cs="Arial" w:eastAsia="Arial" w:hAnsi="Arial"/>
                  <w:sz w:val="17"/>
                  <w:szCs w:val="17"/>
                  <w:color w:val="0000EE"/>
                </w:rPr>
                <w:t>132</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37">
              <w:r>
                <w:rPr>
                  <w:rFonts w:ascii="Arial" w:cs="Arial" w:eastAsia="Arial" w:hAnsi="Arial"/>
                  <w:sz w:val="17"/>
                  <w:szCs w:val="17"/>
                  <w:color w:val="0000EE"/>
                </w:rPr>
                <w:t>Description of Capital Stock</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37">
              <w:r>
                <w:rPr>
                  <w:rFonts w:ascii="Arial" w:cs="Arial" w:eastAsia="Arial" w:hAnsi="Arial"/>
                  <w:sz w:val="17"/>
                  <w:szCs w:val="17"/>
                  <w:color w:val="0000EE"/>
                </w:rPr>
                <w:t>135</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2">
              <w:r>
                <w:rPr>
                  <w:rFonts w:ascii="Arial" w:cs="Arial" w:eastAsia="Arial" w:hAnsi="Arial"/>
                  <w:sz w:val="17"/>
                  <w:szCs w:val="17"/>
                  <w:color w:val="0000EE"/>
                </w:rPr>
                <w:t>Shares Eligible for Future Sale</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2">
              <w:r>
                <w:rPr>
                  <w:rFonts w:ascii="Arial" w:cs="Arial" w:eastAsia="Arial" w:hAnsi="Arial"/>
                  <w:sz w:val="17"/>
                  <w:szCs w:val="17"/>
                  <w:color w:val="0000EE"/>
                </w:rPr>
                <w:t>140</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w w:val="99"/>
              </w:rPr>
            </w:pPr>
            <w:hyperlink w:anchor="page144">
              <w:r>
                <w:rPr>
                  <w:rFonts w:ascii="Arial" w:cs="Arial" w:eastAsia="Arial" w:hAnsi="Arial"/>
                  <w:sz w:val="17"/>
                  <w:szCs w:val="17"/>
                  <w:color w:val="0000EE"/>
                  <w:w w:val="99"/>
                </w:rPr>
                <w:t>Material U.S. Federal Income and Estate Tax Consequences to Non-U.S. Holders</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142</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Underwriting</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146</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Legal Matters</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Experts</w:t>
              </w:r>
            </w:hyperlink>
          </w:p>
        </w:tc>
        <w:tc>
          <w:tcPr>
            <w:tcW w:w="7480" w:type="dxa"/>
            <w:vAlign w:val="bottom"/>
            <w:gridSpan w:val="15"/>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Where You Can Find Additional Information</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154</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26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57">
              <w:r>
                <w:rPr>
                  <w:rFonts w:ascii="Arial" w:cs="Arial" w:eastAsia="Arial" w:hAnsi="Arial"/>
                  <w:sz w:val="17"/>
                  <w:szCs w:val="17"/>
                  <w:color w:val="0000EE"/>
                </w:rPr>
                <w:t>Index to Financial Statements</w:t>
              </w:r>
            </w:hyperlink>
          </w:p>
        </w:tc>
        <w:tc>
          <w:tcPr>
            <w:tcW w:w="52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3"/>
              </w:rPr>
            </w:pPr>
            <w:hyperlink w:anchor="page157">
              <w:r>
                <w:rPr>
                  <w:rFonts w:ascii="Arial" w:cs="Arial" w:eastAsia="Arial" w:hAnsi="Arial"/>
                  <w:sz w:val="17"/>
                  <w:szCs w:val="17"/>
                  <w:color w:val="0000EE"/>
                  <w:w w:val="93"/>
                </w:rPr>
                <w:t>F-1</w:t>
              </w:r>
            </w:hyperlink>
          </w:p>
        </w:tc>
        <w:tc>
          <w:tcPr>
            <w:tcW w:w="1320" w:type="dxa"/>
            <w:vAlign w:val="bottom"/>
          </w:tcPr>
          <w:p>
            <w:pPr>
              <w:spacing w:after="0"/>
              <w:rPr>
                <w:sz w:val="15"/>
                <w:szCs w:val="15"/>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26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36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8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from that contained in such prospectuses. We are offering to sell shares of our common stock, and seeking offers to buy shares of our common stock, only in jurisdictions where such offers and sales are permitted. The information in this prospectus is accurate only as of the date of this prospectus, regardless of the time of delivery of this prospectus or any sale of our common stock.</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b w:val="1"/>
          <w:bCs w:val="1"/>
          <w:color w:val="auto"/>
        </w:rPr>
        <w:t>Until and including October 31, 2015, 25 days after the date of this prospectus, all dealers that buy, sell or trade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7"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881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4565"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60"/>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"Risk Factors" and "Management's Discussion and Analysis Financial Condition and Results of Operations," in each case included in this prospectus. Unless the context otherwise requires, we use the terms "Aclaris," "company," "we," "us" and "our" in this prospectus to refer to Aclaris Therapeutics, Inc. and, where appropriate, our subsidiary.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Business</w:t>
      </w:r>
    </w:p>
    <w:p>
      <w:pPr>
        <w:spacing w:after="0" w:line="23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 less than 5%, that the observed results occurred by chance alone. We plan to commence three Phase 3 clinical trials of A-101 in patients with SK in th first quarter of 2016 and, if the results of these trials are favorable, to submit a New Drug Application, or NDA, for A-101 for the treatment of SK to the U.S. Food and Drug Administration, or FDA, in the fourth quarter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A-201 and A-301, as potential treatments for hair loss associated with an autoimmune skin disease known as alopecia areata, or AA, and potentially for other dermatological conditions. We intend to in-license or acquire additional drug candidates for other dermatological condition to build a fully integrated dermatology company.</w:t>
      </w:r>
    </w:p>
    <w:p>
      <w:pPr>
        <w:spacing w:after="0" w:line="203"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left="240" w:right="18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Management Experience</w:t>
      </w:r>
    </w:p>
    <w:p>
      <w:pPr>
        <w:spacing w:after="0" w:line="231" w:lineRule="exact"/>
        <w:rPr>
          <w:sz w:val="20"/>
          <w:szCs w:val="20"/>
          <w:color w:val="auto"/>
        </w:rPr>
      </w:pPr>
    </w:p>
    <w:p>
      <w:pPr>
        <w:ind w:left="240" w:right="120"/>
        <w:spacing w:after="0" w:line="246" w:lineRule="auto"/>
        <w:rPr>
          <w:sz w:val="20"/>
          <w:szCs w:val="20"/>
          <w:color w:val="auto"/>
        </w:rPr>
      </w:pPr>
      <w:r>
        <w:rPr>
          <w:rFonts w:ascii="Arial" w:cs="Arial" w:eastAsia="Arial" w:hAnsi="Arial"/>
          <w:sz w:val="17"/>
          <w:szCs w:val="17"/>
          <w:color w:val="auto"/>
        </w:rPr>
        <w:t>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904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790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Strategy</w:t>
      </w:r>
    </w:p>
    <w:p>
      <w:pPr>
        <w:spacing w:after="0" w:line="231"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219"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complete clinical development and obtain regulatory approval for A-101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A-101 and A-102 for the treatment of common warts and A-102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A-201 and A-301 for the treatment of AA and potentially for other dermatological conditions;</w:t>
      </w:r>
    </w:p>
    <w:p>
      <w:pPr>
        <w:spacing w:after="0" w:line="224"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build a specialized sales and marketing organization;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in-license or acquire additional drug candidates to build a fully integrated dermatology company.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680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31" w:lineRule="exact"/>
        <w:rPr>
          <w:sz w:val="20"/>
          <w:szCs w:val="20"/>
          <w:color w:val="auto"/>
        </w:rPr>
      </w:pPr>
    </w:p>
    <w:p>
      <w:pPr>
        <w:ind w:left="240" w:right="160"/>
        <w:spacing w:after="0" w:line="245" w:lineRule="auto"/>
        <w:rPr>
          <w:sz w:val="20"/>
          <w:szCs w:val="20"/>
          <w:color w:val="auto"/>
        </w:rPr>
      </w:pPr>
      <w:r>
        <w:rPr>
          <w:rFonts w:ascii="Arial" w:cs="Arial" w:eastAsia="Arial" w:hAnsi="Arial"/>
          <w:sz w:val="17"/>
          <w:szCs w:val="17"/>
          <w:color w:val="auto"/>
        </w:rPr>
        <w:t>We are developing A-101, our proprietary high-concentration hydrogen peroxide topical solution, for the treatment of SK.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Cryosurgery, which involves spraying liquid nitrogen at a temperature of negative 320 degrees Fahrenheit directly onto the SK lesions, is used in approximately two-thirds of treated SK patients.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 edema, or swelling.</w:t>
      </w:r>
    </w:p>
    <w:p>
      <w:pPr>
        <w:spacing w:after="0" w:line="202"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Electrodesiccation is labor- and time-intensive, can require local anesthesia and can lead to bleeding, infection and hyperpigmentation. With an excision procedure, the lesion is removed with a scalpel but remains intact for biopsy in cases where a definitive diagnosis has not been made. This procedure requires local anesthesia, can lead to infection and is more expensive than other treatment options. In addition, there are other dermatological treatments that are used less frequently.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7" w:lineRule="exact"/>
        <w:rPr>
          <w:sz w:val="20"/>
          <w:szCs w:val="20"/>
          <w:color w:val="auto"/>
        </w:rPr>
      </w:pPr>
    </w:p>
    <w:p>
      <w:pPr>
        <w:ind w:left="1280" w:right="20" w:hanging="524"/>
        <w:spacing w:after="0" w:line="259"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66" w:lineRule="exact"/>
        <w:rPr>
          <w:rFonts w:ascii="Arial" w:cs="Arial" w:eastAsia="Arial" w:hAnsi="Arial"/>
          <w:sz w:val="17"/>
          <w:szCs w:val="17"/>
          <w:color w:val="auto"/>
        </w:rPr>
      </w:pPr>
    </w:p>
    <w:p>
      <w:pPr>
        <w:ind w:left="1280" w:right="40" w:hanging="524"/>
        <w:spacing w:after="0" w:line="27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clinical trials conducted to date in over 300 patients with A-101, we have observed clinically releva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280" w:right="260" w:hanging="524"/>
        <w:spacing w:after="0" w:line="25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85" w:lineRule="exact"/>
        <w:rPr>
          <w:rFonts w:ascii="Arial" w:cs="Arial" w:eastAsia="Arial" w:hAnsi="Arial"/>
          <w:sz w:val="17"/>
          <w:szCs w:val="17"/>
          <w:color w:val="auto"/>
        </w:rPr>
      </w:pPr>
    </w:p>
    <w:p>
      <w:pPr>
        <w:jc w:val="both"/>
        <w:ind w:left="1280" w:hanging="524"/>
        <w:spacing w:after="0" w:line="259"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In November 2013, we commenced our first Phase 2 clinical trial for A-101 for the treatment of SK with 35 enrolled subjects with four SK lesions on th trunk. We evaluated three concentrations of A-101, 25.0%, 32.5% and 40.0%, in this trial. We completed this trial in June 2014 and observed clinically relevant and statistically significant results in the clearance of SK lesions on the trunk for both the 32.5% and 40.0% concentrations of A-101, as compared to vehicle, after one or two applications.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57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525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20"/>
        <w:spacing w:after="0" w:line="245" w:lineRule="auto"/>
        <w:rPr>
          <w:sz w:val="20"/>
          <w:szCs w:val="20"/>
          <w:color w:val="auto"/>
        </w:rPr>
      </w:pPr>
      <w:r>
        <w:rPr>
          <w:rFonts w:ascii="Arial" w:cs="Arial" w:eastAsia="Arial" w:hAnsi="Arial"/>
          <w:sz w:val="17"/>
          <w:szCs w:val="17"/>
          <w:color w:val="auto"/>
        </w:rPr>
        <w:t>In June 2014, we commenced our second Phase 2 clinical trial for the treatment of SK with 172 enrolled subjects with four SK lesions on the trunk or extremities. We evaluated two concentrations of A-101, 32.5% and 40.0%, in this trial. We completed this trial in December 2014 and observed clinically relevant and statistically significant results in the clearance of SK lesions on the trunk and extremities for both the 32.5% and 40.0% concentrations of A-101, as compared to vehicle, after one or two applications.</w:t>
      </w:r>
    </w:p>
    <w:p>
      <w:pPr>
        <w:spacing w:after="0" w:line="198" w:lineRule="exact"/>
        <w:rPr>
          <w:sz w:val="20"/>
          <w:szCs w:val="20"/>
          <w:color w:val="auto"/>
        </w:rPr>
      </w:pPr>
    </w:p>
    <w:p>
      <w:pPr>
        <w:ind w:left="240" w:right="40"/>
        <w:spacing w:after="0" w:line="245" w:lineRule="auto"/>
        <w:rPr>
          <w:sz w:val="20"/>
          <w:szCs w:val="20"/>
          <w:color w:val="auto"/>
        </w:rPr>
      </w:pPr>
      <w:r>
        <w:rPr>
          <w:rFonts w:ascii="Arial" w:cs="Arial" w:eastAsia="Arial" w:hAnsi="Arial"/>
          <w:sz w:val="17"/>
          <w:szCs w:val="17"/>
          <w:color w:val="auto"/>
        </w:rPr>
        <w:t>In October 2014, we commenced our third Phase 2 clinical trial for A-101 for the treatment of SK with 119 enrolled subjects with a single SK lesion on the face. We evaluated two concentrations of A-101, 32.5% and 40.0%, in this trial. We completed the trial in March 2015 and observed clinically relevant and statistically significant results in the clearance of SK lesions on the face for both the 32.5% and 40.0% concentrations of A-101, as compared to vehicle, after one or two applications.</w:t>
      </w:r>
    </w:p>
    <w:p>
      <w:pPr>
        <w:spacing w:after="0" w:line="198"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We submitted the results from these three Phase 2 clinical trials to the FDA and held an end-of-Phase 2 meeting with them in May 2015. Based on the feedback we received from the FDA at this meeting, we plan to commence three Phase 3 clinical trials of A-101 in patients with SK lesions on the face trunk and extremities in the first quarter of 2016. If the results of the Phase 3 clinical trials are favorable, we intend to submit our NDA for A-101 for the treatment of SK to the FDA in the fourth quarter of 2016 and build a specialty sales force to market the product to dermatologists in the United States. We have also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A-101, if approved, throughout the world.</w:t>
      </w:r>
    </w:p>
    <w:p>
      <w:pPr>
        <w:spacing w:after="0" w:line="20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We also plan to develop A-101 for the treatment of common warts. We are conducting toxicology studies and plan to commence Phase 2 clinical trials of A-101 for the treatment of common warts in the first quarter of 2016. In addition to A-101, we are also developing A-102, a proprietary topical gel dosage form of hydrogen peroxide, for the treatment of both SK and common warts. We plan to develop A-201 as an oral treatment for alopecia totalis and alopecia universalis and A-301 as a topical treatment for patchy AA. We plan to submit an investigational new drug application in the second half 2016 for A-201 and A-301 and commence clinical trials in the first half of 2017.</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left="240" w:right="20"/>
        <w:spacing w:after="0" w:line="243"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extension in a particular country. Our intellectual property portfolio also contains a U.S. and a PCT patent application directed to, among other things, formulations and methods of use for A-101 and a single-use, self-contained, pre-filled, disposable pen-type applicator for use with such formulations, including A-101. Our pending U.S. and PCT patent applications, if they issue as patents, would be expected to expire i 2035. In addition, our intellectual property portfolio contains certain issued patents related to A-201 and A-301 that are set to expire in 2023 and issue patents specifically directed to A-201 and A-301 that are set to expire in 2030, subject to any applicable patent term extension in a particular country.</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Financing History</w:t>
      </w:r>
    </w:p>
    <w:p>
      <w:pPr>
        <w:spacing w:after="0" w:line="231" w:lineRule="exact"/>
        <w:rPr>
          <w:sz w:val="20"/>
          <w:szCs w:val="20"/>
          <w:color w:val="auto"/>
        </w:rPr>
      </w:pPr>
    </w:p>
    <w:p>
      <w:pPr>
        <w:ind w:left="240" w:right="20"/>
        <w:spacing w:after="0" w:line="252" w:lineRule="auto"/>
        <w:rPr>
          <w:sz w:val="20"/>
          <w:szCs w:val="20"/>
          <w:color w:val="auto"/>
        </w:rPr>
      </w:pPr>
      <w:r>
        <w:rPr>
          <w:rFonts w:ascii="Arial" w:cs="Arial" w:eastAsia="Arial" w:hAnsi="Arial"/>
          <w:sz w:val="17"/>
          <w:szCs w:val="17"/>
          <w:color w:val="auto"/>
        </w:rPr>
        <w:t>Since inception, we have financed our operations through private placements of our convertible preferred stock with several investors, including funds affiliated with Vivo Capital, Fidelity Biosciences and Sofinnova Ventures, providing total gross proceeds of $71.5 million.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956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595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120"/>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deciding to invest in our common stock. These risks are discussed more fully in the "Risk Factors" section of this prospectus. These risks include the following:</w:t>
      </w:r>
    </w:p>
    <w:p>
      <w:pPr>
        <w:spacing w:after="0" w:line="219" w:lineRule="exact"/>
        <w:rPr>
          <w:sz w:val="20"/>
          <w:szCs w:val="20"/>
          <w:color w:val="auto"/>
        </w:rPr>
      </w:pPr>
    </w:p>
    <w:p>
      <w:pPr>
        <w:ind w:left="1280" w:right="2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the next several years and may never achieve o maintain profitability.</w:t>
      </w:r>
    </w:p>
    <w:p>
      <w:pPr>
        <w:spacing w:after="0" w:line="192"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98" w:lineRule="exact"/>
        <w:rPr>
          <w:rFonts w:ascii="Arial" w:cs="Arial" w:eastAsia="Arial" w:hAnsi="Arial"/>
          <w:sz w:val="17"/>
          <w:szCs w:val="17"/>
          <w:color w:val="auto"/>
        </w:rPr>
      </w:pPr>
    </w:p>
    <w:p>
      <w:pPr>
        <w:jc w:val="both"/>
        <w:ind w:left="1280" w:right="4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any other drug candidates, or experience significant delays in doing so, our business will be harmed.</w:t>
      </w:r>
    </w:p>
    <w:p>
      <w:pPr>
        <w:spacing w:after="0" w:line="211"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expect third-party payors generally will not cover the use of our drug candidates for the treatment of SK and, accordingly, our succes will be dependent upon the willingness of patients to pay out of pocket for procedures using these drug candidates.</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to attract, retain and motivate qualified personnel.</w:t>
      </w:r>
    </w:p>
    <w:p>
      <w:pPr>
        <w:spacing w:after="0" w:line="210" w:lineRule="exact"/>
        <w:rPr>
          <w:rFonts w:ascii="Arial" w:cs="Arial" w:eastAsia="Arial" w:hAnsi="Arial"/>
          <w:sz w:val="17"/>
          <w:szCs w:val="17"/>
          <w:color w:val="auto"/>
        </w:rPr>
      </w:pPr>
    </w:p>
    <w:p>
      <w:pPr>
        <w:ind w:left="1280" w:right="56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205" w:lineRule="exact"/>
        <w:rPr>
          <w:rFonts w:ascii="Arial" w:cs="Arial" w:eastAsia="Arial" w:hAnsi="Arial"/>
          <w:sz w:val="17"/>
          <w:szCs w:val="17"/>
          <w:color w:val="auto"/>
        </w:rPr>
      </w:pPr>
    </w:p>
    <w:p>
      <w:pPr>
        <w:jc w:val="both"/>
        <w:ind w:left="1280" w:right="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98"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drugs before or more successful than we do.</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 xml:space="preserve">We were incorporated under the laws of the State of Delaware in July 2012. Our principal executive offices are located at 101 Lindenwood Drive, Suite 400, Malvern, PA 19355 and our telephone number is (484) 324-7933. Our website address is </w:t>
      </w:r>
      <w:r>
        <w:rPr>
          <w:rFonts w:ascii="Arial" w:cs="Arial" w:eastAsia="Arial" w:hAnsi="Arial"/>
          <w:sz w:val="17"/>
          <w:szCs w:val="17"/>
          <w:i w:val="1"/>
          <w:iCs w:val="1"/>
          <w:color w:val="auto"/>
        </w:rPr>
        <w:t>www.aclaristx.com</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common stock.</w:t>
      </w:r>
    </w:p>
    <w:p>
      <w:pPr>
        <w:spacing w:after="0" w:line="198" w:lineRule="exact"/>
        <w:rPr>
          <w:sz w:val="20"/>
          <w:szCs w:val="20"/>
          <w:color w:val="auto"/>
        </w:rPr>
      </w:pPr>
    </w:p>
    <w:p>
      <w:pPr>
        <w:ind w:left="240" w:right="80"/>
        <w:spacing w:after="0" w:line="245" w:lineRule="auto"/>
        <w:rPr>
          <w:sz w:val="20"/>
          <w:szCs w:val="20"/>
          <w:color w:val="auto"/>
        </w:rPr>
      </w:pPr>
      <w:r>
        <w:rPr>
          <w:rFonts w:ascii="Arial" w:cs="Arial" w:eastAsia="Arial" w:hAnsi="Arial"/>
          <w:sz w:val="17"/>
          <w:szCs w:val="17"/>
          <w:color w:val="auto"/>
        </w:rPr>
        <w:t>We have proprietary rights to a number of trademarks used in this prospectus which are important to our business, including the Aclaris Therapeutics trademark.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399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439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jc w:val="both"/>
        <w:ind w:left="240" w:right="160"/>
        <w:spacing w:after="0" w:line="24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225" w:lineRule="exact"/>
        <w:rPr>
          <w:sz w:val="20"/>
          <w:szCs w:val="20"/>
          <w:color w:val="auto"/>
        </w:rPr>
      </w:pPr>
    </w:p>
    <w:p>
      <w:pPr>
        <w:jc w:val="both"/>
        <w:ind w:left="1280" w:right="20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98"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 over financial reporting;</w:t>
      </w:r>
    </w:p>
    <w:p>
      <w:pPr>
        <w:spacing w:after="0" w:line="210" w:lineRule="exact"/>
        <w:rPr>
          <w:rFonts w:ascii="Arial" w:cs="Arial" w:eastAsia="Arial" w:hAnsi="Arial"/>
          <w:sz w:val="17"/>
          <w:szCs w:val="17"/>
          <w:color w:val="auto"/>
        </w:rPr>
      </w:pPr>
    </w:p>
    <w:p>
      <w:pPr>
        <w:ind w:left="1280" w:right="7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 and</w:t>
      </w:r>
    </w:p>
    <w:p>
      <w:pPr>
        <w:spacing w:after="0" w:line="205"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requirements for non-binding advisory votes on executive compensation or golden parachute arrangements.</w:t>
      </w:r>
    </w:p>
    <w:p>
      <w:pPr>
        <w:spacing w:after="0" w:line="211" w:lineRule="exact"/>
        <w:rPr>
          <w:sz w:val="20"/>
          <w:szCs w:val="20"/>
          <w:color w:val="auto"/>
        </w:rPr>
      </w:pPr>
    </w:p>
    <w:p>
      <w:pPr>
        <w:ind w:left="240" w:right="40"/>
        <w:spacing w:after="0" w:line="242" w:lineRule="auto"/>
        <w:rPr>
          <w:sz w:val="20"/>
          <w:szCs w:val="20"/>
          <w:color w:val="auto"/>
        </w:rPr>
      </w:pPr>
      <w:r>
        <w:rPr>
          <w:rFonts w:ascii="Arial" w:cs="Arial" w:eastAsia="Arial" w:hAnsi="Arial"/>
          <w:sz w:val="17"/>
          <w:szCs w:val="17"/>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burdens. For example, we have taken advantage of the reduced reporting requirements with respect t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burdens, the information that we provide stockholders may be different than you might obtain from other public companie in which you hold equity interests.</w:t>
      </w:r>
    </w:p>
    <w:p>
      <w:pPr>
        <w:spacing w:after="0" w:line="206"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840"/>
        </w:trPr>
        <w:tc>
          <w:tcPr>
            <w:tcW w:w="1420" w:type="dxa"/>
            <w:vAlign w:val="bottom"/>
            <w:tcBorders>
              <w:top w:val="single" w:sz="8" w:color="auto"/>
              <w:left w:val="single" w:sz="8" w:color="auto"/>
            </w:tcBorders>
          </w:tcPr>
          <w:p>
            <w:pPr>
              <w:spacing w:after="0"/>
              <w:rPr>
                <w:sz w:val="24"/>
                <w:szCs w:val="24"/>
                <w:color w:val="auto"/>
              </w:rPr>
            </w:pPr>
          </w:p>
        </w:tc>
        <w:tc>
          <w:tcPr>
            <w:tcW w:w="10100" w:type="dxa"/>
            <w:vAlign w:val="bottom"/>
            <w:tcBorders>
              <w:top w:val="single" w:sz="8" w:color="auto"/>
            </w:tcBorders>
            <w:gridSpan w:val="2"/>
          </w:tcPr>
          <w:p>
            <w:pPr>
              <w:ind w:left="3860"/>
              <w:spacing w:after="0"/>
              <w:rPr>
                <w:sz w:val="20"/>
                <w:szCs w:val="20"/>
                <w:color w:val="auto"/>
              </w:rPr>
            </w:pPr>
            <w:r>
              <w:rPr>
                <w:rFonts w:ascii="Arial" w:cs="Arial" w:eastAsia="Arial" w:hAnsi="Arial"/>
                <w:sz w:val="17"/>
                <w:szCs w:val="17"/>
                <w:b w:val="1"/>
                <w:bCs w:val="1"/>
                <w:color w:val="auto"/>
              </w:rPr>
              <w:t>THE OFFERING</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stock</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offered by</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us</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5,000,000 shares</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stock to be</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outstanding</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immediately</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after this</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offering</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19,407,503 shares</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Option to</w:t>
            </w: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purchase</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additional</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We have granted the underwriters an option for a period of 30 days from the date of this prospectus to purchase up to 750,000</w:t>
            </w:r>
          </w:p>
        </w:tc>
      </w:tr>
      <w:tr>
        <w:trPr>
          <w:trHeight w:val="204"/>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shares</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additional shares of our common stock.</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Use of</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We estimate that the net proceeds to us from this offering, after deducting the underwriting discounts and commissions and estimate</w:t>
            </w: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proceeds</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offering expenses payable by us, will be $48.9 million, or $56.5 million if the underwriters exercise their option to purchase additional</w:t>
            </w:r>
          </w:p>
        </w:tc>
      </w:tr>
      <w:tr>
        <w:trPr>
          <w:trHeight w:val="204"/>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shares in full.</w:t>
            </w:r>
          </w:p>
        </w:tc>
      </w:tr>
      <w:tr>
        <w:trPr>
          <w:trHeight w:val="399"/>
        </w:trPr>
        <w:tc>
          <w:tcPr>
            <w:tcW w:w="1420" w:type="dxa"/>
            <w:vAlign w:val="bottom"/>
            <w:tcBorders>
              <w:left w:val="single" w:sz="8" w:color="auto"/>
            </w:tcBorders>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We anticipate that the net proceeds from this offering, together with our existing cash and cash equivalents, will be used to complete</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our three planned Phase 3 clinical trials and seek regulatory approval of A-101 for the treatment of SK; to fund continued research</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and development of A-101 for the treatment of common warts, including completion of our planned Phase 2 clinical trials for this</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indication; and to fund other research and development activities, including the development of A-102 for the treatment of SK and</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common warts and the development of A-201 and A-301 for the treatment of AA, as well as for working capital and other general</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corporate purposes, including to pursue our strategy to in-license or acquire additional drug candidates. See "Use of Proceeds" for</w:t>
            </w:r>
          </w:p>
        </w:tc>
      </w:tr>
      <w:tr>
        <w:trPr>
          <w:trHeight w:val="204"/>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additional information.</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Directed</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At our request, the underwriters have reserved up to 250,000 shares of common stock, or 5% of the shares being offered by this</w:t>
            </w: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share</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prospectus (excluding the shares of common stock that may be issued upon the underwriters' exercise of their option to purchase</w:t>
            </w: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program</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additional shares), for sale at the initial public offering price to our directors, officers and employees and certain other persons</w:t>
            </w:r>
          </w:p>
        </w:tc>
      </w:tr>
      <w:tr>
        <w:trPr>
          <w:trHeight w:val="204"/>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associated with us, as designated by us.</w:t>
            </w:r>
          </w:p>
        </w:tc>
      </w:tr>
      <w:tr>
        <w:trPr>
          <w:trHeight w:val="399"/>
        </w:trPr>
        <w:tc>
          <w:tcPr>
            <w:tcW w:w="1420" w:type="dxa"/>
            <w:vAlign w:val="bottom"/>
            <w:tcBorders>
              <w:left w:val="single" w:sz="8" w:color="auto"/>
            </w:tcBorders>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The number of shares available for sale to the general public will be reduced to the extent that these individuals purchase all or a</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portion of the reserved shares. Any reserved shares not so purchased will be offered by the underwriters to the general public on the</w:t>
            </w:r>
          </w:p>
        </w:tc>
      </w:tr>
      <w:tr>
        <w:trPr>
          <w:trHeight w:val="197"/>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same basis as the other shares offered by this prospectus. For further information regarding our directed share program, please see</w:t>
            </w:r>
          </w:p>
        </w:tc>
      </w:tr>
      <w:tr>
        <w:trPr>
          <w:trHeight w:val="204"/>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"Underwriting."</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Risk factors</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w w:val="99"/>
              </w:rPr>
              <w:t>You should read the "Risk Factors" section of this prospectus for a discussion of factors to consider carefully before deciding to inves</w:t>
            </w:r>
          </w:p>
        </w:tc>
      </w:tr>
      <w:tr>
        <w:trPr>
          <w:trHeight w:val="204"/>
        </w:trPr>
        <w:tc>
          <w:tcPr>
            <w:tcW w:w="1420" w:type="dxa"/>
            <w:vAlign w:val="bottom"/>
            <w:tcBorders>
              <w:left w:val="single" w:sz="8" w:color="auto"/>
            </w:tcBorders>
          </w:tcPr>
          <w:p>
            <w:pPr>
              <w:spacing w:after="0"/>
              <w:rPr>
                <w:sz w:val="17"/>
                <w:szCs w:val="17"/>
                <w:color w:val="auto"/>
              </w:rPr>
            </w:pP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in shares of our common stock.</w:t>
            </w:r>
          </w:p>
        </w:tc>
      </w:tr>
      <w:tr>
        <w:trPr>
          <w:trHeight w:val="399"/>
        </w:trPr>
        <w:tc>
          <w:tcPr>
            <w:tcW w:w="14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NASDAQ</w:t>
            </w: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Global</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Select</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Market</w:t>
            </w: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symbol</w:t>
            </w:r>
          </w:p>
        </w:tc>
        <w:tc>
          <w:tcPr>
            <w:tcW w:w="10100" w:type="dxa"/>
            <w:vAlign w:val="bottom"/>
            <w:gridSpan w:val="2"/>
          </w:tcPr>
          <w:p>
            <w:pPr>
              <w:ind w:left="120"/>
              <w:spacing w:after="0"/>
              <w:rPr>
                <w:sz w:val="20"/>
                <w:szCs w:val="20"/>
                <w:color w:val="auto"/>
              </w:rPr>
            </w:pPr>
            <w:r>
              <w:rPr>
                <w:rFonts w:ascii="Arial" w:cs="Arial" w:eastAsia="Arial" w:hAnsi="Arial"/>
                <w:sz w:val="17"/>
                <w:szCs w:val="17"/>
                <w:color w:val="auto"/>
              </w:rPr>
              <w:t>"ACRS."</w:t>
            </w:r>
          </w:p>
        </w:tc>
      </w:tr>
      <w:tr>
        <w:trPr>
          <w:trHeight w:val="445"/>
        </w:trPr>
        <w:tc>
          <w:tcPr>
            <w:tcW w:w="1420" w:type="dxa"/>
            <w:vAlign w:val="bottom"/>
            <w:tcBorders>
              <w:left w:val="single" w:sz="8" w:color="auto"/>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420" w:type="dxa"/>
            <w:vAlign w:val="bottom"/>
          </w:tcPr>
          <w:p>
            <w:pPr>
              <w:spacing w:after="0"/>
              <w:rPr>
                <w:sz w:val="24"/>
                <w:szCs w:val="24"/>
                <w:color w:val="auto"/>
              </w:rPr>
            </w:pPr>
          </w:p>
        </w:tc>
        <w:tc>
          <w:tcPr>
            <w:tcW w:w="10000" w:type="dxa"/>
            <w:vAlign w:val="bottom"/>
          </w:tcPr>
          <w:p>
            <w:pPr>
              <w:ind w:left="42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r>
      <w:tr>
        <w:trPr>
          <w:trHeight w:val="209"/>
        </w:trPr>
        <w:tc>
          <w:tcPr>
            <w:tcW w:w="1420" w:type="dxa"/>
            <w:vAlign w:val="bottom"/>
            <w:tcBorders>
              <w:bottom w:val="single" w:sz="8" w:color="808080"/>
            </w:tcBorders>
          </w:tcPr>
          <w:p>
            <w:pPr>
              <w:spacing w:after="0"/>
              <w:rPr>
                <w:sz w:val="18"/>
                <w:szCs w:val="18"/>
                <w:color w:val="auto"/>
              </w:rPr>
            </w:pPr>
          </w:p>
        </w:tc>
        <w:tc>
          <w:tcPr>
            <w:tcW w:w="1000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175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417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20"/>
        <w:spacing w:after="0" w:line="246" w:lineRule="auto"/>
        <w:rPr>
          <w:sz w:val="20"/>
          <w:szCs w:val="20"/>
          <w:color w:val="auto"/>
        </w:rPr>
      </w:pPr>
      <w:r>
        <w:rPr>
          <w:rFonts w:ascii="Arial" w:cs="Arial" w:eastAsia="Arial" w:hAnsi="Arial"/>
          <w:sz w:val="17"/>
          <w:szCs w:val="17"/>
          <w:color w:val="auto"/>
        </w:rPr>
        <w:t>The number of shares of our common stock that will be outstanding after this offering is based on 14,407,503 shares of common stock outstanding as of September 1, 2015, after giving effect to the conversion of shares of our convertible preferred stock outstanding as of September 1, 2015 into an aggregate of 11,677,076 shares of our common stock upon the closing of this offering, and excludes:</w:t>
      </w:r>
    </w:p>
    <w:p>
      <w:pPr>
        <w:spacing w:after="0" w:line="225" w:lineRule="exact"/>
        <w:rPr>
          <w:sz w:val="20"/>
          <w:szCs w:val="20"/>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1,140,524 shares of our common stock issuable upon the exercise of stock options outstanding under our 2012 equity compensation pla as of September 1, 2015, at a weighted average exercise price of $6.52 per share;</w:t>
      </w:r>
    </w:p>
    <w:p>
      <w:pPr>
        <w:spacing w:after="0" w:line="192"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89,800 shares of our common stock issuable upon the exercise of stock options we have granted under our 2015 equity incentive plan a of the date of this prospectus, at an exercise price of $11.00 per share; and</w:t>
      </w:r>
    </w:p>
    <w:p>
      <w:pPr>
        <w:spacing w:after="0" w:line="192" w:lineRule="exact"/>
        <w:rPr>
          <w:rFonts w:ascii="Arial" w:cs="Arial" w:eastAsia="Arial" w:hAnsi="Arial"/>
          <w:sz w:val="17"/>
          <w:szCs w:val="17"/>
          <w:color w:val="auto"/>
        </w:rPr>
      </w:pPr>
    </w:p>
    <w:p>
      <w:pPr>
        <w:ind w:left="1280" w:right="42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additional 1,554,071 shares of our common stock reserved for future issuance under our 2015 equity incentive plan, plus any additional shares of our common stock that may become available under our 2015 equity incentive plan, as more fully described in "Executive Compensation — Equity Incentive Plans."</w:t>
      </w:r>
    </w:p>
    <w:p>
      <w:pPr>
        <w:spacing w:after="0" w:line="199" w:lineRule="exact"/>
        <w:rPr>
          <w:sz w:val="20"/>
          <w:szCs w:val="20"/>
          <w:color w:val="auto"/>
        </w:rPr>
      </w:pPr>
    </w:p>
    <w:p>
      <w:pPr>
        <w:ind w:left="240" w:right="420"/>
        <w:spacing w:after="0" w:line="252" w:lineRule="auto"/>
        <w:rPr>
          <w:sz w:val="20"/>
          <w:szCs w:val="20"/>
          <w:color w:val="auto"/>
        </w:rPr>
      </w:pPr>
      <w:r>
        <w:rPr>
          <w:rFonts w:ascii="Arial" w:cs="Arial" w:eastAsia="Arial" w:hAnsi="Arial"/>
          <w:sz w:val="17"/>
          <w:szCs w:val="17"/>
          <w:color w:val="auto"/>
        </w:rPr>
        <w:t>Except as otherwise indicated herein, all information in this prospectus, including the number of shares that will be outstanding after this offering, assumes or gives effect to:</w:t>
      </w:r>
    </w:p>
    <w:p>
      <w:pPr>
        <w:spacing w:after="0" w:line="219"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1-for-3.45 reverse stock split of our common stock effected on September 24, 2015;</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an additional 750,000 shares of our common stock in this offering.</w:t>
      </w:r>
    </w:p>
    <w:p>
      <w:pPr>
        <w:spacing w:after="0" w:line="21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up to an aggregate of $15.0 million in shares of our common stock in this offering at the initial public offering price per share. However, because indications of interest are not binding agreements or commitments to purchase, the underwriters may determine to sell more, less or no shares in this offering to any of these entities, or any of these entities may determine to purchase more, less or no shares in this offering. The underwriters will receive the same underwriting discount on any share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307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30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thereto included elsewhere in this prospectus and the "Selected Financial Data" and "Management's Discussion and Analysis of Financial Condition and Results of Operations" sections of this prospectus. We have derived the statement of operations data for the years ended December 31, 2013 and 2014 from our audited financial statements included elsewhere in this prospectus. The statement of operations data for the six months ended June 30, 2014 and 2015 and the balanc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6"/>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78"/>
              <w:spacing w:after="0" w:line="151"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spacing w:after="0" w:line="151" w:lineRule="exact"/>
              <w:rPr>
                <w:sz w:val="20"/>
                <w:szCs w:val="20"/>
                <w:color w:val="auto"/>
              </w:rPr>
            </w:pPr>
            <w:r>
              <w:rPr>
                <w:rFonts w:ascii="Arial" w:cs="Arial" w:eastAsia="Arial" w:hAnsi="Arial"/>
                <w:sz w:val="14"/>
                <w:szCs w:val="14"/>
                <w:b w:val="1"/>
                <w:bCs w:val="1"/>
                <w:color w:val="auto"/>
                <w:w w:val="89"/>
              </w:rPr>
              <w:t>thousands, except</w:t>
            </w:r>
          </w:p>
        </w:tc>
        <w:tc>
          <w:tcPr>
            <w:tcW w:w="3540" w:type="dxa"/>
            <w:vAlign w:val="bottom"/>
            <w:gridSpan w:val="10"/>
          </w:tcPr>
          <w:p>
            <w:pPr>
              <w:ind w:left="20"/>
              <w:spacing w:after="0" w:line="151" w:lineRule="exact"/>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gridSpan w:val="2"/>
          </w:tcPr>
          <w:p>
            <w:pPr>
              <w:ind w:left="1160"/>
              <w:spacing w:after="0"/>
              <w:rPr>
                <w:sz w:val="20"/>
                <w:szCs w:val="20"/>
                <w:color w:val="auto"/>
              </w:rPr>
            </w:pPr>
            <w:r>
              <w:rPr>
                <w:rFonts w:ascii="Arial" w:cs="Arial" w:eastAsia="Arial" w:hAnsi="Arial"/>
                <w:sz w:val="17"/>
                <w:szCs w:val="17"/>
                <w:color w:val="auto"/>
              </w:rPr>
              <w:t>Revenue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80" w:type="dxa"/>
            <w:vAlign w:val="bottom"/>
            <w:gridSpan w:val="3"/>
          </w:tcPr>
          <w:p>
            <w:pPr>
              <w:jc w:val="right"/>
              <w:ind w:righ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3,530</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340" w:type="dxa"/>
            <w:vAlign w:val="bottom"/>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8,533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5,225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(8,533)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(3,269)</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00" w:type="dxa"/>
            <w:vAlign w:val="bottom"/>
            <w:gridSpan w:val="2"/>
          </w:tcPr>
          <w:p>
            <w:pPr>
              <w:ind w:left="1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(8,517)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00" w:type="dxa"/>
            <w:vAlign w:val="bottom"/>
            <w:gridSpan w:val="2"/>
          </w:tcPr>
          <w:p>
            <w:pPr>
              <w:ind w:left="1160"/>
              <w:spacing w:after="0"/>
              <w:rPr>
                <w:sz w:val="20"/>
                <w:szCs w:val="20"/>
                <w:color w:val="auto"/>
              </w:rPr>
            </w:pPr>
            <w:r>
              <w:rPr>
                <w:rFonts w:ascii="Arial" w:cs="Arial" w:eastAsia="Arial" w:hAnsi="Arial"/>
                <w:sz w:val="17"/>
                <w:szCs w:val="17"/>
                <w:color w:val="auto"/>
              </w:rPr>
              <w:t>Accretion of preferred stock to redemption value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(2,054)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(914)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(1,333)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(6,976)</w:t>
            </w:r>
          </w:p>
        </w:tc>
        <w:tc>
          <w:tcPr>
            <w:tcW w:w="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(10,571)</w:t>
            </w:r>
          </w:p>
        </w:tc>
        <w:tc>
          <w:tcPr>
            <w:tcW w:w="1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(4,177)</w:t>
            </w:r>
          </w:p>
        </w:tc>
        <w:tc>
          <w:tcPr>
            <w:tcW w:w="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160"/>
              <w:spacing w:after="0"/>
              <w:rPr>
                <w:sz w:val="20"/>
                <w:szCs w:val="20"/>
                <w:color w:val="auto"/>
              </w:rPr>
            </w:pPr>
            <w:r>
              <w:rPr>
                <w:rFonts w:ascii="Arial" w:cs="Arial" w:eastAsia="Arial" w:hAnsi="Arial"/>
                <w:sz w:val="17"/>
                <w:szCs w:val="17"/>
                <w:color w:val="auto"/>
              </w:rPr>
              <w:t>Net loss per share attributable to common stockholders,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34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(6.45)</w:t>
            </w:r>
          </w:p>
        </w:tc>
        <w:tc>
          <w:tcPr>
            <w:tcW w:w="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(6.15)</w:t>
            </w:r>
          </w:p>
        </w:tc>
        <w:tc>
          <w:tcPr>
            <w:tcW w:w="1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(2.49)</w:t>
            </w:r>
          </w:p>
        </w:tc>
        <w:tc>
          <w:tcPr>
            <w:tcW w:w="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(3.04)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3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Weighted average common shares outstanding, basic</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3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and diluted</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1,081,347</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1,720,082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1,675,242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2,154,953</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 forma net loss per share attributable to common</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34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(0.92)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(0.49)</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3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weighted average common shares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3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outstanding, basic and diluted (unaudited)</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9,261,917</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10,655,346</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6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57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25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summary balance sheet data as of June 30, 2015:</w:t>
      </w:r>
    </w:p>
    <w:p>
      <w:pPr>
        <w:spacing w:after="0" w:line="237"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800" w:right="20" w:hanging="519"/>
        <w:spacing w:after="0" w:line="252"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sale of an aggregate of 12,944,984 shares of Series C convertible preferred stock in August 2015 at a purchase price of $3.0 per share for gross proceeds of $40.0 million;</w:t>
      </w:r>
    </w:p>
    <w:p>
      <w:pPr>
        <w:spacing w:after="0" w:line="205" w:lineRule="exact"/>
        <w:rPr>
          <w:rFonts w:ascii="Arial" w:cs="Arial" w:eastAsia="Arial" w:hAnsi="Arial"/>
          <w:sz w:val="17"/>
          <w:szCs w:val="17"/>
          <w:color w:val="auto"/>
        </w:rPr>
      </w:pPr>
    </w:p>
    <w:p>
      <w:pPr>
        <w:ind w:left="1800" w:right="260" w:hanging="519"/>
        <w:spacing w:after="0" w:line="252"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upfront payment of $8.0 million to Rigel Pharmaceuticals, Inc., or Rigel, to be made within 30 business days of August 27, 2015 in connection with our license of rights to our JAK inhibitors and related intellectual property from Rigel; and</w:t>
      </w:r>
    </w:p>
    <w:p>
      <w:pPr>
        <w:spacing w:after="0" w:line="192" w:lineRule="exact"/>
        <w:rPr>
          <w:rFonts w:ascii="Arial" w:cs="Arial" w:eastAsia="Arial" w:hAnsi="Arial"/>
          <w:sz w:val="17"/>
          <w:szCs w:val="17"/>
          <w:color w:val="auto"/>
        </w:rPr>
      </w:pPr>
    </w:p>
    <w:p>
      <w:pPr>
        <w:jc w:val="both"/>
        <w:ind w:left="1800" w:right="60" w:hanging="519"/>
        <w:spacing w:after="0" w:line="246"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including the shares of Series C convertible preferred stock issued in August 2015, into an aggregate of 11,677,076 shares of our common stock, which will occur upon the closing of this offering; and</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jc w:val="both"/>
        <w:ind w:left="1280" w:hanging="524"/>
        <w:spacing w:after="0" w:line="246"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sale of 5,000,000 shares of common stock in this offering at the initial public offering price of $11.00 per share, after deducting the underwriting discounts and commissions and estimated offering expenses payable by us.</w:t>
      </w:r>
    </w:p>
    <w:p>
      <w:pPr>
        <w:spacing w:after="0" w:line="315"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June 30, 2015</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39"/>
        </w:trPr>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7"/>
              <w:spacing w:after="0" w:line="139" w:lineRule="exact"/>
              <w:rPr>
                <w:sz w:val="20"/>
                <w:szCs w:val="20"/>
                <w:color w:val="auto"/>
              </w:rPr>
            </w:pPr>
            <w:r>
              <w:rPr>
                <w:rFonts w:ascii="Arial" w:cs="Arial" w:eastAsia="Arial" w:hAnsi="Arial"/>
                <w:sz w:val="14"/>
                <w:szCs w:val="14"/>
                <w:b w:val="1"/>
                <w:bCs w:val="1"/>
                <w:color w:val="auto"/>
                <w:w w:val="97"/>
              </w:rPr>
              <w:t>Pro Forma</w:t>
            </w:r>
          </w:p>
        </w:tc>
        <w:tc>
          <w:tcPr>
            <w:tcW w:w="1180" w:type="dxa"/>
            <w:vAlign w:val="bottom"/>
            <w:gridSpan w:val="2"/>
          </w:tcPr>
          <w:p>
            <w:pPr>
              <w:spacing w:after="0"/>
              <w:rPr>
                <w:sz w:val="12"/>
                <w:szCs w:val="12"/>
                <w:color w:val="auto"/>
              </w:rPr>
            </w:pPr>
          </w:p>
        </w:tc>
      </w:tr>
      <w:tr>
        <w:trPr>
          <w:trHeight w:val="169"/>
        </w:trPr>
        <w:tc>
          <w:tcPr>
            <w:tcW w:w="1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2120" w:type="dxa"/>
            <w:vAlign w:val="bottom"/>
            <w:gridSpan w:val="4"/>
          </w:tcPr>
          <w:p>
            <w:pPr>
              <w:ind w:left="60"/>
              <w:spacing w:after="0"/>
              <w:rPr>
                <w:sz w:val="20"/>
                <w:szCs w:val="20"/>
                <w:color w:val="auto"/>
              </w:rPr>
            </w:pPr>
            <w:r>
              <w:rPr>
                <w:rFonts w:ascii="Arial" w:cs="Arial" w:eastAsia="Arial" w:hAnsi="Arial"/>
                <w:sz w:val="14"/>
                <w:szCs w:val="14"/>
                <w:b w:val="1"/>
                <w:bCs w:val="1"/>
                <w:color w:val="auto"/>
              </w:rPr>
              <w:t>As Adjusted</w:t>
            </w:r>
          </w:p>
        </w:tc>
      </w:tr>
      <w:tr>
        <w:trPr>
          <w:trHeight w:val="150"/>
        </w:trPr>
        <w:tc>
          <w:tcPr>
            <w:tcW w:w="11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7"/>
        </w:trPr>
        <w:tc>
          <w:tcPr>
            <w:tcW w:w="116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5640" w:type="dxa"/>
            <w:vAlign w:val="bottom"/>
            <w:gridSpan w:val="2"/>
          </w:tcPr>
          <w:p>
            <w:pPr>
              <w:ind w:left="1160"/>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9,853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41,853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91,598</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41,020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90,998</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5640" w:type="dxa"/>
            <w:vAlign w:val="bottom"/>
            <w:gridSpan w:val="2"/>
          </w:tcPr>
          <w:p>
            <w:pPr>
              <w:ind w:left="1160"/>
              <w:spacing w:after="0"/>
              <w:rPr>
                <w:sz w:val="20"/>
                <w:szCs w:val="20"/>
                <w:color w:val="auto"/>
              </w:rPr>
            </w:pPr>
            <w:r>
              <w:rPr>
                <w:rFonts w:ascii="Arial" w:cs="Arial" w:eastAsia="Arial" w:hAnsi="Arial"/>
                <w:sz w:val="17"/>
                <w:szCs w:val="17"/>
                <w:color w:val="auto"/>
              </w:rPr>
              <w:t>Total assets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12,223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44,223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92,840</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7"/>
                <w:szCs w:val="17"/>
                <w:color w:val="auto"/>
              </w:rPr>
            </w:pPr>
          </w:p>
        </w:tc>
      </w:tr>
      <w:tr>
        <w:trPr>
          <w:trHeight w:val="207"/>
        </w:trPr>
        <w:tc>
          <w:tcPr>
            <w:tcW w:w="5640" w:type="dxa"/>
            <w:vAlign w:val="bottom"/>
            <w:gridSpan w:val="2"/>
          </w:tcPr>
          <w:p>
            <w:pPr>
              <w:ind w:left="1160"/>
              <w:spacing w:after="0"/>
              <w:rPr>
                <w:sz w:val="20"/>
                <w:szCs w:val="20"/>
                <w:color w:val="auto"/>
              </w:rPr>
            </w:pPr>
            <w:r>
              <w:rPr>
                <w:rFonts w:ascii="Arial" w:cs="Arial" w:eastAsia="Arial" w:hAnsi="Arial"/>
                <w:sz w:val="17"/>
                <w:szCs w:val="17"/>
                <w:color w:val="auto"/>
              </w:rPr>
              <w:t>Total stockholders' equity (deficit)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(27,214)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42,796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91,646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94"/>
        </w:trPr>
        <w:tc>
          <w:tcPr>
            <w:tcW w:w="116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13" w:lineRule="exact"/>
        <w:rPr>
          <w:sz w:val="20"/>
          <w:szCs w:val="20"/>
          <w:color w:val="auto"/>
        </w:rPr>
      </w:pPr>
    </w:p>
    <w:p>
      <w:pPr>
        <w:ind w:left="240" w:right="60"/>
        <w:spacing w:after="0" w:line="246" w:lineRule="auto"/>
        <w:rPr>
          <w:sz w:val="20"/>
          <w:szCs w:val="20"/>
          <w:color w:val="auto"/>
        </w:rPr>
      </w:pPr>
      <w:r>
        <w:rPr>
          <w:rFonts w:ascii="Arial" w:cs="Arial" w:eastAsia="Arial" w:hAnsi="Arial"/>
          <w:sz w:val="17"/>
          <w:szCs w:val="17"/>
          <w:color w:val="auto"/>
        </w:rPr>
        <w:t>As of June 30, 2015, we had recorded deferred initial public offering costs of $1.1 million, of which $0.9 million had been paid in cash and $0.2 million was accrued. The pro forma as adjusted amounts in the table above give effect to our payment of an additional $1.4 million of estimated offering expenses after June 30, 2015, including the $0.2 million accrued as of that 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Before you invest in our common stock, you should carefully consider the following risks, as well as general economic and business risks, and all of the other information contained in this prospectus. Any of the following risks could have a material adverse effect on our business, operating results and financial condition and cause the trading price of our common stock to decline, which would cause you to lose all or part of your investment. When determining whether to invest, you should also refer to the other information contained in this prospectus, including our financial statements and the related notes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21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We have incurred significant losses since our inception. We expect to incur losses over the next several years and may never achieve or maintain profitability.</w:t>
      </w:r>
    </w:p>
    <w:p>
      <w:pPr>
        <w:spacing w:after="0" w:line="17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are a clinical-stage specialty pharmaceutical company with limited operating history. Since inception, we have incurred significant net losses. We incurred net losses of $5.2 million and $8.5 million for the years ended December 31, 2013 and 2014, respectively, and $5.2 million for the six months ended June 30, 2015. As of June 30, 2015, we had an accumulated deficit of $27.2 million. Through September 1, 2015, we have financed our operations with $71.5 million in gross proceeds raised in private placements of convertible preferred stock. We have no products approved for commercialization and have never generated any revenue.</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have devoted substantially all of our financial resources and efforts to development of our lead drug candidate, A-101 for the treatment of SK, including preclinical studies and clinical trials. We have completed three Phase 2 clinical trials of A-101 in patients with SK. In addition to developing A-101 for the treatment of SK, we are also developing A-101 as a prescription treatment for common warts as well as A-102, a gel dosage form of hydrogen peroxide, as a prescription treatment for SK and common warts. We plan to develop A-201 as an oral treatment for alopecia totalis and alopecia universalis and A-301 as a topical treatment for patchy AA. Therefore,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214" w:lineRule="exact"/>
        <w:rPr>
          <w:sz w:val="20"/>
          <w:szCs w:val="20"/>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 our ongoing clinical trials evaluating A-101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pursue regulatory approvals for A-101 for the treatment of SK and for any other drug candidates that successfully complete clinical trials;</w:t>
      </w:r>
    </w:p>
    <w:p>
      <w:pPr>
        <w:spacing w:after="0" w:line="210"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initiate clinical trials of our other drug candidates, including A-101 for the treatment of common warts, A-102 for the treatment of SK and common warts, and A-201 and A-301 for the treatment of AA;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 to discover and develop additional drug candidates;</w:t>
      </w:r>
    </w:p>
    <w:p>
      <w:pPr>
        <w:spacing w:after="0" w:line="22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ultimately establish a commercialization infrastructure and scale up external manufacturing and distribution capabilities to commercialize any drug candidates for which we may obtain regulatory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 to in-license or acquire additional drug candidates for other dermatological conditions;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adapt our regulatory compliance efforts to incorporate requirements applicable to marketed drugs;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hire additional clinical, manufacturing and scientific personnel;</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and planned future commercialization efforts;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as a public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obtaining regulatory approval, and manufacturing, marketing and selling any drug candidates for which we may obtain regulatory approval, as well as discovering and developing additional drug candidates. We are only in the preliminary stages of most of these activities. We may never succeed in these activities and, even if we do, may never generate revenue that is significant enough to achieve profitability.</w:t>
      </w:r>
    </w:p>
    <w:p>
      <w:pPr>
        <w:spacing w:after="0" w:line="199"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In cases where we are successful in obtaining regulatory approval to market one or more of our drug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or the development of any of our drug candidates, our expenses could increase.</w:t>
      </w:r>
    </w:p>
    <w:p>
      <w:pPr>
        <w:spacing w:after="0" w:line="198"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drug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3 clinical trials of A-101 in patients with SK, seek marketing approval for A-101 for the treatment of SK and advance our other drug candidates. In addition, our drug candidates, if approved, may not achieve commercial success. Our revenue, if any, will be derived from sales of drugs that we do not expect to be commercially available for a number of years, if at all. If we obtain marketing approval for A-101 for the treatment of SK or any other drug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We believe that the anticipated net proceeds from this offering, together with our existing cash and cash equivalents, will enable us to fund our operating expenses and capital expenditure requirements for at least the next 24 months. This estimate is based on assumptions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Our future capital requirements will depend on many factors, including:</w:t>
      </w:r>
    </w:p>
    <w:p>
      <w:pPr>
        <w:spacing w:after="0" w:line="212" w:lineRule="exact"/>
        <w:rPr>
          <w:sz w:val="20"/>
          <w:szCs w:val="20"/>
          <w:color w:val="auto"/>
        </w:rPr>
      </w:pPr>
    </w:p>
    <w:p>
      <w:pPr>
        <w:ind w:left="1060" w:right="220" w:hanging="531"/>
        <w:spacing w:after="0" w:line="25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progress and results of the three Phase 3 clinical trials of A-101 in patients with SK that we plan to commence in the first quarter of 2016;</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progress and results of the toxicology studies and Phase 2 clinical trials evaluating A-101 as a potential treatment for common warts;</w:t>
      </w:r>
    </w:p>
    <w:p>
      <w:pPr>
        <w:spacing w:after="0" w:line="210"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drug candidates, including A-102, A-201 and A-301;</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drug candidates and technologies;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may pursue;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drug manufacturing, marketing, sales and distribution, for any of our drug candidates for which we receive marketing approval;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collaborations to commercialize A-101 outside the United States; and</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expect that we will require additional capital to commercialize A-101 for the treatment of SK. If we receive regulatory approval for A-101 for this indication,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could be forced to curtail our planned operations and the pursuit of our growth strategy.</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We have a limited operating history and no history of commercializing drugs, which may make it difficult for you to evaluate the success of our business to date and to assess our future viability.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commenced operations in 2012, and our operations to date have been largely focused on raising capital and developing A-101 for the treatment</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of SK, including undertaking preclinical studies and conducting clinical trials. A-101 for the treatment of SK is our only drug candidate for which we have conducted clinical trials.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drugs.</w:t>
      </w:r>
    </w:p>
    <w:p>
      <w:pPr>
        <w:spacing w:after="0" w:line="199"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of Our Drug Candidates</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or any other drug candidates, or experience significant delays in doing so, our business will be harmed.</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currently have no drug products that are approved for commercial sale. We are early in our development efforts and have only one drug candidate, A-101 for the treatment of SK, for which we have conducted Phase 2 clinical trials. We have not completed the development of any drug candidates and we may never be able to develop marketable drugs. We have invested substantially all of our efforts and financial resources in the development of A-101 for the treatment of SK, the development of our other drug candidates and the identification of potential drug candidates. Our ability to generate revenue from our drug candidates, which we do not expect will occur for a number of years, if ever, will depend heavily on their successful development, regulatory approval and eventual commercialization of these drug candidates. The success of A-101 or any other drug candidates that we develop, including A-102, A-201 and A-301, will depend on several factors, including:</w:t>
      </w:r>
    </w:p>
    <w:p>
      <w:pPr>
        <w:spacing w:after="0" w:line="214"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 completion of preclinical studies and our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 development of our manufacturing processes for any of our drug candidates that receive regulatory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receipt of timely marketing approvals from applicable regulatory authorities;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launching commercial sales of drugs, if approved;</w:t>
      </w:r>
    </w:p>
    <w:p>
      <w:pPr>
        <w:spacing w:after="0" w:line="224"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acceptance of our drugs, if approved, by patients, the medical community and third-party payors, and willingness of patients to pay out of pocket for procedures using our drug candidates for the treatment of SK;</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A-101 or any other drug candidates, if approved;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prevalence and severity of adverse events experienced with A-101 or our other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treatments for SK;</w:t>
      </w:r>
    </w:p>
    <w:p>
      <w:pPr>
        <w:spacing w:after="0" w:line="210"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obtaining and maintaining patent, trademark and trade secret protection and regulatory exclusivity for our drug candidates and otherwise protecting our rights in our intellectual property portfolio;</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maintaining compliance with regulatory requirements, including current good manufacturing practices, or cGMPs;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competing effectively with other procedures;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a continued acceptable safety, tolerability and efficacy profile of the drugs following approval.</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Our drug candidates' success in clinical trials will not guarantee regulatory approval. If, following submission, our NDA for A-101 for the treatment of SK or any other drug candidate is not accepted for substantive review, or even if it is accepted for substantive review, the FDA or other comparable foreign regulatory authorities may require that we conduct additional studies or clinical trials, provide additional data, take additional manufacturing steps, or require other conditions before they will reconsider or approve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206"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auto"/>
        </w:rPr>
        <w:t>It is possible that A-101 or any of our other drug candidates will never obtain regulatory approval, even if we expend substantial time and resources seeking such approval. If we do not achieve one or more of these factors in a timely manner or at all, we could experience significant delays or an inability to successfully commercialize our drug candidates, which would harm our business.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risk of failure for our drug candidates is high. It is impossible to predict when or if any of our drug candidates will prove effective or safe in humans or will receive regulatory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spacing w:after="0" w:line="20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have not completed all clinical trials required for the approval of any of our drug candidates. Based on the feedback from our recent meeting with the FDA in May 2015, we plan to commence three Phase 3 clinical trials of A-101 in patients with SK lesions on the face, trunk and extremities in the first quarter of 2016. We have also received written guidance from the EMA regarding the design of our Phase 3 clinical trials for A-101 for the treatment of SK. The development of our other drug candidates is less advanced and we have not commenced any clinical trials. We cannot assure you that any Phase 3 or other clinical trials that we may conduct will demonstrate consistent or adequate efficacy and safety to obtain regulatory approval to market our drug candidates.</w:t>
      </w:r>
    </w:p>
    <w:p>
      <w:pPr>
        <w:spacing w:after="0" w:line="202"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206" w:lineRule="exact"/>
        <w:rPr>
          <w:sz w:val="20"/>
          <w:szCs w:val="20"/>
          <w:color w:val="auto"/>
        </w:rPr>
      </w:pPr>
    </w:p>
    <w:p>
      <w:pPr>
        <w:ind w:left="1060" w:right="10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192"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or prospective contract research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0"/>
        <w:spacing w:after="0" w:line="252" w:lineRule="auto"/>
        <w:rPr>
          <w:sz w:val="20"/>
          <w:szCs w:val="20"/>
          <w:color w:val="auto"/>
        </w:rPr>
      </w:pPr>
      <w:r>
        <w:rPr>
          <w:rFonts w:ascii="Arial" w:cs="Arial" w:eastAsia="Arial" w:hAnsi="Arial"/>
          <w:sz w:val="17"/>
          <w:szCs w:val="17"/>
          <w:color w:val="auto"/>
        </w:rPr>
        <w:t>organizations, or CROs, the terms of which can be subject to extensive negotiation and may vary significantly among different CROs and trial sites;</w:t>
      </w:r>
    </w:p>
    <w:p>
      <w:pPr>
        <w:spacing w:after="0" w:line="206" w:lineRule="exact"/>
        <w:rPr>
          <w:sz w:val="20"/>
          <w:szCs w:val="20"/>
          <w:color w:val="auto"/>
        </w:rPr>
      </w:pPr>
    </w:p>
    <w:p>
      <w:pPr>
        <w:ind w:left="1060" w:right="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including failure to demonstrate statistical significance, and we may decide, or regulators may require us, to conduct additional clinical trials or abandon drug development programs;</w:t>
      </w:r>
    </w:p>
    <w:p>
      <w:pPr>
        <w:spacing w:after="0" w:line="205"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8"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institutional review boards to suspend or terminate the trials;</w:t>
      </w:r>
    </w:p>
    <w:p>
      <w:pPr>
        <w:spacing w:after="0" w:line="192"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205"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 and</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favorable or if there are safety concerns, we may:</w:t>
      </w:r>
    </w:p>
    <w:p>
      <w:pPr>
        <w:spacing w:after="0" w:line="230"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drug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also could shorten any periods during which we may have the exclusive right to commercialize our drug candidates or allow our competitors to bring drugs to market before we do and impair our ability to successfully commercialize our drug candidates.</w:t>
      </w:r>
    </w:p>
    <w:p>
      <w:pPr>
        <w:spacing w:after="0" w:line="1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Trials may be subject to delays as a result of patient enrollment taking longer than anticipated or patient withdrawal. We may not be able to initiate or continue clinical trials for our drug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215"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of drugs approved to treat the skin disease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1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or them to abandon one or more clinical trials altogether. Enrollment delays in these clinical trials may result in increased development costs for our drug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Our clinical trials may fail to demonstrate the safety and efficacy of our drug candidates, or serious adverse or unacceptable side effects may be identified during the development of our drug candidates, which could prevent or delay regulatory approval and commercialization, increase our costs or necessitate the abandonment or limitation of the development of some of our drug candidates.</w:t>
      </w:r>
    </w:p>
    <w:p>
      <w:pPr>
        <w:spacing w:after="0" w:line="18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Before obtaining regulatory approvals for the commercial sale of our drug candidates, we must demonstrate through lengthy, complex and expensive preclinical testing and clinical trials that our drug candidates are both safe and effective for use in each target indication, and failures can occur at any stage of testing. Clinical trials often fail to demonstrate safety and efficacy of the drug candidate studied for the target indication.</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our drug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drug candidates. Many drug candidates that initially showed promise in early stage testing have later been found to cause side effects that prevented further development of the drug candidate.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Additionally, if one or more of our drug candidates receives marketing approval, and we or others identify undesirable side effects caused by such drugs, a number of potentially significant negative consequences could result, including:</w:t>
      </w:r>
    </w:p>
    <w:p>
      <w:pPr>
        <w:spacing w:after="0" w:line="206"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drug candidate, if approved, and could significantly harm our business,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methods of drug candidate manufacturing or formulation may result in additional costs or delay.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drug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For example, if we need to manufacture A-102, we may experience difficulties manufacturing a stable gel dosage form as opposed to a topical solution. Such changes may also require additional testing, FDA notification or FDA approval. This could delay completion of clinical trials, require the conduct of bridging clinical trials or the repetition of one or more clinical trials, increase clinical trial costs, delay approval of our drug candidates and jeopardize our ability to commence sales and generate revenue.</w:t>
      </w:r>
    </w:p>
    <w:p>
      <w:pPr>
        <w:spacing w:after="0" w:line="18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We may not be successful in our efforts to increase our pipeline of drug candidates, including by in-licensing or acquiring additional drug candidates for other dermatological conditions.</w:t>
      </w:r>
    </w:p>
    <w:p>
      <w:pPr>
        <w:spacing w:after="0" w:line="173"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A key element of our strategy is to build and expand our pipeline of drug candidates. In addition, we intend to in-license or acquire additional drug candidates for other dermatological conditions to build a fully integrated dermatology company. We may not be able to identify or develop drug candidates that are safe, tolerable and effective. Even if we are successful in continuing to build our pipeline, the potential drug candidates that we identify, in-license or acquire may not be suitable for clinical development, including as a result of being shown to have harmful side effects or other characteristics that indicate that they are unlikely to be drugs that will receive marketing approval and achieve market acceptance.</w:t>
      </w:r>
    </w:p>
    <w:p>
      <w:pPr>
        <w:spacing w:after="0" w:line="179"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Because we have limited financial and management resources, we focus on development programs and drug candidates that we identify for specific indications. As such, we are currently primarily focused on the development of A-101 for the treatment of SK.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211"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If our drug candidates do not achieve an adequate level of acceptance, we may not generate significant revenue and we may not become profitable. The degree of market acceptance of our drug candidates, if approved for commercial sale, will depend on a number of factors, including:</w:t>
      </w:r>
    </w:p>
    <w:p>
      <w:pPr>
        <w:spacing w:after="0" w:line="211"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efficacy, safety and potential advantages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our drugs for sale at competitive prices;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dermatologists to charge a premium for A-101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treatments and of physicians to prescribe these treatments;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hire and retain a sales force in the United States;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patients to pay out of pocket for procedures using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restrictions on the use of our drugs together with other medications.</w:t>
      </w:r>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do not have sales or marketing infrastructure. To achieve commercial success for A-101 and any other drug candidate for which we may obtain marketing approval, we will need to establish a sales and marketing organization. In the future, we expect to build a focused sales and marketing infrastructure to market or co-promote some of our drug candidates in the United States, if and when they are approved. There are risks involved with establishing our own sales, marketing and distribution capabilities.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drugs on our own include:</w:t>
      </w:r>
    </w:p>
    <w:p>
      <w:pPr>
        <w:spacing w:after="0" w:line="224"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24"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drugs that we develop ourselves. In addition, we may not be successful in entering into arrangements with third parties to sell, market and distribute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marketing and distribution capabilities successfully, either on our own or in collaboration with third parties, we will not be successful in commercializing our drug candidates.</w:t>
      </w:r>
    </w:p>
    <w:p>
      <w:pPr>
        <w:spacing w:after="0" w:line="1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many different sources, including major pharmaceutical and specialty pharmaceutical companies, academic institutions and governmental agencies and public and private research institutions.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With respect to A-101 for the treatment of SK, we are aware of one biopharmaceutical company developing a combination drug candidate that targets SK, and another company that currently markets a line of cosmetic products targeting skin conditions, including SK.</w:t>
      </w:r>
    </w:p>
    <w:p>
      <w:pPr>
        <w:spacing w:after="0" w:line="193"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With respect to A-101 for the treatment of common warts, we are aware of one company developing a prescription treatment for common warts and another company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With respect to A-201 and A-301 for the treatment of AA, we anticipate competing with sensitizing agents such as diphencyprone, or DPCP, and topical, intralesional and systemic corticosteroids, which have been found to occasionally reduce symptoms of AA. Other treatments utilized for patchy</w:t>
      </w:r>
    </w:p>
    <w:p>
      <w:pPr>
        <w:spacing w:after="0" w:line="1" w:lineRule="exact"/>
        <w:rPr>
          <w:sz w:val="20"/>
          <w:szCs w:val="20"/>
          <w:color w:val="auto"/>
        </w:rPr>
      </w:pPr>
    </w:p>
    <w:p>
      <w:pPr>
        <w:jc w:val="both"/>
        <w:ind w:right="40" w:firstLine="5"/>
        <w:spacing w:after="0" w:line="246" w:lineRule="auto"/>
        <w:tabs>
          <w:tab w:leader="none" w:pos="2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 anthralin and minoxidil solution. We may also compete with companies developing chemical agents to be used in topical immunotherapies, as well as companies developing biologics, immunosuppressive agents, laser therapy, phototherapy, other JAK inhibitors and prostaglandin analogues to treat AA.</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We expect third-party payors generally will not cover the use of our drug candidates for the treatment of SK and, accordingly, our success will be dependent upon the willingness of patients to pay out of pocket for procedures using these drug candidates.</w:t>
      </w:r>
    </w:p>
    <w:p>
      <w:pPr>
        <w:spacing w:after="0" w:line="1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do not expect third-party payors to cover and reimburse providers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of A-101 and A-102 depends on the extent to which patients will be willing to pay out of pocket for the in-office procedure using these drug candidates.</w:t>
      </w:r>
    </w:p>
    <w:p>
      <w:pPr>
        <w:spacing w:after="0" w:line="186"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color w:val="auto"/>
        </w:rPr>
        <w:t>The success of our drug candidates for the treatment of common warts will depend significantly on continued coverage and adequate reimbursement or the willingness of patients to pay for these procedures.</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drug candidates.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Further, from time to time, typically on an annual basis, payment rates are updated and revised by third-party payors. To the extent that the procedures using our drug candidates, if approved, are covered, the cost of our products are generally recovered by the healthcare provider as part of the payment for performing a procedure and not separately reimbursed. Accordingly, these updates could impact the demand for our drug candidates, if approved.</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the resulting decrease in payment may adversely affect our revenue and results of operations.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drug candidates or lowers reimbursement for procedures using our products could harm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There can be no assurance that our drug candidates for the treatment of common warts, if they are approved for sale in the United States or in other countries, will be considered medically reasonable and necessary, that they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drugs candidates profitably if they are approved for sale.</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Product liability lawsuits against us could cause us to incur substantial liabilities and to limit commercialization of any drugs that we may develop.</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212"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decreased demand for any drug candidates or drugs that we may develop;</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substantial monetary awards paid to trial participants or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commercialize any drugs that we may develop.</w:t>
      </w:r>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drug candidates. Insurance coverage is increasingly expensive. We may not be able to maintain insurance coverage at a reasonable cost or in an amount adequate to satisfy any liability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and operations would suffer in the event of computer system failures, cyber-attacks or a deficiency in our cyber-security.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color w:val="auto"/>
        </w:rPr>
        <w:t>We will rely on third parties to conduct our future clinical trials for drug candidates, and those third parties may not perform satisfactorily, including failing to meet deadlines for the completion of such trials.</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engaged a CRO to conduct our planned clinical trials of A-101 and expect to engage a CRO to conduct clinical trails of our other drug candidates that may progress to clinical development.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Consequently, our results of operations and the commercial prospects for our drug candidates would be harmed, our costs could increase substantially and our ability to generate revenue could be delayed significantly.</w:t>
      </w:r>
    </w:p>
    <w:p>
      <w:pPr>
        <w:spacing w:after="0" w:line="205"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4"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or marketing approval of our drug candidates or commercialization of our drugs, producing additional losses and depriving us of potential revenue.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color w:val="auto"/>
        </w:rPr>
        <w:t>We contract with third parties for the manufacture of A-101 for preclinical and clinical testing and expect to continue to do so for commercialization. This reliance on third parties increases the risk that we will not have sufficient quantities of A-101 or such quantities at an acceptable cost, which could delay, prevent or impair our development or commercialization efforts.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A-101 for preclinical and clinical testing, as well as for commercial manufacture if any of our drug candidates, including A-101, receive marketing approval. For example, we have entered into an exclusive, ten-year, automatically renewable supply agreement with PeroxyChem LLC, or PeroxyChem, a manufacturer of hydrogen peroxide, to provide the active pharmaceutical ingredient that can be used in A-101 for the treatment of SK. This reliance on third parties increases the risk that we will not have sufficient quantities of A-101 or such quantities at an acceptable cost or quality, which could delay, prevent or impair our ability to timely conduct our clinical trials or our other development or commercialization efforts.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also expect to rely on third-party manufacturers or third-party collaborators for the manufacture of commercial supply of A-101 or any other drug candidates for which we obtain marketing approval. The facilities used by our contract manufacturers to manufacture our drug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may be unable to establish any agreements with future third-party manufacturers or to do so on acceptable terms. Even if we are able to establish agreements with third-party manufacturers, reliance on third-party manufacturers entails additional risks, including:</w:t>
      </w:r>
    </w:p>
    <w:p>
      <w:pPr>
        <w:spacing w:after="0" w:line="206"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possible increase in costs by PeroxyChem for the active pharmaceutical ingredient in A-101;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supplies of our drugs.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the components of A-101.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If our current contract manufacturers cannot perform as agreed, we may be required to replace such manufacturers. We may incur added costs and delays in identifying and qualifying any such replacement.</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expect to continue to depend on third-party contract manufacturers for the foreseeable future. 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We may seek collaborations with third parties for the development or commercialization of our drug candidates. If those collaborations are not successful, we may not be able to capitalize on the market potential of these drug candidates.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may seek third-party collaborators for the development and commercialization of our drug candidates, including for the commercialization of any of our drug candidates that are approved for marketing outside the United States.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drug candidates. Our ability to generate revenue from these arrangements will depend on our collaborators' abilities to successfully perform the functions assigned to them in these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drug candidates would pose the following risks to us:</w:t>
      </w:r>
    </w:p>
    <w:p>
      <w:pPr>
        <w:spacing w:after="0" w:line="224"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10"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drug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8"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205"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drug candidates if the collaborators believe that competitive products are more likely to be successfully developed or can be commercialized under terms that are more economically attractive than ours;</w:t>
      </w:r>
    </w:p>
    <w:p>
      <w:pPr>
        <w:spacing w:after="0" w:line="198"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drug candidates discovered in collaboration with us may be viewed by our collaborators as competitive with their own drug candidates or drugs, which may cause collaborators to cease to devote resources to the commercialization of our drug candidates;</w:t>
      </w:r>
    </w:p>
    <w:p>
      <w:pPr>
        <w:spacing w:after="0" w:line="192"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drug candidates that achieve regulatory approval may not commit sufficient resources to the marketing and distribution of such drugs;</w:t>
      </w:r>
    </w:p>
    <w:p>
      <w:pPr>
        <w:spacing w:after="0" w:line="205" w:lineRule="exact"/>
        <w:rPr>
          <w:rFonts w:ascii="Arial" w:cs="Arial" w:eastAsia="Arial" w:hAnsi="Arial"/>
          <w:sz w:val="17"/>
          <w:szCs w:val="17"/>
          <w:color w:val="auto"/>
        </w:rPr>
      </w:pPr>
    </w:p>
    <w:p>
      <w:pPr>
        <w:ind w:left="1060" w:right="360" w:hanging="531"/>
        <w:spacing w:after="0" w:line="245"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drug candidates, might lead to additional responsibilities for us with respect to drug candidates, or might result in litigation or arbitration, any of which would be time-consuming and expensive;</w:t>
      </w:r>
    </w:p>
    <w:p>
      <w:pPr>
        <w:spacing w:after="0" w:line="198"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drug candidates.</w:t>
      </w:r>
    </w:p>
    <w:p>
      <w:pPr>
        <w:spacing w:after="0" w:line="193"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establish collaborations, we may have to alter our development and commercialization plans.</w:t>
      </w:r>
    </w:p>
    <w:p>
      <w:pPr>
        <w:spacing w:after="0" w:line="23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capital. For some of our drug candidates, we may decide to collaborate with pharmaceutical and biotechnology companies for the development and potential commercialization of those drug candidates.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1"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b w:val="1"/>
          <w:b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9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that we own or license is threatened, it could dissuade companies from collaborating with us to license, develop or commercialize current or future drug candidates.</w:t>
      </w:r>
    </w:p>
    <w:p>
      <w:pPr>
        <w:spacing w:after="0" w:line="20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Even if our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9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of our technology and drugs.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ours.</w:t>
      </w:r>
    </w:p>
    <w:p>
      <w:pPr>
        <w:spacing w:after="0" w:line="179" w:lineRule="exact"/>
        <w:rPr>
          <w:sz w:val="20"/>
          <w:szCs w:val="20"/>
          <w:color w:val="auto"/>
        </w:rPr>
      </w:pPr>
    </w:p>
    <w:p>
      <w:pPr>
        <w:ind w:right="680"/>
        <w:spacing w:after="0" w:line="276" w:lineRule="auto"/>
        <w:rPr>
          <w:sz w:val="20"/>
          <w:szCs w:val="20"/>
          <w:color w:val="auto"/>
        </w:rPr>
      </w:pPr>
      <w:r>
        <w:rPr>
          <w:rFonts w:ascii="Arial" w:cs="Arial" w:eastAsia="Arial" w:hAnsi="Arial"/>
          <w:sz w:val="17"/>
          <w:szCs w:val="17"/>
          <w:b w:val="1"/>
          <w:bCs w:val="1"/>
          <w:color w:val="auto"/>
        </w:rPr>
        <w:t>We may become involved in lawsuits to protect or enforce our patents or other intellectual property, which could be expensive, time-consuming and unsuccessful.</w:t>
      </w:r>
    </w:p>
    <w:p>
      <w:pPr>
        <w:spacing w:after="0" w:line="17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We may find it impractical or undesirable to enforce our intellectual property against some third parties. For instance, we are aware of third parties that have marketed high-concentration hydrogen peroxide solutions over the internet for the treatment of SK. These parties do not appear to have regulatory authority, and we have not authorized them in any way to market these products. However, to date we have refrained from seeking to enforce our intellectual property rights against these third parties due to the transient nature of their activities. With respect to A-201 and A-301, if we do not elect to exercise our first right to do so, Rigel may enforce the licensed patents relating to A-201 and A-301 against any infringing third party in the field of dermatology. In addition, Rigel has the first right, but not the obligation, to enforce the licensed patents relating to A-201 and A-301 against any infringing party outside of the field of dermatology.</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If we breach our license and collaboration agreement with Rigel, it could compromise our development and commercialization efforts for our JAK inhibitors.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we entered into an exclusive license and collaboration agreement with Rigel, which grants us the rights to certain patent rights and other intellectual property owned by Rigel relating to our JAK inhibitors. If we materially breach or fail to perform any provision under this license agreement, including failure to make payments to Rigel when due for royalties and failure to use commercially reasonable efforts to develop and commercialize a JAK inhibitor, Rigel has the right to terminate our license, and upon the effective date of such termination, our right to practice the licensed Rigel patent rights and other intellectual property would end. Any uncured, material breach under the license agreement could result in our loss of rights to practice the patent rights and other intellectual property licensed to us under the license and collaboration agreement, and, to the extent such patent rights and other technology relate to our JAK inhibitors, it could compromise our development and commercialization efforts for A-201 or A-301. See "Business—License Agreement with Rigel" below for a more detailed description of the license and collaboration agreement with Rigel.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currently covered in patents in the United States, Australia, India and New Zealand, but not in the European Union or other countries. Our JAK inhibitors are currently covered in patents and applications in the United States, Australia, Brazil, Canada, Chile, China, Eurasia, the European Union, Hong Kong, Israel, India, Japan, Mexico, Malaysia, New Zealand, Peru, Singapore, Ukraine, Vietnam, and South Africa. In addition, the laws of some foreign countries do not protect intellectual property rights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ind w:right="900"/>
        <w:spacing w:after="0" w:line="276" w:lineRule="auto"/>
        <w:rPr>
          <w:sz w:val="20"/>
          <w:szCs w:val="20"/>
          <w:color w:val="auto"/>
        </w:rPr>
      </w:pPr>
      <w:r>
        <w:rPr>
          <w:rFonts w:ascii="Arial" w:cs="Arial" w:eastAsia="Arial" w:hAnsi="Arial"/>
          <w:sz w:val="17"/>
          <w:szCs w:val="17"/>
          <w:b w:val="1"/>
          <w:bCs w:val="1"/>
          <w:color w:val="auto"/>
        </w:rPr>
        <w:t>We may need to license intellectual property from third parties, and such licenses may not be available or may not be available on commercially reasonable terms.</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For example, we exclusively license intellectual property from Rigel in the field of dermatology related to our JAK inhibitors.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Rigel or a sublicensee may develop our JAK inhibitors outside of the field of dermatology or another JAK inhibitor.</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exclusively license intellectual property from Rigel in order to develop, use, manufacture, sell and commercialize our JAK inhibitors in the field of dermatology. Rigel retained the rights under such intellectual property to develop, use, manufacture, sell and commercialize such JAK inhibitors outside of the field of dermatology. If Rigel, or a sublicensee, does commercialize such JAK inhibitors outside the field of dermatology, such a product could possibly be used off-label for a dermatology indication, which could negatively impact sales of our JAK inhibitor product candidates, if approved. Rigel also retained the intellectual property rights to develop, use, manufacture, sell and commercialize other structurally similar JAK inhibitors. If Rigel, or a sublicensee, does commercialize a structurally similar JAK inhibitor, such a product could directly compete with our product candidates, if approved.</w:t>
      </w:r>
    </w:p>
    <w:p>
      <w:pPr>
        <w:spacing w:after="0" w:line="18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commercial success depends upon our ability to develop, manufacture, market and sell our drug candidates and use our proprietary technologies without infringing the proprietary rights of third parties. There is considerable intellectual property litigation in the biotechnology and pharmaceutical industries. We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may become party to, or threatened with, future adversarial proceedings or litigation regarding intellectual property rights with respect to our drugs and technology, including interference or derivation proceedings before the USPTO. Numerous U.S. and foreign issued patents and pending patent applications owned by third parties exist in the fields in which we are developing our drug candidates. For example, we are aware of third parties that are pursuing broad claims directed to the use of JAK inhibitors for the treatment of AA. Third parties may assert infringement claims against us based on existing patents or patents that may be granted in the future.</w:t>
      </w:r>
    </w:p>
    <w:p>
      <w:pPr>
        <w:spacing w:after="0" w:line="19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drug.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redesign our infringing product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color w:val="auto"/>
        </w:rPr>
        <w:t>We may be subject to claims by third parties asserting that we, our employees or our licensor have misappropriated their intellectual property, or claiming ownership of what we regard as our own intellectual property.</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Many of our employees and our licensor's employees were previously employed at other biotechnology or pharmaceutical companies. Although we and our licensor try to ensure that our employees and our licensor's employees do not use the proprietary information or know-how of others in their work for us, we or our licensor may be subject to claims that these employees, our licensor or we have used or disclosed intellectual property, including trade secrets or other proprietary information, of any such employee's former employer. Litigation may be necessary to defend against these claims.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9" w:lineRule="exact"/>
        <w:rPr>
          <w:sz w:val="20"/>
          <w:szCs w:val="20"/>
          <w:color w:val="auto"/>
        </w:rPr>
      </w:pPr>
    </w:p>
    <w:p>
      <w:pPr>
        <w:jc w:val="both"/>
        <w:ind w:right="600"/>
        <w:spacing w:after="0" w:line="246" w:lineRule="auto"/>
        <w:rPr>
          <w:sz w:val="20"/>
          <w:szCs w:val="20"/>
          <w:color w:val="auto"/>
        </w:rPr>
      </w:pPr>
      <w:r>
        <w:rPr>
          <w:rFonts w:ascii="Arial" w:cs="Arial" w:eastAsia="Arial" w:hAnsi="Arial"/>
          <w:sz w:val="17"/>
          <w:szCs w:val="17"/>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 and be a distraction to management.</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We may be involved in lawsuits to protect or enforce our patents, which could be expensive, time-consuming and unsuccessful. Further, our issued patents could be found invalid or unenforceable if challenged in court.</w:t>
      </w:r>
    </w:p>
    <w:p>
      <w:pPr>
        <w:spacing w:after="0" w:line="17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drug candidates. Such a loss of patent protection would harm our business.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the confidentiality of our trade secrets, our business and competitive position would be harmed.</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addition to seeking patents for our drug candidates, we also rely on trade secrets, including unpatented know-how, technology and other proprietary information, to maintain our competitive position.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The validity, scope and enforceability of any patents listed in the Orange Book that cover A-101 and our JAK inhibitors can be challenged by competitors.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A-101 or one of our JAK inhibitors is approved by the FDA, one or more third parties may challenge the patents covering A-101 or our JAK inhibitors, which could result in the invalidation of, or render unenforceable, some or all of the relevant patent claims or a finding of non-infringement. For example, if a third party files an Abbreviated New Drug Application, or ANDA, for a generic drug containing A-101,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drug candidates.</w:t>
      </w:r>
    </w:p>
    <w:p>
      <w:pPr>
        <w:spacing w:after="0" w:line="18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If we do not obtain protection under the Hatch-Waxman Amendments by extending the patent term and obtaining data exclusivity for our drug candidates, our business may be materially harmed.</w:t>
      </w:r>
    </w:p>
    <w:p>
      <w:pPr>
        <w:spacing w:after="0" w:line="17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with A-101, are set to expire in 2022. Certain issued U.S. patents relating to our JAK inhibitors, A-201 and A-301, are set to expire in 2023 and additional U.S. patents, with claims specifically directed to our JAK inhibitors, are set to expire in 2030. Given the amount of time required for the development, testing and regulatory review of new drug candidates, patents protecting our drug candidates might expire before or shortly after such candidates begin to be commercialized. We expect to seek extensions of patent terms in the United States and, if available, in other countries where we are prosecuting patents.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05"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trademarks we have obtained or may obtain may be infringed or successfully challenged, resulting in harm to our business.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expect to rely on trademarks as one means to distinguish any of our drug candidates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2"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b w:val="1"/>
          <w:b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 do not necessarily address all potential threats to our competitive advantage.</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6" w:lineRule="exact"/>
        <w:rPr>
          <w:sz w:val="20"/>
          <w:szCs w:val="20"/>
          <w:color w:val="auto"/>
        </w:rPr>
      </w:pPr>
    </w:p>
    <w:p>
      <w:pPr>
        <w:ind w:left="1060" w:right="8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formulations or compositions that are the same as or similar to A-101 but that are not covered by the claims of the patents that we own;</w:t>
      </w:r>
    </w:p>
    <w:p>
      <w:pPr>
        <w:spacing w:after="0" w:line="205"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a JAK inhibitor that is similar to the JAK inhibitors we licensed from Rigel that is not covered by the patents that we exclusively licensed and have the right to enforce;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our licensor or any collaborators might not have been the first to make the inventions covered by the issued patents or pending patent applications that we own;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our licensor might not have been the first to file patent applications covering certain of our inventions;</w:t>
      </w:r>
    </w:p>
    <w:p>
      <w:pPr>
        <w:spacing w:after="0" w:line="210"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224"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issued patents that we own may not provide us with any competitive advantages, or may be held invalid or unenforceable as a result of legal challenges;</w:t>
      </w:r>
    </w:p>
    <w:p>
      <w:pPr>
        <w:spacing w:after="0" w:line="192" w:lineRule="exact"/>
        <w:rPr>
          <w:rFonts w:ascii="Arial" w:cs="Arial" w:eastAsia="Arial" w:hAnsi="Arial"/>
          <w:sz w:val="17"/>
          <w:szCs w:val="17"/>
          <w:color w:val="auto"/>
        </w:rPr>
      </w:pPr>
    </w:p>
    <w:p>
      <w:pPr>
        <w:ind w:left="1060" w:right="240" w:hanging="531"/>
        <w:spacing w:after="0" w:line="245"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and</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Drug Candidates and Other Legal Compliance Matters</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If we are not able to obtain, or if there are delays in obtaining, required regulatory approvals, we will not be able to commercialize our drug candidates, and our ability to generate revenue will be materially impaired.</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drug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Commission and EU Member State Competent Authorities and similar regulatory authorities outside the United States.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drug candidate's safety and efficacy. Securing marketing approval also requires the submission of information about the drug manufacturing process to, and inspection of manufacturing facilities by, the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If any of our drug candidates receives marketing approval, the accompanying label may limit the approved use of our drug in this way, which could limit sales of the drug.</w:t>
      </w:r>
    </w:p>
    <w:p>
      <w:pPr>
        <w:spacing w:after="0" w:line="20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drug candidate. Any marketing approval we ultimately obtain may be limited or subject to restrictions or post-approval commitments that render the approved drug not commercially viable.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the commercial prospects for our drug candidates may be harmed and our ability to generate revenue will be materially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marketing approval in international jurisdictions would prevent our drug candidates from being marketed abroad.</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order to market and sell our drugs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drugs in any market.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variety of risks associated with marketing our drug candidates internationally could harm our business.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We may seek regulatory approval for A-101 and our other drug candidates outside of the United States and, accordingly, we expect that we will be subject to additional risks related to operating in foreign countries if we obtain the necessary approvals, including:</w:t>
      </w:r>
    </w:p>
    <w:p>
      <w:pPr>
        <w:spacing w:after="0" w:line="206"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w:t>
      </w:r>
    </w:p>
    <w:p>
      <w:pPr>
        <w:spacing w:after="0" w:line="224"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24"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of 1977 or comparable foreign regulations;</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These and other risks associated with our international operations may compromise our ability to achieve or maintain profitability.</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Any drug candidate for which we obtain marketing approval could be subject to post-marketing restrictions or recall or withdrawal from the market, and we may be subject to penalties if we fail to comply with regulatory requirements or if we experience unanticipated problems with our drug candidates, when and if any of them are approved.</w:t>
      </w:r>
    </w:p>
    <w:p>
      <w:pPr>
        <w:spacing w:after="0" w:line="18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Any drug candidate for which we obtain marketing approval, along with the manufacturing processes, post-approval clinical data, labeling, advertising and promotional activities for such drug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drug candidate is granted, the approval may be subject to limitations on the indicated uses for which the drug candidate may be marketed or to the conditions of approval, including the requirement to implement a risk evaluation and mitigation strategy. If any of our drug candidates receives marketing approval, the accompanying label may limit the approved use of our drug, which could limit sales of the drug.</w:t>
      </w:r>
    </w:p>
    <w:p>
      <w:pPr>
        <w:spacing w:after="0" w:line="206"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20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In addition, later discovery of previously unknown adverse events or other problems with our drugs, manufacturers or manufacturing processes, or failure to comply with regulatory requirements, may have negative consequences, including:</w:t>
      </w:r>
    </w:p>
    <w:p>
      <w:pPr>
        <w:spacing w:after="0" w:line="206"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such drugs, manufacturers or manufacturing processes;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labeling or marketing of a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drug distribution or use;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recall or withdrawal of the drugs from the market;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clinical holds;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to permit the import or export of our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drug seizure;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Non-compliance with the European Union's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health information privacy and security and other healthcare laws and regulations, which could expose us to significant penalties.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health care professionals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sell, market and distribute any drugs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214" w:lineRule="exact"/>
        <w:rPr>
          <w:sz w:val="20"/>
          <w:szCs w:val="20"/>
          <w:color w:val="auto"/>
        </w:rPr>
      </w:pPr>
    </w:p>
    <w:p>
      <w:pPr>
        <w:ind w:left="1060" w:hanging="531"/>
        <w:spacing w:after="0" w:line="261"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202" w:lineRule="exact"/>
        <w:rPr>
          <w:rFonts w:ascii="Arial" w:cs="Arial" w:eastAsia="Arial" w:hAnsi="Arial"/>
          <w:sz w:val="16"/>
          <w:szCs w:val="16"/>
          <w:color w:val="auto"/>
        </w:rPr>
      </w:pPr>
    </w:p>
    <w:p>
      <w:pPr>
        <w:ind w:left="1060" w:right="80" w:hanging="531"/>
        <w:spacing w:after="0" w:line="245"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7"/>
          <w:szCs w:val="17"/>
          <w:color w:val="auto"/>
        </w:rPr>
      </w:pPr>
    </w:p>
    <w:p>
      <w:pPr>
        <w:ind w:left="1060" w:right="100" w:hanging="531"/>
        <w:spacing w:after="0" w:line="245"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8" w:lineRule="exact"/>
        <w:rPr>
          <w:rFonts w:ascii="Arial" w:cs="Arial" w:eastAsia="Arial" w:hAnsi="Arial"/>
          <w:sz w:val="17"/>
          <w:szCs w:val="17"/>
          <w:color w:val="auto"/>
        </w:rPr>
      </w:pPr>
    </w:p>
    <w:p>
      <w:pPr>
        <w:ind w:left="1060" w:right="20" w:hanging="531"/>
        <w:spacing w:after="0" w:line="265"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96" w:lineRule="exact"/>
        <w:rPr>
          <w:rFonts w:ascii="Arial" w:cs="Arial" w:eastAsia="Arial" w:hAnsi="Arial"/>
          <w:sz w:val="16"/>
          <w:szCs w:val="16"/>
          <w:color w:val="auto"/>
        </w:rPr>
      </w:pPr>
    </w:p>
    <w:p>
      <w:pPr>
        <w:ind w:left="1060" w:hanging="531"/>
        <w:spacing w:after="0" w:line="243"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Patient Protection and Affordable Care Act, as amended by the Health Care and Education Reconciliation Act, or collectively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 optometrists, podiatrists and chiropractors, and teaching hospitals and applicable manufacturers to report annually to CMS ownership and investment interests held by the physicians and their immediate family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members by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calendar year. All such reported information is publicly available; and</w:t>
      </w:r>
    </w:p>
    <w:p>
      <w:pPr>
        <w:spacing w:after="0" w:line="137" w:lineRule="exact"/>
        <w:rPr>
          <w:sz w:val="20"/>
          <w:szCs w:val="20"/>
          <w:color w:val="auto"/>
        </w:rPr>
      </w:pPr>
    </w:p>
    <w:p>
      <w:pPr>
        <w:ind w:left="1060" w:hanging="531"/>
        <w:spacing w:after="0" w:line="24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and/or prescribe our drug candidates, if approved, may not comply with current or future statutes, regulations or case law involving applicable fraud and abuse or other healthcare laws and regulations. By way of example, some of our consulting arrangements with physicians may not meet all of the criteria of the personal services safe harbor under the federal Anti-Kickback Statute. Accordingly, they may not qualify for safe harbor protection from government prosecution. A business arrangement that does not substantially comply with a safe harbor, however, is not necessarily illegal under the Anti-Kickback Statute, but may be subject to additional scrutiny by the government.</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imprisonment, exclusion from participation in government healthcare programs, such as Medicare and Medicaid, and the curtailment or restructuring of our operations, which could have a material adverse effect on our business. If any of the physicians or other healthcare providers or entities with whom we expect to do business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Recently enacted and future legislation may increase the difficulty and cost for us to obtain marketing approval of and commercialize our drug candidates and affect the prices we may obtain.</w:t>
      </w:r>
    </w:p>
    <w:p>
      <w:pPr>
        <w:spacing w:after="0" w:line="17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w:t>
      </w:r>
    </w:p>
    <w:p>
      <w:pPr>
        <w:spacing w:after="0" w:line="199"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Among the provisions of the Affordable Care Act of importance to our potential drug candidates are the following:</w:t>
      </w:r>
    </w:p>
    <w:p>
      <w:pPr>
        <w:spacing w:after="0" w:line="224" w:lineRule="exact"/>
        <w:rPr>
          <w:sz w:val="20"/>
          <w:szCs w:val="20"/>
          <w:color w:val="auto"/>
        </w:rPr>
      </w:pPr>
    </w:p>
    <w:p>
      <w:pPr>
        <w:ind w:left="1060" w:right="72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205"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92"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which include new government investigative powers and enhanced penalties for non-compliance;</w:t>
      </w:r>
    </w:p>
    <w:p>
      <w:pPr>
        <w:spacing w:after="0" w:line="192" w:lineRule="exact"/>
        <w:rPr>
          <w:rFonts w:ascii="Arial" w:cs="Arial" w:eastAsia="Arial" w:hAnsi="Arial"/>
          <w:sz w:val="17"/>
          <w:szCs w:val="17"/>
          <w:color w:val="auto"/>
        </w:rPr>
      </w:pPr>
    </w:p>
    <w:p>
      <w:pPr>
        <w:ind w:left="1060" w:right="460" w:hanging="531"/>
        <w:spacing w:after="0" w:line="24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11"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new requirements under the federal Open Payments program and its implementing regulations;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8"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Additionally, new litigation challenging the federal tax subsidies received by individuals to purchase health insurance under the Affordable Care Act is currently pending before the U.S, Supreme Court that could affect our business. Final regulations, guidance, and judicial orders are anticipated in the near future and we will continue to assess the Affordable Care Act's impact on us as final regulations, guidance, and orders are issued.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U.S.</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Congress of the FDA's approval process may significantly delay or prevent marketing approval, as well as subject us to more stringent drug labeling and post-marketing testing and other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obtain five-year FDA regulatory exclusivity as an NCE.</w:t>
      </w:r>
    </w:p>
    <w:p>
      <w:pPr>
        <w:spacing w:after="0" w:line="23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such applications, while three-year exclusivity precludes the approval of such applications. We intend to seek new chemical entity, or NCE, status for A-101, and we may seek NCE status for other drug candidates as appropriate. Five years of exclusivity are available to NCEs following the approval of an NDA by the FDA. An NCE is a drug that contains no active moiety that has been approved by FDA in any other NDA. If a drug is not eligible for the NCE exclusivity, it may be eligible for three years of exclusivity. Three-year exclusivity is available to the holder of an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206"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There is a risk that the FDA may disagree with any claim that we may make that A-101 or any of our other drug candidates are NCEs and therefore entitled to five-year exclusivity.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do obtain either five or three years of exclusivity, such exclusivity will not block all potential competitors from the market. Five-year exclusivity does not block complete 505(b)(1) NDAs and the scope of three-year exclusivity is limited to the conditions for use approved in the NDA.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Governments outside the United States tend to impose strict price controls, which may adversely affect our revenue, if any.</w:t>
      </w:r>
    </w:p>
    <w:p>
      <w:pPr>
        <w:spacing w:after="0" w:line="23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If we fail to comply with environmental, health and safety laws and regulations, we could become subject to fines or penalties or incur costs that could harm our business.</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development or production efforts. Our failure to comply with these laws and regulations also may result in substantial fines, penalties or other sanctions.</w:t>
      </w:r>
    </w:p>
    <w:p>
      <w:pPr>
        <w:spacing w:after="0" w:line="17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The inherent dangers in production and transportation of hydrogen peroxide could cause disruptions and could expose us to potentially significant losses, costs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subject to significant hazards and risks inherent in the use and transport of hydrogen peroxide, the active ingredient of A-101 and A-</w:t>
      </w:r>
    </w:p>
    <w:p>
      <w:pPr>
        <w:spacing w:after="0" w:line="1" w:lineRule="exact"/>
        <w:rPr>
          <w:sz w:val="20"/>
          <w:szCs w:val="20"/>
          <w:color w:val="auto"/>
        </w:rPr>
      </w:pPr>
    </w:p>
    <w:p>
      <w:pPr>
        <w:jc w:val="both"/>
        <w:ind w:right="260" w:firstLine="5"/>
        <w:spacing w:after="0" w:line="244" w:lineRule="auto"/>
        <w:tabs>
          <w:tab w:leader="none" w:pos="379" w:val="left"/>
        </w:tabs>
        <w:numPr>
          <w:ilvl w:val="0"/>
          <w:numId w:val="32"/>
        </w:numPr>
        <w:rPr>
          <w:rFonts w:ascii="Arial" w:cs="Arial" w:eastAsia="Arial" w:hAnsi="Arial"/>
          <w:sz w:val="17"/>
          <w:szCs w:val="17"/>
          <w:color w:val="auto"/>
        </w:rPr>
      </w:pPr>
      <w:r>
        <w:rPr>
          <w:rFonts w:ascii="Arial" w:cs="Arial" w:eastAsia="Arial" w:hAnsi="Arial"/>
          <w:sz w:val="17"/>
          <w:szCs w:val="17"/>
          <w:color w:val="auto"/>
        </w:rPr>
        <w:t>Hydrogen peroxide can decompose in the presence of organic materials and is categorized as an oxidizer and is corrosive. Hydrogen peroxide should be stored in cool, dry, well-ventilated areas and away from any flammable or combustible substances. The hazards and risks associated with producing and transporting hydrogen peroxide include fires, explosions, third-party interference (including terrorism) and mechanical failure of equipment at our facilities or those of our supplier of hydrogen peroxide. The occurrence of any of these events could result in production and distribution difficulties and disruptions, personal injury or wrongful death claims and other damage to properties.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are subject to governmental economic sanctions and export and import controls that could impair our ability to compete in international markets or subject us to liability if we are not in compliance with applicable laws.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a U.S. company, we are subject to U.S. import and export controls and economic sanctions laws and regulations, and we are required to import and export our drug candidates, technology and services in compliance with those laws and regulations, including the U.S. Export Administration Regulations, the International Traffic in Arms Regulations, and economic embargo and trade sanction programs administered by the Treasury Department's Office of Foreign Assets Control.</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drug candidates, if approved, are not exported or used by countries, governments and persons targeted by U.S. sanctions, such measures may be circumvented.</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Furthermore, if we export our drug candidates, if approved, the exports may require authorizations, including a license, a license exception or other appropriate government authorization. Complying with export control and sanctions regulations for a particular sale may be time-consuming and may result in the delay or loss of sales opportunities. Failure to comply with export control and sanctions regulations for a particular sale may expose us to government investigations and penalties.</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We are subject to anti-corruption and anti-money laundering laws with respect to our operations and non-compliance with such laws can subject us to criminal and/or civil liability and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w:t>
      </w:r>
    </w:p>
    <w:p>
      <w:pPr>
        <w:spacing w:after="0" w:line="1" w:lineRule="exact"/>
        <w:rPr>
          <w:sz w:val="20"/>
          <w:szCs w:val="20"/>
          <w:color w:val="auto"/>
        </w:rPr>
      </w:pPr>
    </w:p>
    <w:p>
      <w:pPr>
        <w:ind w:right="140" w:firstLine="5"/>
        <w:spacing w:after="0" w:line="242" w:lineRule="auto"/>
        <w:tabs>
          <w:tab w:leader="none" w:pos="142" w:val="left"/>
        </w:tabs>
        <w:numPr>
          <w:ilvl w:val="0"/>
          <w:numId w:val="33"/>
        </w:numPr>
        <w:rPr>
          <w:rFonts w:ascii="Arial" w:cs="Arial" w:eastAsia="Arial" w:hAnsi="Arial"/>
          <w:sz w:val="17"/>
          <w:szCs w:val="17"/>
          <w:color w:val="auto"/>
        </w:rPr>
      </w:pPr>
      <w:r>
        <w:rPr>
          <w:rFonts w:ascii="Arial" w:cs="Arial" w:eastAsia="Arial" w:hAnsi="Arial"/>
          <w:sz w:val="17"/>
          <w:szCs w:val="17"/>
          <w:color w:val="auto"/>
        </w:rPr>
        <w:t>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As we commercialize our drug candidates and eventually commence international sales and business, we may engage with collaborators and third-party intermediaries to sell our products abroad and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depends on our ability to retain key executives and to attract, retain and motivate qualified personnel.</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highly dependent on the management, development, clinical, financial and business development expertise of Dr. Neal Walker, our Chief Executive Officer, Christopher Powala, our Chief Operating Officer, Dr. Stuart Shanler, our Chief Scientific Officer, Frank Ruffo, our Chief Financial Officer, and Kamil Ali-Jackson, our Chief Legal Officer, as well as the other members of our scientific and clinical teams. Although we intend to enter into new employment agreements with our executive officers that will be effective upon the closing of this offering, each of them may currently terminate their employment with us at any time and will continue to be able to do so after the closing of this offering. We do not maintain "key person" insurance for any of our executives or employees other than Dr. Walker and Mr. Powala.</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drug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September 1, 2015, we had 11 full-time employees. As our development progresses, we expect to experience significant growth in the number of our employees and the scope of our operations, particularly in the areas of drug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and the curtailment or restructuring of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Ownership of Our Common Stock and Our Status as a Public Company</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An active trading market for our common stock may not develop and you may not be able to resell your shares of our common stock at or above the initial offering price, if at all.</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has been determined through negotiations with the underwriters and may not be indicative of the price at which our common stock will trade after the closing of this offering. Although our common stock has been approved for listing on The NASDAQ Global Select Market, an active trading market for our shares may never develop or be sustained following this offering. If an active market for our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common stock does not develop or is not sustained, it may be difficult for you to sell shares you purchased in this offering at an attractive price or at 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the shares of our common stock may be volatile, and purchasers of our common stock could incur substantial losses.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212" w:lineRule="exact"/>
        <w:rPr>
          <w:sz w:val="20"/>
          <w:szCs w:val="20"/>
          <w:color w:val="auto"/>
        </w:rPr>
      </w:pPr>
    </w:p>
    <w:p>
      <w:pPr>
        <w:ind w:left="1060" w:right="38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commencement, enrollment or results of the planned clinical trials of A-101 in patients with SK or any future clinical trials we may conduct, or changes in the development status of our drug candidates;</w:t>
      </w:r>
    </w:p>
    <w:p>
      <w:pPr>
        <w:spacing w:after="0" w:line="205" w:lineRule="exact"/>
        <w:rPr>
          <w:rFonts w:ascii="Arial" w:cs="Arial" w:eastAsia="Arial" w:hAnsi="Arial"/>
          <w:sz w:val="17"/>
          <w:szCs w:val="17"/>
          <w:color w:val="auto"/>
        </w:rPr>
      </w:pPr>
    </w:p>
    <w:p>
      <w:pPr>
        <w:ind w:left="1060" w:right="8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delay in our regulatory filings for A-101 for the treatment of SK or any other drug candidate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adverse results from, delays in or termination of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A-101 or any other drug candidate;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conditions or trends in our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10" w:lineRule="exact"/>
        <w:rPr>
          <w:rFonts w:ascii="Arial" w:cs="Arial" w:eastAsia="Arial" w:hAnsi="Arial"/>
          <w:sz w:val="17"/>
          <w:szCs w:val="17"/>
          <w:color w:val="auto"/>
        </w:rPr>
      </w:pPr>
    </w:p>
    <w:p>
      <w:pPr>
        <w:ind w:left="1060" w:right="46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11"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color w:val="auto"/>
        </w:rPr>
        <w:t>If equity research analysts do not publish research or reports, or publish unfavorable research or reports, about us, our business or our market, our stock price and trading volume could decline.</w:t>
      </w:r>
    </w:p>
    <w:p>
      <w:pPr>
        <w:spacing w:after="0" w:line="17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this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purchase shares of our common stock in this offering, you will suffer immediate dilution of your investment.</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expect the initial public offering price of our common stock to be substantially higher than the net tangible book value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$11.00 per share, you will experience immediate dilution of $6.28 per share, representing the difference between our pro forma as adjusted net tangible book value per share after this offering and the initial public offering price.</w:t>
      </w:r>
    </w:p>
    <w:p>
      <w:pPr>
        <w:spacing w:after="0" w:line="19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addition, as of September 1, 2015, we had outstanding stock options to purchase an aggregate of 1,140,524 shares of common stock at a weighted average exercise price of $6.52 per share. To the extent these outstanding options are exercised, there will be further dilution to investors in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portion of our total outstanding shares are restricted from immediate resale but may be sold into the market in the near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could cause the market price of our common stock to drop significantly, even if our business is doing well.</w:t>
      </w:r>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Upon the closing of this offering, we will have outstanding 19,407,503 shares of common stock, after giving effect to the conversion of our convertible preferred stock outstanding as of September 1, 2015 into 11,677,076 shares of our common stock, and assuming no exercise of outstanding options. Of these shares, the 5,000,000 shares sold in this offering will be freely tradable and 14,407,503 additional shares of common stock will be available for sale in the public market beginning 180 days after the date of this 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20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addition, promptly following the closing of this offering, we intend to file one or more registration statements on Form S-8 under the Securities Act registering the issuance of approximately 3,900,000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auto"/>
        </w:rPr>
        <w:t>Additionally, after this offering, the holders of an aggregate of 11,677,076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224"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only one of our three classes of directors will be elected each year;</w:t>
      </w:r>
    </w:p>
    <w:p>
      <w:pPr>
        <w:spacing w:after="0" w:line="195"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34"/>
          <w:szCs w:val="34"/>
          <w:color w:val="auto"/>
          <w:vertAlign w:val="superscript"/>
        </w:rPr>
      </w:pPr>
      <w:r>
        <w:rPr>
          <w:rFonts w:ascii="Arial" w:cs="Arial" w:eastAsia="Arial" w:hAnsi="Arial"/>
          <w:sz w:val="17"/>
          <w:szCs w:val="17"/>
          <w:color w:val="auto"/>
        </w:rPr>
        <w:t>stockholders will not be entitled to remove directors other than by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vote and only for cause;</w:t>
      </w:r>
    </w:p>
    <w:p>
      <w:pPr>
        <w:spacing w:after="0" w:line="82" w:lineRule="exact"/>
        <w:rPr>
          <w:rFonts w:ascii="Arial" w:cs="Arial" w:eastAsia="Arial" w:hAnsi="Arial"/>
          <w:sz w:val="34"/>
          <w:szCs w:val="34"/>
          <w:color w:val="auto"/>
          <w:vertAlign w:val="superscript"/>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stockholders will not be permitted to take actions by written consent;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stockholders cannot call a special meeting of stockholders;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Concentration of ownership of our common stock among our existing executive officers, directors and principal stockholders may prevent new investors from influencing significant corporate decisions.</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Upon the closing of this offering, our executive officers, directors and current beneficial owners of 5% or more of our common stock and their respective affiliates will, in the aggregate, beneficially own 61.1% of our outstanding common stock. Certain entities affiliated with our 5% stockholders have indicated an interest in purchasing shares in this offering. If these entities were to purchase all of the shares they have indicated an interest in purchasing in this offering, based on the initial public offering price of $11.00 per share, they would purchase an aggregate of approximately 1,363,635 shares, and as a result the number of shares of our common stock beneficially owned by our executive officers, directors and current beneficial owners of 5% or more of our common stock and their respective affiliates would, in the aggregate, increase to 67.8%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78"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color w:val="auto"/>
        </w:rPr>
        <w:t>We are an "emerging growth company" and, as a result of the reduced disclosure and governance requirements applicable to emerging growth companies, our common stock may be less attractive to investors.</w:t>
      </w:r>
    </w:p>
    <w:p>
      <w:pPr>
        <w:spacing w:after="0" w:line="173" w:lineRule="exact"/>
        <w:rPr>
          <w:sz w:val="20"/>
          <w:szCs w:val="20"/>
          <w:color w:val="auto"/>
        </w:rPr>
      </w:pPr>
    </w:p>
    <w:p>
      <w:pPr>
        <w:jc w:val="both"/>
        <w:ind w:right="660"/>
        <w:spacing w:after="0" w:line="24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212" w:lineRule="exact"/>
        <w:rPr>
          <w:sz w:val="20"/>
          <w:szCs w:val="20"/>
          <w:color w:val="auto"/>
        </w:rPr>
      </w:pPr>
    </w:p>
    <w:p>
      <w:pPr>
        <w:ind w:left="1060" w:right="360" w:hanging="531"/>
        <w:spacing w:after="0" w:line="246"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98"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205"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 being required to hold a nonbinding advisory vote on executive compensation and shareholder approval of any golden parachute payments not previously approved.</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color w:val="auto"/>
        </w:rPr>
        <w:t>If we fail to maintain proper and effective internal controls, our ability to produce accurate financial statements on a timely basis could be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After the closing of this offering, we will be subject to the reporting requirements of the Securities Exchange Act of 1934, the Sarbanes-Oxley Act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rules and regulations of the stock market on which our common stock is listed. The Sarbanes-Oxley Act requires, among other things, that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maintain effective disclosure controls and procedures and internal control over financial reporting. Commencing with our fiscal year ending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we must perform system and process evaluation and testing of our internal control over financial reporting to allow management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the effectiveness of our internal control over financial reporting in our Form 10-K filing for that year, as required by Section 404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19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will have broad discretion in the use of proceeds from this offering and may invest or spend the proceeds in ways with which you do not agree and in ways that may not increase the value of your investment.</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complete our planned clinical trials and seek regulatory approval of A-101 for the treatment of SK, to fund continued research and development of A-101 for the treatment of common warts, A-102 for the treatment of SK and common warts and A-201 and A-301 for the treatment of AA, and for working capital and general corporate purposes. In addition, we may use a portion of the proceeds from this offering to pursue our strategy to in-license or acquire additional drug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186"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might not be able to utilize a significant portion of our net operating loss carryforwards and research and development tax credit carryforwards.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2014, we had federal and state net operating loss carryforwards of $13.8 million and $13.8 million, respectively, and federal research and development tax credit carryforwards of $0.2 million, each of which if not utilized will begin to expire in 2032.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incur increased costs and demands upon management as a result of being a public company.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which we anticipate could be between $1.5 million and $2.5 million annually.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but are also contained elsewhere in this prospectus. In some cases, you can identify forward-looking statements by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important factors currently known by us and our expectations of the future, about which we cannot be certain. Forward-looking statements include statements about:</w:t>
      </w:r>
    </w:p>
    <w:p>
      <w:pPr>
        <w:spacing w:after="0" w:line="218"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plans to develop and commercialize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of our planned clinical trials of A-101 in patients with SK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of our NDA filing for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clinical utility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about the willingness of patients to pay out of pocket for procedures using our drug candidates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about the willingness of dermatologists to use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plans to in-license or acquire additional drug candidates for other dermatological conditions to build a fully integrated dermatology company;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estimates regarding future revenue, expenses and needs for additional financing.</w:t>
      </w:r>
    </w:p>
    <w:p>
      <w:pPr>
        <w:spacing w:after="0" w:line="21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as well estimates by our management based on such data. All of the market data and estimates used in this prospectus involves a number of assumptions and limitations, and you are cautioned not to give undue weight to such data and estimates.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our issuance and sale of 5,000,000 shares of our common stock in this offering will be $48.9 million, or</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$56.5 million if the underwriters exercise their option to purchase additional shares in full, after deducting the underwriting discounts and commissions and estimated offering expenses payable by us.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224" w:lineRule="exact"/>
        <w:rPr>
          <w:sz w:val="20"/>
          <w:szCs w:val="20"/>
          <w:color w:val="auto"/>
        </w:rPr>
      </w:pPr>
    </w:p>
    <w:p>
      <w:pPr>
        <w:ind w:left="1060" w:right="12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approximately $22.0 million to complete our three planned Phase 3 clinical trials and seek regulatory approval of A-101 for the treatment of SK;</w:t>
      </w:r>
    </w:p>
    <w:p>
      <w:pPr>
        <w:spacing w:after="0" w:line="205"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approximately $13.0 million to fund continued research and development of A-101 for the treatment of common warts, including the completion of our planned Phase 2 clinical trials for this indication; and</w:t>
      </w:r>
    </w:p>
    <w:p>
      <w:pPr>
        <w:spacing w:after="0" w:line="192" w:lineRule="exact"/>
        <w:rPr>
          <w:rFonts w:ascii="Arial" w:cs="Arial" w:eastAsia="Arial" w:hAnsi="Arial"/>
          <w:sz w:val="17"/>
          <w:szCs w:val="17"/>
          <w:color w:val="auto"/>
        </w:rPr>
      </w:pPr>
    </w:p>
    <w:p>
      <w:pPr>
        <w:ind w:left="1060" w:right="20" w:hanging="531"/>
        <w:spacing w:after="0" w:line="245"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remainder to fund other research and development activities, including the development of A-102 for the treatment of SK and common warts and the development of A-201 and A-301 for the treatment of AA, as well as for working capital and other general corporate purposes, including to pursue our strategy to in-license or acquire additional drug candidates, although we have no agreements or commitments for any specific acquisitions or in-licenses as of the date of this prospectus.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98"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will be sufficient to enable us to fund our operating expenses and capital expenditure requirements through at least the next 24 months, including the completion of our three planned Phase 3 clinical trials for A-101 for the treatment of SK, the submission of our NDA to the FDA for the approval of A-101 for the treatment of SK in the United States and the completion of our planned Phase 2 clinical trials of A-101 for the treatment of common warts. We have based this estimate on assumptions that may prove to be incorrect, and we could use our available capital resources sooner than we currently expect.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2015:</w:t>
      </w:r>
    </w:p>
    <w:p>
      <w:pPr>
        <w:spacing w:after="0" w:line="224"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24" w:lineRule="exact"/>
        <w:rPr>
          <w:rFonts w:ascii="Arial" w:cs="Arial" w:eastAsia="Arial" w:hAnsi="Arial"/>
          <w:sz w:val="17"/>
          <w:szCs w:val="17"/>
          <w:color w:val="auto"/>
        </w:rPr>
      </w:pPr>
    </w:p>
    <w:p>
      <w:pPr>
        <w:ind w:left="1580" w:right="80" w:hanging="526"/>
        <w:spacing w:after="0" w:line="246" w:lineRule="auto"/>
        <w:tabs>
          <w:tab w:leader="none" w:pos="1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our sale of an aggregate of 12,944,984 shares of Series C convertible preferred stock in August 2015 at a purchase price of $3.09 per share for gross proceeds of $40.0 million;</w:t>
      </w:r>
    </w:p>
    <w:p>
      <w:pPr>
        <w:spacing w:after="0" w:line="5" w:lineRule="exact"/>
        <w:rPr>
          <w:rFonts w:ascii="Arial" w:cs="Arial" w:eastAsia="Arial" w:hAnsi="Arial"/>
          <w:sz w:val="17"/>
          <w:szCs w:val="17"/>
          <w:color w:val="auto"/>
        </w:rPr>
      </w:pPr>
    </w:p>
    <w:p>
      <w:pPr>
        <w:ind w:left="1580" w:right="120" w:hanging="526"/>
        <w:spacing w:after="0" w:line="246" w:lineRule="auto"/>
        <w:tabs>
          <w:tab w:leader="none" w:pos="1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our upfront payment of $8.0 million to Rigel to be made within 30 business days of August 27, 2015 in connection with our license of rights to our JAK inhibitors and related intellectual property from Rigel;</w:t>
      </w:r>
    </w:p>
    <w:p>
      <w:pPr>
        <w:spacing w:after="0" w:line="18" w:lineRule="exact"/>
        <w:rPr>
          <w:rFonts w:ascii="Arial" w:cs="Arial" w:eastAsia="Arial" w:hAnsi="Arial"/>
          <w:sz w:val="17"/>
          <w:szCs w:val="17"/>
          <w:color w:val="auto"/>
        </w:rPr>
      </w:pPr>
    </w:p>
    <w:p>
      <w:pPr>
        <w:jc w:val="both"/>
        <w:ind w:left="1580" w:right="200" w:hanging="526"/>
        <w:spacing w:after="0" w:line="244" w:lineRule="auto"/>
        <w:tabs>
          <w:tab w:leader="none" w:pos="1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including the shares of Series C convertible preferred stock issued in August 2015, into an aggregate of 11,677,076 shares of our common stock, which will occur upon the closing of this offering; and</w:t>
      </w:r>
    </w:p>
    <w:p>
      <w:pPr>
        <w:spacing w:after="0" w:line="6" w:lineRule="exact"/>
        <w:rPr>
          <w:rFonts w:ascii="Arial" w:cs="Arial" w:eastAsia="Arial" w:hAnsi="Arial"/>
          <w:sz w:val="17"/>
          <w:szCs w:val="17"/>
          <w:color w:val="auto"/>
        </w:rPr>
      </w:pPr>
    </w:p>
    <w:p>
      <w:pPr>
        <w:ind w:left="1580" w:hanging="526"/>
        <w:spacing w:after="0"/>
        <w:tabs>
          <w:tab w:leader="none" w:pos="1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upon the closing of this offering; and</w:t>
      </w:r>
    </w:p>
    <w:p>
      <w:pPr>
        <w:spacing w:after="0" w:line="224" w:lineRule="exact"/>
        <w:rPr>
          <w:rFonts w:ascii="Arial" w:cs="Arial" w:eastAsia="Arial" w:hAnsi="Arial"/>
          <w:sz w:val="17"/>
          <w:szCs w:val="17"/>
          <w:color w:val="auto"/>
        </w:rPr>
      </w:pPr>
    </w:p>
    <w:p>
      <w:pPr>
        <w:jc w:val="both"/>
        <w:ind w:left="1060" w:right="120" w:hanging="531"/>
        <w:spacing w:after="0" w:line="246"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sale of 5,000,000 shares of common stock in this offering at the initial public offering price of $11.00 per share, after deducting the underwriting discounts and commissions and estimated offering expenses payable by us.</w:t>
      </w:r>
    </w:p>
    <w:p>
      <w:pPr>
        <w:spacing w:after="0" w:line="199"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You should read this information in conjunction with our financial statements and the related notes thereto included elsewhere in this prospectus and the sections of this prospectus titled "Selected Financial Data,"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rPr>
              <w:t>As of June 30, 2015</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Pro Forma</w:t>
            </w:r>
          </w:p>
        </w:tc>
        <w:tc>
          <w:tcPr>
            <w:tcW w:w="1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As Adjusted</w:t>
            </w:r>
          </w:p>
        </w:tc>
        <w:tc>
          <w:tcPr>
            <w:tcW w:w="1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40" w:type="dxa"/>
            <w:vAlign w:val="bottom"/>
            <w:gridSpan w:val="10"/>
          </w:tcPr>
          <w:p>
            <w:pPr>
              <w:jc w:val="center"/>
              <w:ind w:right="1460"/>
              <w:spacing w:after="0" w:line="139" w:lineRule="exact"/>
              <w:rPr>
                <w:sz w:val="20"/>
                <w:szCs w:val="20"/>
                <w:color w:val="auto"/>
              </w:rPr>
            </w:pPr>
            <w:r>
              <w:rPr>
                <w:rFonts w:ascii="Arial" w:cs="Arial" w:eastAsia="Arial" w:hAnsi="Arial"/>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 data)</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41,853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91,598</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vMerge w:val="restart"/>
          </w:tcPr>
          <w:p>
            <w:pPr>
              <w:ind w:left="20"/>
              <w:spacing w:after="0"/>
              <w:rPr>
                <w:sz w:val="20"/>
                <w:szCs w:val="20"/>
                <w:color w:val="auto"/>
              </w:rPr>
            </w:pPr>
            <w:r>
              <w:rPr>
                <w:rFonts w:ascii="Arial" w:cs="Arial" w:eastAsia="Arial" w:hAnsi="Arial"/>
                <w:sz w:val="17"/>
                <w:szCs w:val="17"/>
                <w:color w:val="auto"/>
              </w:rPr>
              <w:t>Redeemable convertible preferred stock (Series A and B), $0.00001 par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7"/>
                <w:szCs w:val="17"/>
                <w:color w:val="auto"/>
              </w:rPr>
              <w:t>34,090,000 shares authorized, 27,341,057 shares issued and outstanding,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7"/>
                <w:szCs w:val="17"/>
                <w:color w:val="auto"/>
              </w:rPr>
              <w:t>actual; no shares authorized, issued or outstanding, pro forma and pro forma</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20" w:type="dxa"/>
            <w:vAlign w:val="bottom"/>
          </w:tcPr>
          <w:p>
            <w:pPr>
              <w:ind w:left="160"/>
              <w:spacing w:after="0" w:line="194" w:lineRule="exact"/>
              <w:rPr>
                <w:sz w:val="20"/>
                <w:szCs w:val="20"/>
                <w:color w:val="auto"/>
              </w:rPr>
            </w:pPr>
            <w:r>
              <w:rPr>
                <w:rFonts w:ascii="Arial" w:cs="Arial" w:eastAsia="Arial" w:hAnsi="Arial"/>
                <w:sz w:val="17"/>
                <w:szCs w:val="17"/>
                <w:color w:val="auto"/>
              </w:rPr>
              <w:t>as adjusted</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38,010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2000" w:type="dxa"/>
            <w:vAlign w:val="bottom"/>
            <w:gridSpan w:val="4"/>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 (Series C), $0.00001 par value; no 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authorized, issued or outstanding, actual, pro forma and pro forma as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20"/>
              <w:spacing w:after="0"/>
              <w:rPr>
                <w:sz w:val="20"/>
                <w:szCs w:val="20"/>
                <w:color w:val="auto"/>
              </w:rPr>
            </w:pPr>
            <w:r>
              <w:rPr>
                <w:rFonts w:ascii="Arial" w:cs="Arial" w:eastAsia="Arial" w:hAnsi="Arial"/>
                <w:sz w:val="17"/>
                <w:szCs w:val="17"/>
                <w:color w:val="auto"/>
              </w:rPr>
              <w:t>Stockholders' equity (deficit):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$0.00001 par value; no shares authorized, issued 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actual; 10,000,000 shares authorized and no shares issued 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outstanding, pro forma and pro forma as adjusted</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7"/>
                <w:szCs w:val="17"/>
                <w:color w:val="auto"/>
              </w:rPr>
              <w:t>Common stock, $0.00001 par value; 77,000,000 shares authorized, 2,730,427</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7"/>
                <w:szCs w:val="17"/>
                <w:color w:val="auto"/>
              </w:rPr>
              <w:t>shares issued and outstanding, actual; 100,000,000 shares authorized,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7"/>
                <w:szCs w:val="17"/>
                <w:color w:val="auto"/>
              </w:rPr>
              <w:t>14,407,503 shares issued and outstanding, pro forma; 100,000,000 shares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7"/>
                <w:szCs w:val="17"/>
                <w:color w:val="auto"/>
              </w:rPr>
              <w:t>authorized, 19,407,503 shares issued and outstanding, pro forma as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20" w:type="dxa"/>
            <w:vAlign w:val="bottom"/>
          </w:tcPr>
          <w:p>
            <w:pPr>
              <w:ind w:left="320"/>
              <w:spacing w:after="0" w:line="194" w:lineRule="exact"/>
              <w:rPr>
                <w:sz w:val="20"/>
                <w:szCs w:val="20"/>
                <w:color w:val="auto"/>
              </w:rPr>
            </w:pPr>
            <w:r>
              <w:rPr>
                <w:rFonts w:ascii="Arial" w:cs="Arial" w:eastAsia="Arial" w:hAnsi="Arial"/>
                <w:sz w:val="17"/>
                <w:szCs w:val="17"/>
                <w:color w:val="auto"/>
              </w:rPr>
              <w:t>adjusted</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0</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0</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78,010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126,860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(27,214)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(35,214)</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(35,214)</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2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stockholders' equity (deficit)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(27,214)</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42,796</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91,646</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vMerge w:val="restart"/>
          </w:tcPr>
          <w:p>
            <w:pPr>
              <w:ind w:left="20"/>
              <w:spacing w:after="0"/>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22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10,796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42,796</w:t>
            </w:r>
          </w:p>
        </w:tc>
        <w:tc>
          <w:tcPr>
            <w:tcW w:w="1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91,646</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7360" w:type="dxa"/>
            <w:vAlign w:val="bottom"/>
            <w:gridSpan w:val="2"/>
          </w:tcPr>
          <w:p>
            <w:pPr>
              <w:jc w:val="right"/>
              <w:ind w:right="1475"/>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6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As of June 30, 2015, we had recorded deferred initial public offering costs of $1.1 million, of which $0.9 million had been paid in cash and $0.2 million was accrued. The pro forma as adjusted amounts in the table above give effect to our payment of an additional $1.4 million of estimated offering expenses after June 30, 2015, including the $0.2 million accrued as of that date.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in the table above does not include:</w:t>
      </w:r>
    </w:p>
    <w:p>
      <w:pPr>
        <w:spacing w:after="0" w:line="224" w:lineRule="exact"/>
        <w:rPr>
          <w:sz w:val="20"/>
          <w:szCs w:val="20"/>
          <w:color w:val="auto"/>
        </w:rPr>
      </w:pPr>
    </w:p>
    <w:p>
      <w:pPr>
        <w:ind w:left="1060" w:right="12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500,262 shares of our common stock issuable upon the exercise of stock options outstanding under our 2012 equity compensation plan as of June 30, 2015, at a weighted average exercise price of $1.22 per share;</w:t>
      </w:r>
    </w:p>
    <w:p>
      <w:pPr>
        <w:spacing w:after="0" w:line="205"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640,262 shares of our common stock issuable upon the exercise of stock options granted under our 2012 equity compensation plan subsequent to June 30, 2015, at an exercise price of $10.66 per share;</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89,800 shares of our common stock issuable upon the exercise of stock options we have granted under our 2015 equity incentive plan as of the date of this prospectus, at an exercise price of $11.00 per share; and</w:t>
      </w:r>
    </w:p>
    <w:p>
      <w:pPr>
        <w:spacing w:after="0" w:line="192" w:lineRule="exact"/>
        <w:rPr>
          <w:rFonts w:ascii="Arial" w:cs="Arial" w:eastAsia="Arial" w:hAnsi="Arial"/>
          <w:sz w:val="17"/>
          <w:szCs w:val="17"/>
          <w:color w:val="auto"/>
        </w:rPr>
      </w:pPr>
    </w:p>
    <w:p>
      <w:pPr>
        <w:ind w:left="1060" w:right="520" w:hanging="531"/>
        <w:spacing w:after="0" w:line="246"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additional 1,554,071 shares of our common stock reserved for future issuance under our 2015 equity incentive plan, plus any additional shares of our common stock that may become available under our 2015 equity incentive plan, as more fully described in "Executive Compensation — Equity Incentive Plans."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199" w:lineRule="exact"/>
        <w:rPr>
          <w:sz w:val="20"/>
          <w:szCs w:val="20"/>
          <w:color w:val="auto"/>
        </w:rPr>
      </w:pPr>
    </w:p>
    <w:p>
      <w:pPr>
        <w:jc w:val="both"/>
        <w:ind w:right="220"/>
        <w:spacing w:after="0" w:line="245" w:lineRule="auto"/>
        <w:rPr>
          <w:sz w:val="20"/>
          <w:szCs w:val="20"/>
          <w:color w:val="auto"/>
        </w:rPr>
      </w:pPr>
      <w:r>
        <w:rPr>
          <w:rFonts w:ascii="Arial" w:cs="Arial" w:eastAsia="Arial" w:hAnsi="Arial"/>
          <w:sz w:val="17"/>
          <w:szCs w:val="17"/>
          <w:color w:val="auto"/>
        </w:rPr>
        <w:t>Our historical net tangible book value (deficit) as of June 30, 2015 was $(28.3) million, or $(10.38) per share of our common stock. Our historical net tangible book value (deficit) is the amount of our total tangible assets less our total liabilities and redeemable convertible preferred stock, which is not included within stockholders' equity (deficit). Historical net tangible book value per share represents historical net tangible book value (deficit) divided by the 2,730,427 shares of our common stock outstanding as of June 30, 2015.</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pro forma net tangible book value as of June 30, 2015 was $41.7 million, or $2.89 per share of our common stock. Pro forma net tangible book value represents the amount of our total tangible assets less our total liabilities, after giving effect to (1) our sale of an aggregate of 12,944,984 shares of Series C convertible preferred stock in August 2015 for gross proceeds of $40.0 million; (2) our upfront payment of $8.0 million to Rigel to be made within 30 business days of August 27, 2015 in connection with our license of rights to our JAK inhibitors and related intellectual property from Rigel; and</w:t>
      </w:r>
    </w:p>
    <w:p>
      <w:pPr>
        <w:spacing w:after="0" w:line="1" w:lineRule="exact"/>
        <w:rPr>
          <w:sz w:val="20"/>
          <w:szCs w:val="20"/>
          <w:color w:val="auto"/>
        </w:rPr>
      </w:pPr>
    </w:p>
    <w:p>
      <w:pPr>
        <w:jc w:val="both"/>
        <w:ind w:right="220" w:firstLine="5"/>
        <w:spacing w:after="0" w:line="241" w:lineRule="auto"/>
        <w:tabs>
          <w:tab w:leader="none" w:pos="25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conversion of all shares of our convertible preferred stock outstanding as of September 1, 2015 into an aggregate of 11,677,076 shares of our common stock, which will occur upon the closing of this offering. Pro forma net tangible book value per share represents pro forma net tangible book value divided by the total number of shares outstanding as of June 30, 2015, after giving effect to the pro forma adjustments described in (1) and</w:t>
      </w:r>
    </w:p>
    <w:p>
      <w:pPr>
        <w:spacing w:after="0" w:line="1" w:lineRule="exact"/>
        <w:rPr>
          <w:rFonts w:ascii="Arial" w:cs="Arial" w:eastAsia="Arial" w:hAnsi="Arial"/>
          <w:sz w:val="17"/>
          <w:szCs w:val="17"/>
          <w:color w:val="auto"/>
        </w:rPr>
      </w:pPr>
    </w:p>
    <w:p>
      <w:pPr>
        <w:ind w:left="260" w:hanging="255"/>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above.</w:t>
      </w:r>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After giving further effect to our sale of 5,000,000 shares of common stock in this offering at the initial public offering price of $11.00 per share and after deducting the underwriting discounts and commissions and estimated offering expenses payable by us, our pro forma as adjusted net tangible book value as of June 30, 2015 would have been $91.6 million, or $4.72 per share. This represents an immediate increase in pro forma as adjusted net tangible book value of $1.83 per share to existing stockholders and an immediate dilution in pro forma net tangible book value of $6.28 per share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6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Initial public offering price per share</w:t>
            </w:r>
          </w:p>
        </w:tc>
        <w:tc>
          <w:tcPr>
            <w:tcW w:w="1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460" w:type="dxa"/>
            <w:vAlign w:val="bottom"/>
          </w:tcPr>
          <w:p>
            <w:pPr>
              <w:ind w:left="160"/>
              <w:spacing w:after="0"/>
              <w:rPr>
                <w:sz w:val="20"/>
                <w:szCs w:val="20"/>
                <w:color w:val="auto"/>
              </w:rPr>
            </w:pPr>
            <w:r>
              <w:rPr>
                <w:rFonts w:ascii="Arial" w:cs="Arial" w:eastAsia="Arial" w:hAnsi="Arial"/>
                <w:sz w:val="17"/>
                <w:szCs w:val="17"/>
                <w:color w:val="auto"/>
              </w:rPr>
              <w:t>Historical net tangible book value (deficit) per share as of June 30, 2015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(10.38)</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per share attributable to the sale of Series C convertible preferred stock, upfront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4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payment to Rigel and conversion of all outstanding shares of convertible preferred stock</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13.27</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vMerge w:val="restart"/>
          </w:tcPr>
          <w:p>
            <w:pPr>
              <w:ind w:left="160"/>
              <w:spacing w:after="0"/>
              <w:rPr>
                <w:sz w:val="20"/>
                <w:szCs w:val="20"/>
                <w:color w:val="auto"/>
              </w:rPr>
            </w:pPr>
            <w:r>
              <w:rPr>
                <w:rFonts w:ascii="Arial" w:cs="Arial" w:eastAsia="Arial" w:hAnsi="Arial"/>
                <w:sz w:val="17"/>
                <w:szCs w:val="17"/>
                <w:color w:val="auto"/>
              </w:rPr>
              <w:t>Pro forma net tangible book value per share as of June 30, 2015</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2.89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pro forma as adjusted net tangible book value per share attributable to new</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4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investors purchasing shares in this offering</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1.83</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460" w:type="dxa"/>
            <w:vAlign w:val="bottom"/>
          </w:tcPr>
          <w:p>
            <w:pPr>
              <w:ind w:left="20"/>
              <w:spacing w:after="0" w:line="189"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4.72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6.28</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7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As of June 30, 2015, we had recorded deferred initial public offering costs of $1.1 million, of which $0.9 million had been paid in cash and $0.2 million was accrued. The pro forma as adjusted net tangible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book value in the discussion above gives effect to our payment of an additional $1.4 million of estimated offering expenses after June 30, 2015, including the $0.2 million accrued as of that date.</w:t>
      </w:r>
    </w:p>
    <w:p>
      <w:pPr>
        <w:spacing w:after="0" w:line="19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If the underwriters exercise their option to purchase 750,000 additional shares in full, our pro forma as adjusted net tangible book value per share after this offering would be $4.93 per share, representing an immediate increase in pro forma as adjusted net tangible book value per share of $2.04 to existing stockholders and immediate dilution of $6.07 in pro forma as adjusted net tangible book value per share to new investors purchasing common stock in this offering, based on the initial public offering price of $11.00 per share.</w:t>
      </w:r>
    </w:p>
    <w:p>
      <w:pPr>
        <w:spacing w:after="0" w:line="19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following table summarizes, on the pro forma as adjusted basis described above, the number of shares of our common stock, the total consideration and the average price per share (i) paid to us by existing stockholders and (ii) to be paid by investors purchasing shares of common stock in this offering at the initial public offering price of $11.00 per share,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Shares Purchased</w:t>
            </w: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4"/>
                <w:szCs w:val="14"/>
                <w:color w:val="auto"/>
              </w:rPr>
            </w:pPr>
          </w:p>
        </w:tc>
        <w:tc>
          <w:tcPr>
            <w:tcW w:w="206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restart"/>
          </w:tcPr>
          <w:p>
            <w:pPr>
              <w:jc w:val="center"/>
              <w:ind w:right="1400"/>
              <w:spacing w:after="0" w:line="157"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Per Share</w:t>
            </w:r>
          </w:p>
        </w:tc>
        <w:tc>
          <w:tcPr>
            <w:tcW w:w="1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14,407,503</w:t>
            </w:r>
          </w:p>
        </w:tc>
        <w:tc>
          <w:tcPr>
            <w:tcW w:w="9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74.2%$</w:t>
            </w: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71,534,339</w:t>
            </w:r>
          </w:p>
        </w:tc>
        <w:tc>
          <w:tcPr>
            <w:tcW w:w="8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56.5%$</w:t>
            </w:r>
          </w:p>
        </w:tc>
        <w:tc>
          <w:tcPr>
            <w:tcW w:w="9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4.97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New investors</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5,000,000</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55,000,000</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11.00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0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19,407,503</w:t>
            </w:r>
          </w:p>
        </w:tc>
        <w:tc>
          <w:tcPr>
            <w:tcW w:w="9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100.0%$</w:t>
            </w: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126,534,339</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71.5% of the total number of shares of our common stock outstanding after this offering, and the number of shares of common stock held by new investors participating in the offering would be increased to 28.5% of the total number of shares of our common stock outstanding after this offering.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discussion above do not include:</w:t>
      </w:r>
    </w:p>
    <w:p>
      <w:pPr>
        <w:spacing w:after="0" w:line="224" w:lineRule="exact"/>
        <w:rPr>
          <w:sz w:val="20"/>
          <w:szCs w:val="20"/>
          <w:color w:val="auto"/>
        </w:rPr>
      </w:pPr>
    </w:p>
    <w:p>
      <w:pPr>
        <w:ind w:left="1060" w:right="18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500,262 shares of our common stock issuable upon the exercise of stock options outstanding under our 2012 equity compensation plan as of June 30, 2015, at a weighted average exercise price of $1.22 per share;</w:t>
      </w:r>
    </w:p>
    <w:p>
      <w:pPr>
        <w:spacing w:after="0" w:line="205"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640,262 shares of our common stock issuable upon the exercise of stock options granted under our 2012 equity compensation plan subsequent to June 30, 2015, at an exercise price of $10.66 per share;</w:t>
      </w:r>
    </w:p>
    <w:p>
      <w:pPr>
        <w:spacing w:after="0" w:line="192"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89,800 shares of our common stock issuable upon the exercise of stock options we have granted under our 2015 equity incentive plan as of the date of this prospectus, at an exercise price of $11.00 per share; and</w:t>
      </w:r>
    </w:p>
    <w:p>
      <w:pPr>
        <w:spacing w:after="0" w:line="192" w:lineRule="exact"/>
        <w:rPr>
          <w:rFonts w:ascii="Arial" w:cs="Arial" w:eastAsia="Arial" w:hAnsi="Arial"/>
          <w:sz w:val="17"/>
          <w:szCs w:val="17"/>
          <w:color w:val="auto"/>
        </w:rPr>
      </w:pPr>
    </w:p>
    <w:p>
      <w:pPr>
        <w:ind w:left="1060" w:right="580" w:hanging="531"/>
        <w:spacing w:after="0" w:line="24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additional 1,554,071 shares of our common stock reserved for future issuance under our 2015 equity incentive plan, plus any additional shares of our common stock that may become available under our 2015 equity incentive plan, as more fully described in "Executive Compensation — Equity Incentive Plans."</w:t>
      </w:r>
    </w:p>
    <w:p>
      <w:pPr>
        <w:spacing w:after="0" w:line="199"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up to an aggregate of $15.0 million in shares of our common stock in this offering at the initial public offering price per share. Based on the initial public offering price of $11.00 per share, these entities would purchase up to an aggregate of approximately 1,363,635 of the 5,000,000 shares in this offering based on these indications of interest. However, because indications of interest are not binding agreements or commitments to purchase, these entities may determine to increase or reduce the amount of their indications of interest or otherwise elect not to purchase any shares. In addition, the underwriters could determine to sell fewer shares to any of these entities than the entities indicate an interest in purchasing or not to sell any shares to these entities. The foregoing discussion and tables do not reflect any potential purchases by these entities or their affiliated entities.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thereto included elsewhere in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The statement of operations data for the six months ended June 30, 2014 and 2015 and the balance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6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right"/>
              <w:ind w:right="270"/>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Pr>
          <w:p>
            <w:pPr>
              <w:spacing w:after="0"/>
              <w:rPr>
                <w:sz w:val="14"/>
                <w:szCs w:val="14"/>
                <w:color w:val="auto"/>
              </w:rPr>
            </w:pPr>
          </w:p>
        </w:tc>
        <w:tc>
          <w:tcPr>
            <w:tcW w:w="338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78"/>
              <w:spacing w:after="0" w:line="151"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w w:val="87"/>
              </w:rPr>
              <w:t>thousands, except</w:t>
            </w:r>
          </w:p>
        </w:tc>
        <w:tc>
          <w:tcPr>
            <w:tcW w:w="3680" w:type="dxa"/>
            <w:vAlign w:val="bottom"/>
            <w:gridSpan w:val="9"/>
          </w:tcPr>
          <w:p>
            <w:pPr>
              <w:spacing w:after="0" w:line="151" w:lineRule="exact"/>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240" w:type="dxa"/>
            <w:vAlign w:val="bottom"/>
            <w:gridSpan w:val="4"/>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7"/>
                <w:szCs w:val="17"/>
                <w:color w:val="auto"/>
              </w:rPr>
              <w:t>3,488</w:t>
            </w:r>
          </w:p>
        </w:tc>
        <w:tc>
          <w:tcPr>
            <w:tcW w:w="180" w:type="dxa"/>
            <w:vAlign w:val="bottom"/>
          </w:tcPr>
          <w:p>
            <w:pPr>
              <w:spacing w:after="0"/>
              <w:rPr>
                <w:sz w:val="17"/>
                <w:szCs w:val="17"/>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7"/>
                <w:szCs w:val="17"/>
                <w:color w:val="auto"/>
              </w:rPr>
              <w:t>6,507</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2,356</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3,530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5,257</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3,269</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5,225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(5,257)</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(8,533)</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(3,269)</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(5,236)</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(8,517)</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(3,263)</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Accretion of preferred stock to redemption value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7"/>
                <w:szCs w:val="17"/>
                <w:color w:val="auto"/>
              </w:rPr>
              <w:t>(1,740)</w:t>
            </w:r>
          </w:p>
        </w:tc>
        <w:tc>
          <w:tcPr>
            <w:tcW w:w="180" w:type="dxa"/>
            <w:vAlign w:val="bottom"/>
          </w:tcPr>
          <w:p>
            <w:pPr>
              <w:spacing w:after="0"/>
              <w:rPr>
                <w:sz w:val="17"/>
                <w:szCs w:val="17"/>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7"/>
                <w:szCs w:val="17"/>
                <w:color w:val="auto"/>
              </w:rPr>
              <w:t>(2,054)</w:t>
            </w: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(914)</w:t>
            </w: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(1,333)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(6,976)</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(10,571)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(4,177)</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(6,550)</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32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(6.45)</w:t>
            </w: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(6.15)</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(2.49)</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(3.04)</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3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 average common shares outstanding, basic</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and diluted</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1,081,347</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1,720,082</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1,675,242</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2,154,953</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(0.92)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(0.49)</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3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common shares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outstanding, basic and diluted (unaudited)</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9,261,917</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10,655,346</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7"/>
                <w:szCs w:val="17"/>
                <w:color w:val="auto"/>
                <w:w w:val="94"/>
              </w:rPr>
              <w:t>59</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3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20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8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060" w:type="dxa"/>
            <w:vAlign w:val="bottom"/>
            <w:gridSpan w:val="4"/>
            <w:vMerge w:val="restart"/>
          </w:tcPr>
          <w:p>
            <w:pPr>
              <w:jc w:val="center"/>
              <w:ind w:right="146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0" w:type="dxa"/>
            <w:vAlign w:val="bottom"/>
            <w:gridSpan w:val="2"/>
          </w:tcPr>
          <w:p>
            <w:pPr>
              <w:ind w:left="22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  14,126</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  16,648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9,853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13,019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14,883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14,207</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17,377</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12,223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23,000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36,677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stockholders' deficit</w:t>
            </w:r>
          </w:p>
        </w:tc>
        <w:tc>
          <w:tcPr>
            <w:tcW w:w="2900" w:type="dxa"/>
            <w:vAlign w:val="bottom"/>
            <w:gridSpan w:val="3"/>
          </w:tcPr>
          <w:p>
            <w:pPr>
              <w:jc w:val="right"/>
              <w:ind w:right="20"/>
              <w:spacing w:after="0"/>
              <w:rPr>
                <w:sz w:val="20"/>
                <w:szCs w:val="20"/>
                <w:color w:val="auto"/>
              </w:rPr>
            </w:pPr>
            <w:r>
              <w:rPr>
                <w:rFonts w:ascii="Arial" w:cs="Arial" w:eastAsia="Arial" w:hAnsi="Arial"/>
                <w:sz w:val="17"/>
                <w:szCs w:val="17"/>
                <w:color w:val="auto"/>
              </w:rPr>
              <w:t>(9,163)</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rPr>
              <w:t>(20,755)</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(27,214)</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0" w:type="dxa"/>
            <w:vAlign w:val="bottom"/>
          </w:tcPr>
          <w:p>
            <w:pPr>
              <w:jc w:val="right"/>
              <w:ind w:right="1377"/>
              <w:spacing w:after="0"/>
              <w:rPr>
                <w:sz w:val="20"/>
                <w:szCs w:val="20"/>
                <w:color w:val="auto"/>
              </w:rPr>
            </w:pPr>
            <w:r>
              <w:rPr>
                <w:rFonts w:ascii="Arial" w:cs="Arial" w:eastAsia="Arial" w:hAnsi="Arial"/>
                <w:sz w:val="17"/>
                <w:szCs w:val="17"/>
                <w:color w:val="auto"/>
              </w:rPr>
              <w:t>60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We plan to commence three Phase 3 clinical trials of A-101 in patients with SK in the first quarter of 2016 and, if the results of these trials are favorable, to submit a New Drug Application, or NDA, for A-101 for the treatment of SK to the U.S. Food and Drug Administration, or FDA, in the fourth quarter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A-201 and A-301,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Through September 1, 2015, we have not generated any revenue and have financed our operations with $71.5 million of gross proceeds from sales of our convertible preferred stock. We do not expect to generate significant revenue unless and until we obtain marketing approval for and commercialize A-101 for the treatment of SK or one of our other future drug candidates.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Since our inception, we have incurred significant operating losses. Our net loss was $5.2 million for the year ended December 31, 2013, $8.5 million for the year ended December 31, 2014 and $5.2 million for the six months ended June 30, 2015. As of June 30, 2015, we had an accumulated deficit of $27.2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We believe that the anticipated net proceeds from this offering, together with our existing cash and cash equivalents, will enable us to fund our operating expenses and capital expenditure requirements for at least the next 24 months. We have based this estimate on assumptions that may prove to be wrong, and we could utilize our available capital resources sooner than we expect. See "— Liquidity and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Rigel</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we entered into an exclusive, worldwide license and collaboration agreement with Rigel for the development and commercialization of products containing specified JAK inhibitors that Rigel has developed for the treatment of alopecia areata, or AA, and other dermatological conditions. Under this agreement, we intend to develop these JAK inhibitors for the treatment of AA and potentially for other dermatological conditions. Under this agreement, we agreed to pay Rigel an upfront non-refundable payment of $8.0 million within 30 business days of August 27, 2015. In addition,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at a high single-digit percentage of annual net sales, subject to specified reductions. The agreement also establishes a joint steering committee composed of an equal number of representatives for each party which will monitor progress in the development of products.</w:t>
      </w:r>
    </w:p>
    <w:p>
      <w:pPr>
        <w:spacing w:after="0" w:line="20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 xml:space="preserve">We will account for the transaction as an asset acquisition as the licensing arrangement did not meet the definition of a business pursuant to the guidance prescribed in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we expect to record the $8.0 million upfront payment as research and development expense in the three months ended September 30, 2015. We will record as expense any contingent milestone payments or royalties in the period in which such liabilities are incurred.</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concluded that licensing arrangement with Rigel did not meet the definition of a business because the transaction principally resulted in its acquisition of intellectual property. As part of the transaction, we did not acquire any employees or tangible assets, or any processes, protocols or operating systems. In addition, at the time of the acquisition, there were no activities being conducted related to the licensed patents. We will expense the acquired intellectual property asset as of the acquisition date because we will use it in our research and development activities and believe it has no alternative future uses.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Agreements</w:t>
      </w:r>
    </w:p>
    <w:p>
      <w:pPr>
        <w:spacing w:after="0" w:line="231"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Under an assignment agreement, pursuant to which we acquired intellectual property, we have agreed to pay royalties on sales of A-101 or related products at rates ranging in low single-digit percentages of net sales, as defined in the agreement. Under this assignment agreement, we have paid aggregate milestone payments of $0.2 million and there are no remaining milestone payment obligations under this agreement.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connection with this acquisition of intellectual property, we also entered into a finder's services agreement under which we have paid aggregate milestone payments of $0.2 million and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since our inception and do not expect to generate any revenue from the sale of products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Research and development expense consists of expenses incurred in connection with the discovery and development of our drug candidates. We expense research and development costs as incurred. These expenses include:</w:t>
      </w:r>
    </w:p>
    <w:p>
      <w:pPr>
        <w:spacing w:after="0" w:line="206" w:lineRule="exact"/>
        <w:rPr>
          <w:sz w:val="20"/>
          <w:szCs w:val="20"/>
          <w:color w:val="auto"/>
        </w:rPr>
      </w:pPr>
    </w:p>
    <w:p>
      <w:pPr>
        <w:ind w:left="1060" w:right="160" w:hanging="531"/>
        <w:spacing w:after="0" w:line="246"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as well as investigative sites and consultants that conduct our clinical trials and preclinical studies;</w:t>
      </w:r>
    </w:p>
    <w:p>
      <w:pPr>
        <w:spacing w:after="0" w:line="18" w:lineRule="exact"/>
        <w:rPr>
          <w:rFonts w:ascii="Arial" w:cs="Arial" w:eastAsia="Arial" w:hAnsi="Arial"/>
          <w:sz w:val="17"/>
          <w:szCs w:val="17"/>
          <w:color w:val="auto"/>
        </w:rPr>
      </w:pPr>
    </w:p>
    <w:p>
      <w:pPr>
        <w:ind w:left="1060" w:right="380" w:hanging="531"/>
        <w:spacing w:after="0" w:line="246"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manufacturing scale-up expenses and the cost of acquiring and manufacturing preclinical and clinical trial materials and commercial materials, including manufacturing validation batches;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outsourced professional scientific development services;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payments made under a third-party assignment agreement, under which we acquired intellectual property;</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expenses relating to regulatory activities, including filing fees paid to regulatory agencies;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laboratory materials and supplies used to support our research activities; and</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allocated expenses for utilities and other facility-related costs.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commence Phase 3 clinical trials of A-101 in patients with SK and conduct other clinical trials and prepare regulatory filings for our drug candidates.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pacing w:after="0" w:line="211"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clinical sites included in the trials;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length of time required to enroll suitable patients;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patients that ultimately participate in the trials;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doses patients receive;</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duration of patient follow-up; and</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results of our clinical trials.</w:t>
      </w:r>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drug candidates. We may obtain unexpected results from our clinical trials. We may elect to discontinue, delay or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3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personnel costs, including stock-based compensation, expanded infrastructure and higher consulting, legal and tax-related services associated with maintaining compliance with stock exchange listing and SEC requirements, accounting and investor relations costs, and director and officer insurance premiums associated with being a public company. We anticipate the additional costs for these services will increase our general and administrative expenses by approximately $1.5 million to $2.5 million on an annual basis. Additionally, if and when we believe a regulatory approval of a drug candidate appears likely, we anticipate an increase in payroll and expense as a result of our preparation for commercial operations, especially as it relates to the sales and marketing of our drug candidate.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our cash, cash equivalents and marketable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Since our inception in 2012, we have not recorded any U.S. federal or state income tax benefits for the net losses we have incurred in each year or our earned research and development tax credits, due to our uncertainty of realizing a benefit from those items. As of December 31, 2014, we had federal and state net operating loss carryforwards of $13.8 million and $13.8 million, respectively, both of which begin to expire in 2032. As of December 31, 2014, we also had federal research and development tax credit carryforwards of $0.2 million, which begin to expire in 2032, and we had no state research and development tax credit carryforwards.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of America, or GAAP. The preparation of our financial statements and related disclosures requires us to make estimates and judgments that affect the reported amounts of assets and liabilities,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20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that the following accounting policies are those most critical to the judgments and estimates used in the preparation of our financial statements.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 payments; however, some invoice us in arrears for services performed, on a pre-determined schedule or when contractual milestones are met. We make estimates of our accrued expenses as of each balance sheet date in the financial statements based on facts and circumstances known to us at that time. We periodically confirm the accuracy of the estimates with the service providers and makes adjustments if necessary. Examples of estimated accrued research and development expenses include fees paid to:</w:t>
      </w:r>
    </w:p>
    <w:p>
      <w:pPr>
        <w:spacing w:after="0" w:line="219"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vendors in connection with the preclinical development activities;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contract manufacturers in connection with commercial scale-up activities and the production of preclinical and clinical trial materials;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CROs in connection with clinical trials; and</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investigative sites in connection with clinical trials.</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9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98"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99"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with input from management, considering our most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 xml:space="preserve">recently available third-party valuations of common stock and our board of directors' assessment of additional objective and subjective factors that it believed were relevant and which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common stock valuations were performed using a hybrid method, which used market approaches to estimate our enterprise value. We selected the hybrid method based on the availability and the quality of information to develop the assumptions for the methodology. The hybrid method is a probability-weighted expected return method, or PWERM, where the equity value in one or more of the scenarios is calculated using an option-pricing method, or OPM. The PWERM is a scenario-based methodology that estimates the fair value of common stock based upon an analysis of future values for the company, assuming various outcomes. Under this method, the common stock value is based on the probability-weighted present value of expected future investment returns, considering each of the possible outcomes available, as well as the rights of each class of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or merger.</w:t>
      </w:r>
    </w:p>
    <w:p>
      <w:pPr>
        <w:spacing w:after="0" w:line="20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hybrid method used in each of our third-party valuations, six types of future-event scenarios were considered: two different OPM scenarios, a strategic sale scenario, a low-value and a high-value IPO scenario, and a liquidation scenario. The relative probability of each type of future-event scenario was based on our analysis of market conditions at the time, including then-current IPO valuations of similarly situated companies and expectations as to the timing and likely prospects of the future-event scenarios. To determine our enterprise values under the two OPM scenarios, we used the OPM backsolve approach. To determine our enterprise values under the two IPO scenarios, we used the guideline public company method under the market approach, which analyzed enterprise values at the IPO date of publicly traded dermatology-focused biopharmaceutical companies. To determine our enterprise value under the strategic sale scenario, we considered sale transactions of comparable companies. Finally, to determine our enterprise value for the liquidation scenario, we assumed a sale at the net book value of our assets and liabilities. To derive the fair value of the common stock for each future-event scenario under the hybrid method, the proceeds to the common stockholders were calculated based on the conversion rights and preferences of the preferred stock. We then applied a discount for lack of marketability to the common stock to account for the lack of access to an active public market.</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performed these contemporaneous valuations, with the assistance of a third-party valuation specialist, as of December 1, 2013, June 30, 2014, December 8, 2014 and September 1, 2015. In addition to these valuations, our board of directors considered various objective and subjective factors to determine the fair value of our common stock as of each grant date, including:</w:t>
      </w:r>
    </w:p>
    <w:p>
      <w:pPr>
        <w:spacing w:after="0" w:line="212" w:lineRule="exact"/>
        <w:rPr>
          <w:sz w:val="20"/>
          <w:szCs w:val="20"/>
          <w:color w:val="auto"/>
        </w:rPr>
      </w:pPr>
    </w:p>
    <w:p>
      <w:pPr>
        <w:ind w:left="1060" w:right="640" w:hanging="531"/>
        <w:spacing w:after="0" w:line="246"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18" w:lineRule="exact"/>
        <w:rPr>
          <w:rFonts w:ascii="Arial" w:cs="Arial" w:eastAsia="Arial" w:hAnsi="Arial"/>
          <w:sz w:val="17"/>
          <w:szCs w:val="17"/>
          <w:color w:val="auto"/>
        </w:rPr>
      </w:pPr>
    </w:p>
    <w:p>
      <w:pPr>
        <w:ind w:left="1060" w:right="740" w:hanging="531"/>
        <w:spacing w:after="0" w:line="246"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and clinical trials for our drug candidates;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external market conditions affecting the biotechnology industry, and trends within the biotechnology industry;</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20" w:hanging="531"/>
        <w:spacing w:after="0" w:line="246"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IPO, or sale of our company in light of prevailing market conditions; and</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biopharmaceutical industry.</w:t>
      </w:r>
    </w:p>
    <w:p>
      <w:pPr>
        <w:spacing w:after="0" w:line="21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the fair value of our common stock will be determined based on the quoted market price of our common stock.</w:t>
      </w:r>
    </w:p>
    <w:p>
      <w:pPr>
        <w:spacing w:after="0" w:line="21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Fair Value of</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3"/>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Per Share</w:t>
            </w: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 Subject</w:t>
            </w:r>
          </w:p>
        </w:tc>
        <w:tc>
          <w:tcPr>
            <w:tcW w:w="16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3"/>
                <w:szCs w:val="13"/>
                <w:color w:val="auto"/>
              </w:rPr>
            </w:pPr>
          </w:p>
        </w:tc>
        <w:tc>
          <w:tcPr>
            <w:tcW w:w="1520" w:type="dxa"/>
            <w:vAlign w:val="bottom"/>
            <w:gridSpan w:val="2"/>
          </w:tcPr>
          <w:p>
            <w:pPr>
              <w:jc w:val="center"/>
              <w:ind w:right="580"/>
              <w:spacing w:after="0" w:line="157" w:lineRule="exact"/>
              <w:rPr>
                <w:sz w:val="20"/>
                <w:szCs w:val="20"/>
                <w:color w:val="auto"/>
              </w:rPr>
            </w:pPr>
            <w:r>
              <w:rPr>
                <w:rFonts w:ascii="Arial" w:cs="Arial" w:eastAsia="Arial" w:hAnsi="Arial"/>
                <w:sz w:val="14"/>
                <w:szCs w:val="14"/>
                <w:b w:val="1"/>
                <w:bCs w:val="1"/>
                <w:color w:val="auto"/>
              </w:rPr>
              <w:t>per Share on</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Estimated Fair</w:t>
            </w: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To Options</w:t>
            </w:r>
          </w:p>
        </w:tc>
        <w:tc>
          <w:tcPr>
            <w:tcW w:w="13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3"/>
                <w:szCs w:val="13"/>
                <w:color w:val="auto"/>
              </w:rPr>
            </w:pPr>
          </w:p>
        </w:tc>
        <w:tc>
          <w:tcPr>
            <w:tcW w:w="1520" w:type="dxa"/>
            <w:vAlign w:val="bottom"/>
            <w:gridSpan w:val="2"/>
          </w:tcPr>
          <w:p>
            <w:pPr>
              <w:jc w:val="center"/>
              <w:ind w:right="580"/>
              <w:spacing w:after="0" w:line="157" w:lineRule="exact"/>
              <w:rPr>
                <w:sz w:val="20"/>
                <w:szCs w:val="20"/>
                <w:color w:val="auto"/>
              </w:rPr>
            </w:pPr>
            <w:r>
              <w:rPr>
                <w:rFonts w:ascii="Arial" w:cs="Arial" w:eastAsia="Arial" w:hAnsi="Arial"/>
                <w:sz w:val="14"/>
                <w:szCs w:val="14"/>
                <w:b w:val="1"/>
                <w:bCs w:val="1"/>
                <w:color w:val="auto"/>
                <w:w w:val="99"/>
              </w:rPr>
              <w:t>Option Grant</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Value of</w:t>
            </w:r>
          </w:p>
        </w:tc>
      </w:tr>
      <w:tr>
        <w:trPr>
          <w:trHeight w:val="169"/>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of Options</w:t>
            </w: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r>
      <w:tr>
        <w:trPr>
          <w:trHeight w:val="20"/>
        </w:trPr>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January 29, 2014</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52,173</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0.36</w:t>
            </w:r>
          </w:p>
        </w:tc>
      </w:tr>
      <w:tr>
        <w:trPr>
          <w:trHeight w:val="197"/>
        </w:trPr>
        <w:tc>
          <w:tcPr>
            <w:tcW w:w="3720" w:type="dxa"/>
            <w:vAlign w:val="bottom"/>
            <w:gridSpan w:val="2"/>
          </w:tcPr>
          <w:p>
            <w:pPr>
              <w:spacing w:after="0"/>
              <w:rPr>
                <w:sz w:val="20"/>
                <w:szCs w:val="20"/>
                <w:color w:val="auto"/>
              </w:rPr>
            </w:pPr>
            <w:r>
              <w:rPr>
                <w:rFonts w:ascii="Arial" w:cs="Arial" w:eastAsia="Arial" w:hAnsi="Arial"/>
                <w:sz w:val="17"/>
                <w:szCs w:val="17"/>
                <w:color w:val="auto"/>
              </w:rPr>
              <w:t>August 13, 2014</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115,937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80"/>
              <w:spacing w:after="0" w:line="197" w:lineRule="exact"/>
              <w:rPr>
                <w:sz w:val="20"/>
                <w:szCs w:val="20"/>
                <w:color w:val="auto"/>
              </w:rPr>
            </w:pPr>
            <w:r>
              <w:rPr>
                <w:rFonts w:ascii="Arial" w:cs="Arial" w:eastAsia="Arial" w:hAnsi="Arial"/>
                <w:sz w:val="14"/>
                <w:szCs w:val="14"/>
                <w:color w:val="auto"/>
              </w:rPr>
              <w:t>1.41</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1.27</w:t>
            </w:r>
          </w:p>
        </w:tc>
      </w:tr>
      <w:tr>
        <w:trPr>
          <w:trHeight w:val="197"/>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332,152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80"/>
              <w:spacing w:after="0" w:line="197" w:lineRule="exact"/>
              <w:rPr>
                <w:sz w:val="20"/>
                <w:szCs w:val="20"/>
                <w:color w:val="auto"/>
              </w:rPr>
            </w:pPr>
            <w:r>
              <w:rPr>
                <w:rFonts w:ascii="Arial" w:cs="Arial" w:eastAsia="Arial" w:hAnsi="Arial"/>
                <w:sz w:val="14"/>
                <w:szCs w:val="14"/>
                <w:color w:val="auto"/>
              </w:rPr>
              <w:t>1.83</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w:t>
            </w:r>
          </w:p>
        </w:tc>
      </w:tr>
      <w:tr>
        <w:trPr>
          <w:trHeight w:val="207"/>
        </w:trPr>
        <w:tc>
          <w:tcPr>
            <w:tcW w:w="3720" w:type="dxa"/>
            <w:vAlign w:val="bottom"/>
            <w:gridSpan w:val="2"/>
          </w:tcPr>
          <w:p>
            <w:pPr>
              <w:spacing w:after="0"/>
              <w:rPr>
                <w:sz w:val="20"/>
                <w:szCs w:val="20"/>
                <w:color w:val="auto"/>
              </w:rPr>
            </w:pPr>
            <w:r>
              <w:rPr>
                <w:rFonts w:ascii="Arial" w:cs="Arial" w:eastAsia="Arial" w:hAnsi="Arial"/>
                <w:sz w:val="17"/>
                <w:szCs w:val="17"/>
                <w:color w:val="auto"/>
              </w:rPr>
              <w:t>September 1, 2015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640,262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60"/>
              <w:spacing w:after="0"/>
              <w:rPr>
                <w:sz w:val="20"/>
                <w:szCs w:val="20"/>
                <w:color w:val="auto"/>
              </w:rPr>
            </w:pPr>
            <w:r>
              <w:rPr>
                <w:rFonts w:ascii="Arial" w:cs="Arial" w:eastAsia="Arial" w:hAnsi="Arial"/>
                <w:sz w:val="17"/>
                <w:szCs w:val="17"/>
                <w:color w:val="auto"/>
              </w:rPr>
              <w:t>10.66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126365</wp:posOffset>
            </wp:positionV>
            <wp:extent cx="65430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30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80" w:hanging="533"/>
        <w:spacing w:after="0" w:line="212" w:lineRule="auto"/>
        <w:tabs>
          <w:tab w:leader="none" w:pos="1680" w:val="left"/>
        </w:tabs>
        <w:numPr>
          <w:ilvl w:val="0"/>
          <w:numId w:val="49"/>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August 13, 2014, our board of directors determined that the fair value of our common stock of $0.72 per share calculated in the contemporaneous valuation as of June 30, 2014 reasonably reflected the per share fair value of common stock as of the grant date. However, as described below, the fair value of common stock at the date of these grants was adjusted to $1.41 per share in connection with a retrospective fair value assessment for accounting purposes.</w:t>
      </w:r>
    </w:p>
    <w:p>
      <w:pPr>
        <w:spacing w:after="0" w:line="146" w:lineRule="exact"/>
        <w:rPr>
          <w:rFonts w:ascii="Arial" w:cs="Arial" w:eastAsia="Arial" w:hAnsi="Arial"/>
          <w:sz w:val="21"/>
          <w:szCs w:val="21"/>
          <w:color w:val="auto"/>
          <w:vertAlign w:val="superscript"/>
        </w:rPr>
      </w:pPr>
    </w:p>
    <w:p>
      <w:pPr>
        <w:ind w:left="1680" w:right="20" w:hanging="533"/>
        <w:spacing w:after="0" w:line="212" w:lineRule="auto"/>
        <w:tabs>
          <w:tab w:leader="none" w:pos="1680" w:val="left"/>
        </w:tabs>
        <w:numPr>
          <w:ilvl w:val="0"/>
          <w:numId w:val="49"/>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December 8, 2014, our board of directors determined that the fair value of our common stock of $1.52 per share calculated in the contemporaneous valuation as of December 8, 2014 reasonably reflected the per share fair value of common stock as of the grant date. However, as described below, the fair value of common stock at the date of these grants was adjusted to $1.83 per share in connection with a retrospective fair value assessment for accounting purposes.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course of preparing for this offering, in March 2015, we performed a retrospective fair value assessment and concluded that the fair value of our common stock underlying stock options we granted in August 2014 was $1.41 per share for accounting purposes and that the fair value of our common stock underlying stock options we granted in December 2014 was $1.83 per share for accounting purposes. These reassessed values, which we applied to determine the fair values of the August 2014 and December 2014 option grants to determine stock-based compensation expense for accounting purposes, were based in part upon revised valuations of our common stock as of June 30, 2014 and December 8, 2014, performed on a retrospective basis with the assistance of a third-party specialist, taking into account an increased probability of executing a successful initial public offering in 2015 and an increased probability of a successful result in our Phase 2 clinical trial of A-101 in patients with SK on the trunk and extremities. These revised common stock valuations were performed using the hybrid method.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Estimated Offering Price</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midpoint of the preliminary range for the initial public offering as determined by us and the underwriters was $15.00 per share. In comparison, our estimate of the fair value of our common stock was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$10.66 per share as of the September 1, 2015 option grants. We note that, as is typical in initial public offerings, the preliminary range was not derived using a formal determination of fair value, but was determined based upon discussions between us and the underwriters. Among the factors that were considered in setting this range were our prospects and the history of and prospects for our industry, the general condition of the securities markets and the recent market prices of, and the demand for, publicly traded common stock of generally comparable companies. We believe that the difference between the fair value of our common stock as of September 1, 2015 and the midpoint of the price range for this offering was the result of these factors, as well as the fact that the estimated initial public offering price range necessarily assumed that the initial public offering had occurred, a public market for our common stock had been created and that our preferred stock had converted into common stock in connection with this offering. The estimated price range therefore excluded any probability that we might not complete this offering and any consideration of the liquidation preferences and other rights and preferences of our preferred stock, which we factored into the September 1, 2015 third-party valuation.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8"/>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7"/>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782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(3,263)</w:t>
            </w: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Research and development expenses were $2.4 million for the six months ended June 30, 2014, compared to $3.5 million for the six months ended June 30, 2015. The increase of $1.2 million was primarily attributable to an increase of $0.6 million in direct costs associated with the three Phase 2 clinical trials of our lead drug candidate, A-101 for the treatment of SK, being conducted during the period, consisting of an increase of $0.9 million in manufacturing scale-up expenses partially offset by a $0.3 million decrease in development-related expenses. We also had an increase of $0.5 million in regulatory-related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General and administrative expenses were $0.9 million for the six months ended June 30, 2014, compared to $1.7 million for the six months ended June 30, 2015. The increase of $0.8 million was primarily attributable to increases of $0.4 million in payroll-related expenses due to increased headcount, $0.2 million in market research expenses and $0.2 million in professional fees for accounting and auditing services.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1,769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(5,236)</w:t>
            </w:r>
          </w:p>
        </w:tc>
        <w:tc>
          <w:tcPr>
            <w:tcW w:w="3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(3,281)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Research and development expenses were $3.5 million for the year ended December 31, 2013, compared to $6.5 million for the year ended December 31, 2014. The increase of $3.0 million was primarily attributable to an increase of $3.1 million in direct costs associated with the three Phase 2 clinical trials of our lead drug candidate, A-101 for the treatment of SK, being conducted during the year, consisting of increases of $1.9 million in clinical expenses, $1.1 million in manufacturing scale-up expenses and $0.1 million in development-related expenses. We also had an increase of $0.1 million in personnel-related expenses. These increases were partially offset by a decrease of $0.2 million in expenses due to a $0.2 million milestone payment made in 2013 under our assignment agreement, compared to no milestone payments made in 2014.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General and administrative expenses were $1.8 million for the year ended December 31, 2013, compared to $2.0 million for the year ended December 31, 2014. The increase of $0.2 million was primarily attributable to increases of $0.1 million in market research expenses and $0.1 million in related-party management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have financed our operations since inception through sales of our convertible preferred stock, receiving aggregate gross proceeds of $71.5 million through September 1, 2015.</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Cash in excess of immediate requirements is invested in accordance with our investment policy, primarily with a view to liquidity and capital preservation.</w:t>
      </w:r>
    </w:p>
    <w:p>
      <w:pPr>
        <w:spacing w:after="0" w:line="199"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We currently have no ongoing material financing commitments, such as lines of credit or guarantees, that are expected to affect our liquidity over the next five years, other than our lease obligations.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Pr>
          <w:p>
            <w:pPr>
              <w:spacing w:after="0"/>
              <w:rPr>
                <w:sz w:val="14"/>
                <w:szCs w:val="14"/>
                <w:color w:val="auto"/>
              </w:rPr>
            </w:pPr>
          </w:p>
        </w:tc>
        <w:tc>
          <w:tcPr>
            <w:tcW w:w="330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0"/>
              <w:spacing w:after="0" w:line="151"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20"/>
              <w:spacing w:after="0" w:line="151"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(7,636)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(5,664)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200" w:type="dxa"/>
            <w:vAlign w:val="bottom"/>
          </w:tcPr>
          <w:p>
            <w:pPr>
              <w:spacing w:after="0"/>
              <w:rPr>
                <w:sz w:val="17"/>
                <w:szCs w:val="17"/>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7"/>
                <w:szCs w:val="17"/>
                <w:color w:val="auto"/>
              </w:rPr>
              <w:t>(1,779)</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3,045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5,655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financing activities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10,584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90"/>
              <w:spacing w:after="0" w:line="189" w:lineRule="exact"/>
              <w:rPr>
                <w:sz w:val="20"/>
                <w:szCs w:val="20"/>
                <w:color w:val="auto"/>
              </w:rPr>
            </w:pPr>
            <w:r>
              <w:rPr>
                <w:rFonts w:ascii="Arial" w:cs="Arial" w:eastAsia="Arial" w:hAnsi="Arial"/>
                <w:sz w:val="17"/>
                <w:szCs w:val="17"/>
                <w:color w:val="auto"/>
              </w:rPr>
              <w:t>1,169</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(243)</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During the six months ended June 30, 2015, operating activities used $5.7 million of cash, primarily resulting from our net loss of</w:t>
      </w:r>
      <w:r>
        <w:rPr>
          <w:rFonts w:ascii="Arial" w:cs="Arial" w:eastAsia="Arial" w:hAnsi="Arial"/>
          <w:sz w:val="17"/>
          <w:szCs w:val="17"/>
          <w:i w:val="1"/>
          <w:iCs w:val="1"/>
          <w:color w:val="auto"/>
        </w:rPr>
        <w:t xml:space="preserve"> </w:t>
      </w:r>
      <w:r>
        <w:rPr>
          <w:rFonts w:ascii="Arial" w:cs="Arial" w:eastAsia="Arial" w:hAnsi="Arial"/>
          <w:sz w:val="17"/>
          <w:szCs w:val="17"/>
          <w:color w:val="auto"/>
        </w:rPr>
        <w:t>$5.2 million and from cash used by our changes in our operating assets and liabilities of $0.6 million. Net cash used in changes in our operating assets and liabilities during the six months ended June 30, 2015 consisted primarily of a $0.4 million decrease in accounts payable and a $0.4 million increase in prepaid expenses and other current assets, both of which were partially offset by a $0.3 million increase in accrued expenses. The decrease in accounts payable was due to the timing of vendor invoicing and payments. The increase in prepaid expenses and other current assets was primarily due to prepayments for manufacturing scale-up expenses. The increase in accrued expenses was due to increases in accruals for payroll and payroll-related costs due primarily to bonuses.</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During the six months ended June 30, 2014, operating activities used $3.3 million of cash, primarily resulting from our net loss of $3.3 million. Net cash used in changes in our operating assets and liabilities during the six months ended June 30, 2014 consisted primarily of a $0.2 million increase in accounts payable and a $0.3 million increase in accrued expenses, both of which were offset by a $0.5 million increase in prepaid expenses and other current assets. The increases in accounts payable and accrued expenses were primarily due to clinical trial costs related to A-101. The increase in prepaid expenses and other current assets was primarily due to a prepayment for manufacturing scale-up expenses.</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During the year ended December 31, 2014, operating activities used $7.6 million of cash, primarily resulting from our net loss of $8.5 million, partially offset by cash provided by changes in our operating assets and liabilities of $0.8 million. Net cash provided by changes in our operating assets and liabilities during the year ended December 31, 2014 consisted primarily of a $0.8 million increase in accounts payable and a $0.2 million increase in accrued expenses, partially offset by a $0.2 million increase in prepaid expenses and other current assets. The increases in accounts payable and accrued expenses were primarily due to higher clinical trial costs incurred in 2014 than in 2013 related to A-101. The increase in prepaid expenses and other current assets was primarily due to a prepayment for manufacturing scale-up expenses.</w:t>
      </w:r>
    </w:p>
    <w:p>
      <w:pPr>
        <w:spacing w:after="0" w:line="202"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During the year ended December 31, 2013, our operating activities used $4.9 million of cash, primarily resulting from our net loss of $5.2 million, partially offset by cash provided by net changes in our operating assets and liabilities of $0.3 million, which primarily consisted of an increase in accounts payable. The increase in accounts payable was primarily due to costs incurred in connection with the commencement of preclinical studies and a clinical trial of A-101 in 2013.</w:t>
      </w:r>
    </w:p>
    <w:p>
      <w:pPr>
        <w:spacing w:after="0" w:line="18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2015, investing activities provided $5.7 million of cash, consisting of proceeds from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maturities of marketable securities of $5.9 million, partially offset by purchases of equipment of $0.2 million.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During the six months ended June 30, 2014, investing activities provided $3.0 million of cash, consisting of proceeds from sales and maturities of marketable securities of $3.1 million, partially offset by purchases of equipment of $0.1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2014, we used cash of $1.8 million in investing activities, consisting of purchases of marketable securities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 million and purchases of equipment of $0.4 million, partially offset by proceeds from sales and maturities of marketable securities of $3.7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2013, we used cash of $4.5 million in investing activities, consisting of purchases of marketable securities.</w:t>
      </w:r>
    </w:p>
    <w:p>
      <w:pPr>
        <w:spacing w:after="0" w:line="19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During the six months ended June 30, 2015, financing activities used $0.9 million as a result of payments of initial public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had no cash flows from financing activities during the six months ended June 30, 2014.</w:t>
      </w:r>
    </w:p>
    <w:p>
      <w:pPr>
        <w:spacing w:after="0" w:line="211" w:lineRule="exact"/>
        <w:rPr>
          <w:sz w:val="20"/>
          <w:szCs w:val="20"/>
          <w:color w:val="auto"/>
        </w:rPr>
      </w:pPr>
    </w:p>
    <w:p>
      <w:pPr>
        <w:jc w:val="both"/>
        <w:ind w:right="300"/>
        <w:spacing w:after="0" w:line="252" w:lineRule="auto"/>
        <w:rPr>
          <w:sz w:val="20"/>
          <w:szCs w:val="20"/>
          <w:color w:val="auto"/>
        </w:rPr>
      </w:pPr>
      <w:r>
        <w:rPr>
          <w:rFonts w:ascii="Arial" w:cs="Arial" w:eastAsia="Arial" w:hAnsi="Arial"/>
          <w:sz w:val="17"/>
          <w:szCs w:val="17"/>
          <w:color w:val="auto"/>
        </w:rPr>
        <w:t>During the year ended December 31, 2014, net cash provided by financing activities was $10.6 million as a result of net proceeds received from our issuance of Series B preferred stock in September 2014. We had no cash flows from financing activities during the year ended December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A-102 for the treatment of SK and common warts and A-201 and A-301 for the treatment of AA. In addition, we plan to continue to invest in discovery efforts to explore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 arising out of our current clinical trials when we expect, or at all.</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Following this offering, we will be a publicly traded company and will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are currently inapplicable to us as a private company. We expect these rules and regulations will increase our legal and financial compliance costs and will make some activities more time-consuming and costly.</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will enable us to fund our operating expenses and capital expenditure requirements for at least the next 24 months, including the completion of our three planned Phase 3 clinical trials for A-101 for the treatment of SK, the submission of our NDA with the FDA for the approval of A-101 for the treatment of SK in the United States and the completion of our planned Phase 2 clinical trials for A-101 for the treatment of common warts. We have based this estimate on assumptions that may prove to be wrong, and we 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 for the treatment of SK,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are unable to raise sufficient additional capital, we may need to substantially curtail our planned operations and the pursuit of our growth strategy.</w:t>
      </w:r>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may raise additional capital through the sale of equity or convertible debt securities. In such an event, your ownership will be diluted, and the terms of these securities may include liquidation or other preferences that adversely affect your rights as a holder of our common stock.</w:t>
      </w:r>
    </w:p>
    <w:p>
      <w:pPr>
        <w:spacing w:after="0" w:line="193"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drugs, we are unable to estimate the exact amount of our working capital requirements. Our future funding requirements will depend on many factors, including:</w:t>
      </w:r>
    </w:p>
    <w:p>
      <w:pPr>
        <w:spacing w:after="0" w:line="206"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and characteristics of the drug candidates we pursue;</w:t>
      </w:r>
    </w:p>
    <w:p>
      <w:pPr>
        <w:spacing w:after="0" w:line="27"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drug candidates, and conducting preclinical studies and clinical trials;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drug candidates;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manufacturing our drug candidates and any drugs we successfully commercialize;</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14" w:lineRule="exact"/>
        <w:rPr>
          <w:rFonts w:ascii="Arial" w:cs="Arial" w:eastAsia="Arial" w:hAnsi="Arial"/>
          <w:sz w:val="17"/>
          <w:szCs w:val="17"/>
          <w:color w:val="auto"/>
        </w:rPr>
      </w:pPr>
    </w:p>
    <w:p>
      <w:pPr>
        <w:ind w:left="1060" w:right="220" w:hanging="531"/>
        <w:spacing w:after="0" w:line="24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and the outcome of such litigation; and</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receipt and amount of sales of, or milestone payments related to or royalties on, our current or future drug candidates, if 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for additional risks associated with our substantial capital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Less Than</w:t>
            </w:r>
          </w:p>
        </w:tc>
        <w:tc>
          <w:tcPr>
            <w:tcW w:w="100" w:type="dxa"/>
            <w:vAlign w:val="bottom"/>
          </w:tcPr>
          <w:p>
            <w:pPr>
              <w:spacing w:after="0"/>
              <w:rPr>
                <w:sz w:val="12"/>
                <w:szCs w:val="12"/>
                <w:color w:val="auto"/>
              </w:rPr>
            </w:pPr>
          </w:p>
        </w:tc>
        <w:tc>
          <w:tcPr>
            <w:tcW w:w="460" w:type="dxa"/>
            <w:vAlign w:val="bottom"/>
          </w:tcPr>
          <w:p>
            <w:pPr>
              <w:jc w:val="center"/>
              <w:ind w:right="22"/>
              <w:spacing w:after="0" w:line="139" w:lineRule="exact"/>
              <w:rPr>
                <w:sz w:val="20"/>
                <w:szCs w:val="20"/>
                <w:color w:val="auto"/>
              </w:rPr>
            </w:pPr>
            <w:r>
              <w:rPr>
                <w:rFonts w:ascii="Arial" w:cs="Arial" w:eastAsia="Arial" w:hAnsi="Arial"/>
                <w:sz w:val="14"/>
                <w:szCs w:val="14"/>
                <w:b w:val="1"/>
                <w:bCs w:val="1"/>
                <w:color w:val="auto"/>
                <w:w w:val="99"/>
              </w:rPr>
              <w:t>1 - 3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2"/>
              <w:spacing w:after="0" w:line="139" w:lineRule="exact"/>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More than</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6"/>
          </w:tcPr>
          <w:p>
            <w:pPr>
              <w:jc w:val="center"/>
              <w:ind w:left="464"/>
              <w:spacing w:after="0" w:line="151" w:lineRule="exact"/>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201</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16" w:lineRule="auto"/>
        <w:tabs>
          <w:tab w:leader="none" w:pos="168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We lease office space in Malvern, Pennsylvania under an operating lease agreement that, as amended, was scheduled to expire in November 2016. Amounts presented in the table reflect payments due under the lease as amended through December 31, 2014. In August 2015, we further amended the agreement to increase the square footage of the space and to extend the term of the lease to November 2019. As amended, the lease requires future rental payments of $0.1 million during the year ending December 31, 2015, an aggregate of $0.4 million during the years ending December 31, 2016 and 2017, and an aggregate of $0.4 million during the years ending December 31, 2018 and 2019. Such amounts are not reflected in the table.</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Under various agreements, we will be required to make milestone payments and pay royalties and other amounts to third parties. We have not included any contingent payment obligations, such as milestones or royalties, in the table above as the amount, timing and likelihood of such payments are not known.</w:t>
      </w:r>
    </w:p>
    <w:p>
      <w:pPr>
        <w:spacing w:after="0" w:line="19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$1.3 million upon the achievement of specified pre-commercialization milestones, such as clinical trials and regulatory approvals, as described in the agreement. We have also</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93"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Under a commercial supply agreement with a third party, we have agreed to pay a termination fee of up to $0.4 million in the event we terminate the agreement without cause or the third party terminates the agreement for cause.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Under a license agreement with Rigel that we entered into in August 2015, we agreed to pay an upfront non-refundable payment of $8.0 million within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30 business days of August 27, 2015. In addition, we have agreed to make aggregate payments of up to $80.0 million upon the achievement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specified pre-commercialization milestones, such as clinical trials and regulatory approvals. Further, we have agreed to pay up to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$10.0 million to Rigel upon the achievement of a second set of development milestones. With respect to any products we commercialize under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we will pay Rigel quarterly tiered royalties on our annual net sales of each product developed using the licensed JAK inhibitors at a high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single-digit percentage of annual net sales, subject to specified reductions.</w:t>
      </w:r>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In June 2014, the Financial Accounting Standards Board, or FASB, issued Accounting Standards Update, or ASU 2014-10, </w:t>
      </w:r>
      <w:r>
        <w:rPr>
          <w:rFonts w:ascii="Arial" w:cs="Arial" w:eastAsia="Arial" w:hAnsi="Arial"/>
          <w:sz w:val="17"/>
          <w:szCs w:val="17"/>
          <w:i w:val="1"/>
          <w:iCs w:val="1"/>
          <w:color w:val="auto"/>
        </w:rPr>
        <w:t>Development Stage</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The amendments in this update removed all incremental financial reporting requirements, including inception-to-date information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We elected to early adopt this guidance and, therefore, have not presented inception-to-date information and other related disclosures in our financial statements.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We are currently evaluating the potential impact of the adoption of this standard, but we believe its adoption will have no impact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of June 30, 2015, we had $9.7 million of cash equivalents, composed of overnight money market funds, and we had no debt. As a result, a change in market interest rates would not have any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typically less than 5%, that the observed results occurred by chance alone. We plan to commence three Phase 3 clinical trials of A-101 in patients with SK in the first quarter of 2016 and, if the results of these trials are favorable, to submit a New Drug Application, or NDA, for A-101 for the treatment of SK to the U.S. Food and Drug Administration, or FDA, in the fourth quarter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p>
    <w:p>
      <w:pPr>
        <w:spacing w:after="0" w:line="20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which we refer to as the AAD study,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June 2014, we completed our Phase 2 clinical trial of A-101 in 35 patients with four SK lesions on the trunk; in December 2014, we completed our Phase 2 clinical trial of A-101 in 172 patients with four SK lesions on the trunk or extremities; and in March 2015, we completed our Phase 2 clinical trial of A-101 in 119 patients with a single SK lesion on the face. In each of these trials, following one or two applications of the two highest concentrations of A-101, we observed clinically relevant and statistically significant improvements in clearing SK lesions.</w:t>
      </w:r>
    </w:p>
    <w:p>
      <w:pPr>
        <w:spacing w:after="0" w:line="19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We held an end-of-Phase 2 meeting with the FDA in May 2015. Based on the FDA's feedback regarding our proposed design of the three planned Phase 3 clinical trials of A-101 in patients with SK lesions on the face, trunk and extremities, we plan to commence these trials in the first quarter of 2016. If the results of the Phase 3 clinical trials are favorable, we intend to submit our NDA for A-101 for the treatment of SK to the FDA in the fourth quarter of 2016 and build a specialty sales force to market the product to dermatologists in the United States. We have also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A-101, if approved, in various countries throughout the world.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also plan to develop A-101 for the treatment of common warts. Although common warts are generally not harmful and in most cases eventually clear without any medical treatment, they may be painful and aesthetically unattractive and are contagious. On an annual basis, 1.9 million people are diagnosed with common warts. The AAD study estimated that annual direct expenditures for patients seeking treatment for warts of all types in a medical office were $939 million, including the cost of the office visit as well as the treatments. We estimate that approximately one-half of those expenditures were for the treatment of common warts. Common warts can be removed with slow-acting, over-the-counter products containing salicylic acid. As with SK, cryosurgery is the most frequently used in-office treatment for common warts. No prescription drugs have been approved by the FDA for the treatment of common warts. We are conducting toxicology studies and plan to commence Phase 2 clinical trials of A-101 for the treatment of common warts in the first quarter of 2016. In addition to A-101, we are also developing A-102, a proprietary topical gel dosage form of hydrogen peroxide, for the treatment of both SK and common warts.</w:t>
      </w:r>
    </w:p>
    <w:p>
      <w:pPr>
        <w:spacing w:after="0" w:line="20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we plan to develop the JAK inhibitors, A-201 and A-301, which we in-licensed from Rigel Pharmaceuticals, Inc., or Rigel, as potential treatments for AA. AA is an autoimmune dermatologic condition typically characterized by patchy non-scarring hair loss on the scalp and body. More severe forms of AA include total scalp hair loss, known as alopecia totalis, and total hair loss on the scalp and body, known as alopecia universalis. AA affects up to 0.2% of people globally, with two-thirds of affected individuals being 30 years old or younger at the time of disease onset. Treatment options for the less severe, patchy forms of AA include corticosteroids, either topically applied or injected directly into the bare patches, or the induction of an allergic reaction at the site of hair loss using a topical contact sensitizing agent, an approach known as topical immunotherapy. However, current treatments of the more severe forms of AA are generally ineffective. There are currently no FDA-approved drugs for the treatment of AA. We plan to develop A-201 as an oral treatment for alopecia totalis and alopecia universalis and A-301 as a topical treatment for patchy AA. We plan to submit an investigational new drug application, or IND, in the second half of 2016 for A-201 and A-301 and commence clinical trials in the first half of 2017.</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intellectual property portfolio contains issued patents directed to methods of use for A-101 and our JAK inhibitors. With respect to A-101, our issued patents begin to expire in 2022, subject to any applicable patent term extension that may be available in a particular country. Our intellectual property portfolio also contains a U.S. and a PCT patent application directed to, among other things, formulations and methods of use for A-101 and a single-use, self-contained, pre-filled, disposable pen-type applicator for use with such formulations, including A-101. Our pending U.S. and PCT patent applications, if they issue as patents, would be expected to expire in 2035, subject to any applicable patent term adjustment or extension that may be available in a particular country. With respect to our JAK inhibitors, certain issued U.S. patents expire in 2023 and additional issued U.S. patents specifically directed to A-201 and A-301 begin to expire in 2030, subject to any applicable patent term extension that may be available in a particular country. Our intellectual property portfolio also contains pending applications directed to, among other things, the use of our JAK inhibitors for AA. If such applications issue as patents, they would be expected to expire in 2034, subject to any applicable patent term adjustment or extension that may be available in a particular country.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Management Experience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were founded in 2012 and are headquartered in Malvern, Pennsylvania. 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120015</wp:posOffset>
            </wp:positionV>
            <wp:extent cx="5427345" cy="39293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27345"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186" w:lineRule="exact"/>
        <w:rPr>
          <w:sz w:val="20"/>
          <w:szCs w:val="20"/>
          <w:color w:val="auto"/>
        </w:rPr>
      </w:pPr>
    </w:p>
    <w:p>
      <w:pPr>
        <w:ind w:left="1060" w:right="40" w:hanging="531"/>
        <w:spacing w:after="0" w:line="248"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Clinical Development and Obtain Regulatory Approval for A-101 for the Treatment of SK. </w:t>
      </w:r>
      <w:r>
        <w:rPr>
          <w:rFonts w:ascii="Arial" w:cs="Arial" w:eastAsia="Arial" w:hAnsi="Arial"/>
          <w:sz w:val="17"/>
          <w:szCs w:val="17"/>
          <w:color w:val="auto"/>
        </w:rPr>
        <w:t>We plan to focus in the near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on the development, regulatory approval and potential commercialization of A-101 for the treatment of SK. We recently held an end-of-Phase 2 meeting for A-101 with the FDA in May 2015. Based on the FDA's feedback at that meeting, we plan to commence three Phase 3 clinical trials in the first quarter of 2016 for the treatment of SK on the face, trunk and extremities. If the results of these clinical trials are favorable, we intend to submit our NDA for A-101 for the treatment of SK to the FDA in the fourth quarter of 2016. We have also received written guidance from the EMA regarding the design of our Phase 3 clinical trials for A-101 for the treatment of SK.</w:t>
      </w:r>
    </w:p>
    <w:p>
      <w:pPr>
        <w:spacing w:after="0" w:line="190" w:lineRule="exact"/>
        <w:rPr>
          <w:rFonts w:ascii="Arial" w:cs="Arial" w:eastAsia="Arial" w:hAnsi="Arial"/>
          <w:sz w:val="17"/>
          <w:szCs w:val="17"/>
          <w:color w:val="auto"/>
        </w:rPr>
      </w:pPr>
    </w:p>
    <w:p>
      <w:pPr>
        <w:ind w:left="1060" w:hanging="531"/>
        <w:spacing w:after="0" w:line="25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A-101 and A-102 for the Treatment of Common Warts and A-102 for the Treatment of SK. </w:t>
      </w:r>
      <w:r>
        <w:rPr>
          <w:rFonts w:ascii="Arial" w:cs="Arial" w:eastAsia="Arial" w:hAnsi="Arial"/>
          <w:sz w:val="17"/>
          <w:szCs w:val="17"/>
          <w:color w:val="auto"/>
        </w:rPr>
        <w:t>We are conducting toxicology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studies and plan to commence Phase 2 clinical trials of A-101 for the treatment of common warts in the first quarter of 2016. In addition to A-101, we are also developing A-102 for the treatment of SK and common warts.</w:t>
      </w:r>
    </w:p>
    <w:p>
      <w:pPr>
        <w:spacing w:after="0" w:line="166" w:lineRule="exact"/>
        <w:rPr>
          <w:rFonts w:ascii="Arial" w:cs="Arial" w:eastAsia="Arial" w:hAnsi="Arial"/>
          <w:sz w:val="17"/>
          <w:szCs w:val="17"/>
          <w:color w:val="auto"/>
        </w:rPr>
      </w:pPr>
    </w:p>
    <w:p>
      <w:pPr>
        <w:ind w:left="1060" w:hanging="531"/>
        <w:spacing w:after="0" w:line="253"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A-201 and A-301 for the Treatment of AA and Potentially for Other Dermatological Conditions. </w:t>
      </w:r>
      <w:r>
        <w:rPr>
          <w:rFonts w:ascii="Arial" w:cs="Arial" w:eastAsia="Arial" w:hAnsi="Arial"/>
          <w:sz w:val="17"/>
          <w:szCs w:val="17"/>
          <w:color w:val="auto"/>
        </w:rPr>
        <w:t>We plan to develop A-201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an oral treatment for alopecia totalis and alopecia universalis and A-301 as a topical treatment for patchy AA. We plan to submit an IND in the second half of 2016 for A-201 and A-301 and commence clinical trials in the first half of 2017. We are also evaluating A-301 for the treatment of other dermatological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4" w:lineRule="exact"/>
        <w:rPr>
          <w:sz w:val="20"/>
          <w:szCs w:val="20"/>
          <w:color w:val="auto"/>
        </w:rPr>
      </w:pPr>
    </w:p>
    <w:p>
      <w:pPr>
        <w:ind w:left="1060" w:right="440" w:hanging="531"/>
        <w:spacing w:after="0" w:line="253"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Specialized Sales and Marketing Organization. </w:t>
      </w:r>
      <w:r>
        <w:rPr>
          <w:rFonts w:ascii="Arial" w:cs="Arial" w:eastAsia="Arial" w:hAnsi="Arial"/>
          <w:sz w:val="17"/>
          <w:szCs w:val="17"/>
          <w:color w:val="auto"/>
        </w:rPr>
        <w:t>We intend to commercialize our dermatology products, if approved,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a specialized sales and marketing organization focused solely on dermatologists and their patients in the United States. We believe a scientifically oriented, customer-focused team of approximately 50 to 60 sales representatives would allow us to reach the approximately 5,000 dermatologists in the United States with the highest potential for using A-101.</w:t>
      </w:r>
    </w:p>
    <w:p>
      <w:pPr>
        <w:spacing w:after="0" w:line="185" w:lineRule="exact"/>
        <w:rPr>
          <w:rFonts w:ascii="Arial" w:cs="Arial" w:eastAsia="Arial" w:hAnsi="Arial"/>
          <w:sz w:val="17"/>
          <w:szCs w:val="17"/>
          <w:color w:val="auto"/>
        </w:rPr>
      </w:pPr>
    </w:p>
    <w:p>
      <w:pPr>
        <w:ind w:left="1060" w:right="120" w:hanging="531"/>
        <w:spacing w:after="0" w:line="247"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In-license or Acquire Additional Drug Candidates to Build a Fully Integrated Dermatology Company. </w:t>
      </w:r>
      <w:r>
        <w:rPr>
          <w:rFonts w:ascii="Arial" w:cs="Arial" w:eastAsia="Arial" w:hAnsi="Arial"/>
          <w:sz w:val="17"/>
          <w:szCs w:val="17"/>
          <w:color w:val="auto"/>
        </w:rPr>
        <w:t>We intend to in-license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 drug candidates for other dermatological conditions from a number of sources by leveraging the expertise and experience of our management team. We will seek to maintain a well-balanced portfolio by in-licensing or acquiring additional drug candidates across various stages of development. We intend to focus on drug candidates that we believe have streamlined clinical development and regulatory pathways, including drug candidates that we believe have attractive profiles in early clinical testing and that we can advance into late-stage development. We may also seek to in-license or acquire dermatology products that have received regulatory approval in order to accelerate our commercial entry into the market or to expand the portfolio of products we can market to dermatologists.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are developing A-101 for the treatment of SK. SK lesions typically have a waxy, scaly, slightly elevated appearance, and multiple lesions are often present. The lesions can vary in color from light tan to dark brown or black and typically appear on the face, trunk and extremities. Though the lesions are non-malignant, patients often elect to have their condition treated by a dermatologist, either because the lesions have become inflamed or because the patient feels they are cosmetically unattractive.</w:t>
      </w:r>
    </w:p>
    <w:p>
      <w:pPr>
        <w:spacing w:after="0" w:line="198"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have completed three Phase 2 clinical trials in over 300 patients with SK and observed clinically relevant and statistically significant improvements in clearing SK lesions on the face, trunk and extremities of the body following one or two applications of A-101. The following table summarizes the design of these clinical trials:</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380" w:type="dxa"/>
            <w:vAlign w:val="bottom"/>
            <w:tcBorders>
              <w:top w:val="single" w:sz="8" w:color="auto"/>
              <w:left w:val="single" w:sz="8" w:color="auto"/>
              <w:right w:val="single" w:sz="8" w:color="auto"/>
            </w:tcBorders>
          </w:tcPr>
          <w:p>
            <w:pPr>
              <w:ind w:left="200"/>
              <w:spacing w:after="0" w:line="159" w:lineRule="exact"/>
              <w:rPr>
                <w:sz w:val="20"/>
                <w:szCs w:val="20"/>
                <w:color w:val="auto"/>
              </w:rPr>
            </w:pPr>
            <w:r>
              <w:rPr>
                <w:rFonts w:ascii="Arial" w:cs="Arial" w:eastAsia="Arial" w:hAnsi="Arial"/>
                <w:sz w:val="14"/>
                <w:szCs w:val="14"/>
                <w:b w:val="1"/>
                <w:bCs w:val="1"/>
                <w:color w:val="auto"/>
              </w:rPr>
              <w:t>Name of Clinical Trial and</w:t>
            </w:r>
          </w:p>
        </w:tc>
        <w:tc>
          <w:tcPr>
            <w:tcW w:w="186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b w:val="1"/>
                <w:bCs w:val="1"/>
                <w:color w:val="auto"/>
              </w:rPr>
              <w:t>Number of</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31"/>
              <w:spacing w:after="0" w:line="157" w:lineRule="exact"/>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r>
      <w:tr>
        <w:trPr>
          <w:trHeight w:val="169"/>
        </w:trPr>
        <w:tc>
          <w:tcPr>
            <w:tcW w:w="238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Subjects Enrolled</w:t>
            </w:r>
          </w:p>
        </w:tc>
        <w:tc>
          <w:tcPr>
            <w:tcW w:w="18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SK Lesion Area</w:t>
            </w:r>
          </w:p>
        </w:tc>
        <w:tc>
          <w:tcPr>
            <w:tcW w:w="144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9"/>
              </w:rPr>
              <w:t>Completed</w:t>
            </w: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Trial Design</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Trial Objective</w:t>
            </w:r>
          </w:p>
        </w:tc>
      </w:tr>
      <w:tr>
        <w:trPr>
          <w:trHeight w:val="116"/>
        </w:trPr>
        <w:tc>
          <w:tcPr>
            <w:tcW w:w="2380" w:type="dxa"/>
            <w:vAlign w:val="bottom"/>
            <w:tcBorders>
              <w:left w:val="single" w:sz="8" w:color="auto"/>
              <w:right w:val="single" w:sz="8" w:color="auto"/>
            </w:tcBorders>
          </w:tcPr>
          <w:p>
            <w:pPr>
              <w:ind w:left="200"/>
              <w:spacing w:after="0" w:line="116" w:lineRule="exact"/>
              <w:rPr>
                <w:sz w:val="20"/>
                <w:szCs w:val="20"/>
                <w:color w:val="auto"/>
              </w:rPr>
            </w:pPr>
            <w:r>
              <w:rPr>
                <w:rFonts w:ascii="Arial" w:cs="Arial" w:eastAsia="Arial" w:hAnsi="Arial"/>
                <w:sz w:val="13"/>
                <w:szCs w:val="13"/>
                <w:color w:val="auto"/>
              </w:rPr>
              <w:t>SEBK-203</w:t>
            </w:r>
          </w:p>
        </w:tc>
        <w:tc>
          <w:tcPr>
            <w:tcW w:w="186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3"/>
                <w:szCs w:val="13"/>
                <w:color w:val="auto"/>
              </w:rPr>
              <w:t>Face</w:t>
            </w:r>
          </w:p>
        </w:tc>
        <w:tc>
          <w:tcPr>
            <w:tcW w:w="144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3"/>
                <w:szCs w:val="13"/>
                <w:color w:val="auto"/>
              </w:rPr>
              <w:t>March 2015</w:t>
            </w:r>
          </w:p>
        </w:tc>
        <w:tc>
          <w:tcPr>
            <w:tcW w:w="280" w:type="dxa"/>
            <w:vAlign w:val="bottom"/>
          </w:tcPr>
          <w:p>
            <w:pPr>
              <w:jc w:val="right"/>
              <w:ind w:right="74"/>
              <w:spacing w:after="0" w:line="116"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Multicenter, randomized, double-</w:t>
            </w:r>
          </w:p>
        </w:tc>
        <w:tc>
          <w:tcPr>
            <w:tcW w:w="260" w:type="dxa"/>
            <w:vAlign w:val="bottom"/>
          </w:tcPr>
          <w:p>
            <w:pPr>
              <w:jc w:val="right"/>
              <w:ind w:right="74"/>
              <w:spacing w:after="0" w:line="116"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(n=119)</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blinded,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57"/>
        </w:trPr>
        <w:tc>
          <w:tcPr>
            <w:tcW w:w="23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One lesion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4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4"/>
        </w:trPr>
        <w:tc>
          <w:tcPr>
            <w:tcW w:w="2380" w:type="dxa"/>
            <w:vAlign w:val="bottom"/>
            <w:tcBorders>
              <w:left w:val="single" w:sz="8" w:color="auto"/>
              <w:right w:val="single" w:sz="8" w:color="auto"/>
            </w:tcBorders>
          </w:tcPr>
          <w:p>
            <w:pPr>
              <w:ind w:left="200"/>
              <w:spacing w:after="0" w:line="125" w:lineRule="exact"/>
              <w:rPr>
                <w:sz w:val="20"/>
                <w:szCs w:val="20"/>
                <w:color w:val="auto"/>
              </w:rPr>
            </w:pPr>
            <w:r>
              <w:rPr>
                <w:rFonts w:ascii="Arial" w:cs="Arial" w:eastAsia="Arial" w:hAnsi="Arial"/>
                <w:sz w:val="14"/>
                <w:szCs w:val="14"/>
                <w:color w:val="auto"/>
              </w:rPr>
              <w:t>SEBK-202</w:t>
            </w:r>
          </w:p>
        </w:tc>
        <w:tc>
          <w:tcPr>
            <w:tcW w:w="186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Trunk and Extremities</w:t>
            </w:r>
          </w:p>
        </w:tc>
        <w:tc>
          <w:tcPr>
            <w:tcW w:w="144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December 2014</w:t>
            </w:r>
          </w:p>
        </w:tc>
        <w:tc>
          <w:tcPr>
            <w:tcW w:w="28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(n=172)</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49"/>
        </w:trPr>
        <w:tc>
          <w:tcPr>
            <w:tcW w:w="23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2"/>
                <w:szCs w:val="12"/>
                <w:color w:val="auto"/>
              </w:rPr>
            </w:pPr>
          </w:p>
        </w:tc>
        <w:tc>
          <w:tcPr>
            <w:tcW w:w="260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4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4"/>
        </w:trPr>
        <w:tc>
          <w:tcPr>
            <w:tcW w:w="2380" w:type="dxa"/>
            <w:vAlign w:val="bottom"/>
            <w:tcBorders>
              <w:left w:val="single" w:sz="8" w:color="auto"/>
              <w:right w:val="single" w:sz="8" w:color="auto"/>
            </w:tcBorders>
          </w:tcPr>
          <w:p>
            <w:pPr>
              <w:ind w:left="200"/>
              <w:spacing w:after="0" w:line="125" w:lineRule="exact"/>
              <w:rPr>
                <w:sz w:val="20"/>
                <w:szCs w:val="20"/>
                <w:color w:val="auto"/>
              </w:rPr>
            </w:pPr>
            <w:r>
              <w:rPr>
                <w:rFonts w:ascii="Arial" w:cs="Arial" w:eastAsia="Arial" w:hAnsi="Arial"/>
                <w:sz w:val="14"/>
                <w:szCs w:val="14"/>
                <w:color w:val="auto"/>
              </w:rPr>
              <w:t>SEBK-201</w:t>
            </w:r>
          </w:p>
        </w:tc>
        <w:tc>
          <w:tcPr>
            <w:tcW w:w="186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Trunk (Back)</w:t>
            </w:r>
          </w:p>
        </w:tc>
        <w:tc>
          <w:tcPr>
            <w:tcW w:w="144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June 2014</w:t>
            </w:r>
          </w:p>
        </w:tc>
        <w:tc>
          <w:tcPr>
            <w:tcW w:w="28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Double-blind, vehicle-controlled intra-</w:t>
            </w:r>
          </w:p>
        </w:tc>
        <w:tc>
          <w:tcPr>
            <w:tcW w:w="26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Evaluate safety, efficacy and</w:t>
            </w:r>
          </w:p>
        </w:tc>
      </w:tr>
      <w:tr>
        <w:trPr>
          <w:trHeight w:val="149"/>
        </w:trPr>
        <w:tc>
          <w:tcPr>
            <w:tcW w:w="2380" w:type="dxa"/>
            <w:vAlign w:val="bottom"/>
            <w:tcBorders>
              <w:left w:val="single" w:sz="8" w:color="auto"/>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(n=35)</w:t>
            </w:r>
          </w:p>
        </w:tc>
        <w:tc>
          <w:tcPr>
            <w:tcW w:w="1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subject</w:t>
            </w:r>
          </w:p>
        </w:tc>
        <w:tc>
          <w:tcPr>
            <w:tcW w:w="260" w:type="dxa"/>
            <w:vAlign w:val="bottom"/>
          </w:tcPr>
          <w:p>
            <w:pPr>
              <w:spacing w:after="0"/>
              <w:rPr>
                <w:sz w:val="12"/>
                <w:szCs w:val="12"/>
                <w:color w:val="auto"/>
              </w:rPr>
            </w:pPr>
          </w:p>
        </w:tc>
        <w:tc>
          <w:tcPr>
            <w:tcW w:w="260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tolerability of three concentrations of</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vs. vehicle 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25.0%, 32.5%,</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r>
      <w:tr>
        <w:trPr>
          <w:trHeight w:val="32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78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SK lesions are among the most common non-malignant skin tumors. Patients may be affected with just one SK lesion or dozens of SK lesions. SK lesions do not pose a health risk, although the lesions can become inflamed, which may lead to itching and bleeding from scratching or friction from clothing or shaving. SK lesions may appear to be skin cancer lesions and the presence of the lesions often motivates patients to seek a diagnosis, usually from a dermatologist. SK generally appears in middle-aged persons and the incidence of SK increases with age.</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 We believe this market will grow if dermatologists have access to treatments that have better aesthetic outcomes, are less-invasive, cause minimal discomfort and can be administered by non-physician staff to treat multiple lesions.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pictures illustrate patients with SK lesions on the face and the back:</w:t>
      </w:r>
    </w:p>
    <w:p>
      <w:pPr>
        <w:spacing w:after="0" w:line="196" w:lineRule="exact"/>
        <w:rPr>
          <w:sz w:val="20"/>
          <w:szCs w:val="20"/>
          <w:color w:val="auto"/>
        </w:rPr>
      </w:pPr>
    </w:p>
    <w:p>
      <w:pPr>
        <w:ind w:left="1160"/>
        <w:spacing w:after="0"/>
        <w:tabs>
          <w:tab w:leader="none" w:pos="5880" w:val="left"/>
        </w:tabs>
        <w:rPr>
          <w:sz w:val="20"/>
          <w:szCs w:val="20"/>
          <w:color w:val="auto"/>
        </w:rPr>
      </w:pPr>
      <w:r>
        <w:rPr>
          <w:rFonts w:ascii="Arial" w:cs="Arial" w:eastAsia="Arial" w:hAnsi="Arial"/>
          <w:sz w:val="14"/>
          <w:szCs w:val="14"/>
          <w:b w:val="1"/>
          <w:bCs w:val="1"/>
          <w:color w:val="auto"/>
        </w:rPr>
        <w:t>Face</w:t>
      </w:r>
      <w:r>
        <w:rPr>
          <w:sz w:val="20"/>
          <w:szCs w:val="20"/>
          <w:color w:val="auto"/>
        </w:rPr>
        <w:tab/>
      </w:r>
      <w:r>
        <w:rPr>
          <w:rFonts w:ascii="Arial" w:cs="Arial" w:eastAsia="Arial" w:hAnsi="Arial"/>
          <w:sz w:val="14"/>
          <w:szCs w:val="14"/>
          <w:b w:val="1"/>
          <w:bCs w:val="1"/>
          <w:color w:val="auto"/>
        </w:rPr>
        <w:t>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354330</wp:posOffset>
            </wp:positionV>
            <wp:extent cx="5161280" cy="1539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61280"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The following table sets forth the most commonly used treatment options, the</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under which each procedure is typically used, and the key advantages, key drawbacks and frequency of use of each procedure: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Current Treatment Options for Seborrheic Keratosis</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Procedure</w:t>
            </w: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When Used</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Key Advantages</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Key Drawbacks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Frequency of Use</w:t>
            </w: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Cryosurgery</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Spraying liquid</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Lighter-skinned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Easy, quick and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Frequently painful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Approximately two-</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nitrogen at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patients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inexpensive</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thirds of treated SK</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temperature of</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treatments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approximately</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lesions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Rarely causes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may be required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negative 320 degrees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bleeding and requires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Fahrenheit directly</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wound care</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onto the SK lesions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hypopigmentation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Lesion falls off once</w:t>
            </w: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scarring,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frozen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pain and swelling</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620" w:type="dxa"/>
            <w:vAlign w:val="bottom"/>
            <w:tcBorders>
              <w:left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Curettage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Scraping SK lesions</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Single or multiple thin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May quickly remove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off with the use of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single or multiple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tool known as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growths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curette</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 and</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electrodesiccation for</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minor infection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thick 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perform procedure</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cryosurgery</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Electrodesiccation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Using an electric</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Small and facial</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Fast healing</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More time-intensive</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needle to burn off the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alternatives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SK lesion</w:t>
            </w:r>
          </w:p>
        </w:tc>
        <w:tc>
          <w:tcPr>
            <w:tcW w:w="26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Darker skinned</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scarring</w:t>
            </w:r>
          </w:p>
        </w:tc>
        <w:tc>
          <w:tcPr>
            <w:tcW w:w="2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May require local</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20" w:type="dxa"/>
            <w:vAlign w:val="bottom"/>
            <w:tcBorders>
              <w:left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Less risk of</w:t>
            </w: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hypopigmentation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cryosurgery</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Requires</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curettage for thick</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electrosurgical</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equipment</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infection and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darkening of skin in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treatment area</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Excision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Removing entire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Raised or thick</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Covered by insurance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lesion with a scalpel</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when a biopsy is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needed</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In cases of clinical</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Requires wound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uncertainty where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biopsy is needed to</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confirm diagnosis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infection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More expensive then</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other alternatives</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Cryosurgery, which involves spraying liquid nitrogen at a temperature of negative 320 degrees Fahrenheit directly onto the SK lesions, is used in approximately two-thirds of treated SK patients. In this procedure, the lesion is frozen and subsequently falls off. Dermatologists use cryosurgery because it is easy, quick and inexpensive. However,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and edema, or swelling.</w:t>
      </w:r>
    </w:p>
    <w:p>
      <w:pPr>
        <w:spacing w:after="0" w:line="19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Although labor- and time-intensive, this procedure is sometimes used for darker-skinned patients in order to avoid the permanent hypopigmentation or scarring that can occur with other procedures. With an excision procedure, the lesion is removed with a scalpel but remains intact for biopsy in cases where a definitive diagnosis has not been made. These procedures are sometimes used in combination to remove SK lesions. In addition, there are other dermatological treatments that are used less frequently.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A-101 Mechanism of Action</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SK is a slowly growing epidermal tumor consisting of an abnormal accumulation of hyper-adherent senescent cells exhibiting decreased cell death. Senescent cells are no longer capable of dividing but are still alive and metabolically active. SK lesions may be amenable to a topically delivered agent that could both break down the abnormal intercellular connections between the cells and promote death of the abnormal SK cells.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Hydrogen peroxide is a potent and important oxidizing agent in the human body. Local concentrations of hydrogen peroxide are carefully controlled by a complex antioxidant defense system consisting of both enzymes and nonenzymatic components. The topical application of high concentrations of hydrogen peroxide to SK lesions can locally overwhelm this antioxidant defense system in the skin, allowing hydrogen peroxide to penetrate the surface of the lesion, react with the abnormal SK cells, and remove or dissolve the SK lesions.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Through a process known as lipid peroxidation, free radical molecules generated by hydrogen peroxide degrade the phospholipids of the cell membrane, leading to the breakdown, or lysis, of the lipid membrane of the cell. This chemical reaction is followed by the denaturation, or loss of structure, of proteins within the cell, as well as oxidative DNA and mitochondrial damage. This series of events induces cell death of abnormal SK cells, either through the process of programmed cell death, known as apoptosis, or through cell injury, known as necrosis.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graphic illustrates this mechanism of action for A-101:</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Response of Seborrheic Keratosis Cells to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144780</wp:posOffset>
            </wp:positionV>
            <wp:extent cx="5593715" cy="3554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93715" cy="355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While traditional procedures for the treatment of SK have become useful options for dermatologists and their patients, they suffer from a number of limitations, including their poor aesthetic outcomes and pain profile. In some cases, these procedures are invasive, with the associated need for wound management and risk of infection. Many patients with SK remain unsatisfied with their treatment options. If A-101 is approved, we believe that it will offer the following potential benefits to dermatologists and their patients:</w:t>
      </w:r>
    </w:p>
    <w:p>
      <w:pPr>
        <w:spacing w:after="0" w:line="191" w:lineRule="exact"/>
        <w:rPr>
          <w:sz w:val="20"/>
          <w:szCs w:val="20"/>
          <w:color w:val="auto"/>
        </w:rPr>
      </w:pPr>
    </w:p>
    <w:p>
      <w:pPr>
        <w:ind w:left="1060" w:right="100" w:hanging="531"/>
        <w:spacing w:after="0" w:line="25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 w:lineRule="exact"/>
        <w:rPr>
          <w:rFonts w:ascii="Arial" w:cs="Arial" w:eastAsia="Arial" w:hAnsi="Arial"/>
          <w:sz w:val="17"/>
          <w:szCs w:val="17"/>
          <w:color w:val="auto"/>
        </w:rPr>
      </w:pPr>
    </w:p>
    <w:p>
      <w:pPr>
        <w:ind w:left="1060" w:hanging="531"/>
        <w:spacing w:after="0" w:line="257"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Phase 2 clinical trials conducted to date in over 300 patients with A-101, we have observed clinically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and statistically significant clearance of SK lesions on the face, trunk and extremities after one or two applications.</w:t>
      </w:r>
    </w:p>
    <w:p>
      <w:pPr>
        <w:ind w:left="1060" w:hanging="531"/>
        <w:spacing w:after="0" w:line="244"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A-101 was observed to be appropriate for all skin types tested and for use on the face. The most commonly used treatment procedure, cryosurgery, is a painful process. A-101 is a topically applied medication and does not require the use of local anesthesia, with its well-known risks.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jc w:val="both"/>
        <w:ind w:left="1060" w:right="40" w:hanging="531"/>
        <w:spacing w:after="0" w:line="250"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submitted an IND for A-101 for the treatment of SK to the FDA in September 2013 and have completed three Phase 2 clinical trials under this IND. In February 2015, we held a Type C meeting with the FDA at which we discussed clinical endpoints to support a claim of efficacy, as well as the statistical methodology we plan to use in our Phase 3 clinical trials. In May 2015, we held an end-of-Phase 2 meeting with the FDA to discuss our A-101 development program leading to a potential NDA submission.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Face (SEBK-203)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commenced a Phase 2 clinical trial in October 2014 that was a multicenter, randomized, double-blind, vehicle-controlled, parallel group trial designed to evaluate the safety, tolerability, initial efficacy and dose-response profile of A-101 topical solution at 32.5% and 40.0% concentrations and a topical solution vehicle control. We completed the trial in March 2015. We enrolled 119 subjects in the trial at four sites in the United States, and 116 subjects completed the trial. Three of the 119 subjects withdrew from the trial due to unrelated adverse events. Of the 116 subjects who completed the trial, 37 subjects received the 40.0% concentration, 39 subjects received the 32.5% concentration and 40 subjects received the vehicle control. The age of the subjects ranged from 33 to 93, with a mean age of 70. Of the 116 subjects who completed the trial, 53 were male, 63 were female and all were Caucasian, with a variety of skin types. Inclusion criteria included a clinical diagnosis of stable, clinically typical SK and one appropriate SK target lesion on the subject's face of specified size and thickness. Exclusion criteria included clinically atypical or rapidly growing SK lesions and the use of specified topical or systemic therapies within defined time period prior to the first visit.</w:t>
      </w:r>
    </w:p>
    <w:p>
      <w:pPr>
        <w:spacing w:after="0" w:line="20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a single target lesion on the face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retreatment criteria received a second application of the assigned concentration of A-101 or vehicle control. The subjects were evaluated at multiple visits through Day 106, but no applications were made after Day 22.</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primary endpoint of this clinical trial was the mean change from baseline in the Physician's Lesion Assessment, or PLA, score at the end of the trial. The PLA score is a method we have developed and validated to measure the severity of lesions and uses a scale ranging from zero to three. Secondary endpoints included responder analysis of PLA scores of zero or one. In this trial, a PLA score of zero represented no visible lesion; a PLA score of one represented near clearance, meaning a visible lesion that, while not elevated, has a surface appearance that is different from the surrounding skin; a PLA score of two represented a visible lesion that is elevated but with a thickness of less than or equal to one millimeter; and a PLA score of three represented a visible lesion with a thickness exceeding one millimeter.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shown in the table below, for the primary endpoint, mean change from baseline in PLA score, we observed statistically significant improvements as compared to the vehicle for both concentrations of A-101 evaluated, with the 40.0% concentration being the most effective. The results for the active treatment groups were statistically significant with a p-value of less than 0.001.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Mean Change from Baseline in PLA Score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45330" cy="2322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53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measured the percentage of subjects who achieved total clearance, or a PLA of zero, at Day 22 and Day 106. These results are presented in the table below. At Day 22, 24.0% of the subjects receiving A-101 at the 40.0% concentration achieved total clearance and 28.0% of the subjects receiving A-101 at the 32.5% concentration achieved total clearance, compared to none in the vehicle control group. At Day 106, 60.0% of the subjects receiving A-101 at the 40.0% concentration achieved total clearance and 46.0% of subjects receiving A-101 at the 32.5% concentration achieved total clearance, compared to 3.0% in the vehicle control group. These results were statistically significant, with a p-value of less than 0.001.</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with Clear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144780</wp:posOffset>
            </wp:positionV>
            <wp:extent cx="5369560" cy="2929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6956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at Day 22 and Day 106. These results are presented in the table below. At Day 22, 45.9% of the subjects receiving A-101 at the 40.0% concentration achieved total clearance or near clearance and 33.3% of the subjects receiving A-101 at the 32.5% concentration achieved total clearance or near clearance, compared to 2.5% in the vehicle control group. At Day 106, 67.6% of the subjects receiving A-101 at the 40.0% concentration achieved total clearance or near clearance and 61.5% of subjects receiving A-101 at the 32.5% concentration achieved total clearance or near clearance, compared to 5.0% in the vehicle control group. These results were statistically significant, with a p-value of less than 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with Clear or Near-Clear Target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144780</wp:posOffset>
            </wp:positionV>
            <wp:extent cx="5694045" cy="3096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940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While two subjects in each of the 32.5% and 40.0% concentration treatment groups reported severe stinging after administration, most local skin reactions were considered to be transient and mild or moderate. Treatment-emergent adverse events were reported by 29 subjects. However, only one of these adverse events, slight bleeding at the sight of administration, was determined by the investigator to be drug-related. Four subjects reported serious adverse events, but none were considered to be related to treatment by the investigator. Three subjects dropped out of the trial due to adverse events unrelated to treatment.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and Extremities (SEBK-202)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June 2014, we commenced a Phase 2 clinical trial that was a multicenter, randomized, double-blind, vehicle-controlled, parallel group trial designed to evaluate the safety, tolerability, initial efficacy and dose-response profile of A-101 topical solution with concentrations of 32.5% and 40.0% and a topical solution vehicle control. We completed the trial in December 2014. We enrolled 172 subjects in the trial at five sites in the United States, and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169 subjects completed the trial. Of the 172 subjects enrolled in the trial, 57 subjects received the 40.0% concentration, 57 subjects received the 32.5% concentration and 58 subjects received the vehicle control. Of the three subjects who withdrew from the trial, one subject withdrew due to inconvenience, one subject moved and one subject withdrew due to lack of follow-up by the investigator. The age of the subjects ranged from 48 to 97, with a mean age of 69. Of the 172 subjects enrolled in the trial, 91 were male, 81 were female and all but two were Caucasian. There were a variety of skin types within the trial population. Inclusion criteria included a clinical diagnosis of stable, clinically typical SK and at least four SK target lesions on the subject's trunk, defined as the upper body excluding the head and limbs, or extremities with a PLA of at least 2.0 and of specified size and thickness. Exclusion criteria included clinically atypical or rapidly growing SK lesions and the use of specified topical or systemic therapies within a defined time period prior to the first visit.</w:t>
      </w:r>
    </w:p>
    <w:p>
      <w:pPr>
        <w:spacing w:after="0" w:line="206"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four target lesions on the trunk or extremities of each subject for treatment. During the second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then evaluated at multiple visits through Day 106, but no applications were made after Day 22.</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primary endpoint of this clinical trial was the percentage of the four target SK lesions judged to be clear, meaning a PLA of zero, for each patient at the end of the trial. Secondary endpoints included the change from baseline PLA. In this trial, we used the same PLA score we used in our trial in subjects with SK lesions on the face (SEBK-203).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shown in the table below, for the primary endpoint, the mean percentage of the four target SK lesions that were judged to be cleared for each patient at Day 106, we observed clinically relevant and statistically significant improvement for both concentrations of A-101 evaluated, with mean per-subject clearance of 26.8% and 45.1% at the 32.5% and 40.0% concentrations, respectively, compared to only 4.8% mean per-subject clearance in the vehicle control group. The results for the active treatment groups were statistically significant with a p-value of less than 0.001.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Per-Subject Percentage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also measured the percentage of subjects who achieved total clearance, or a PLA score of zero, in all four of their lesions. These results are presented in the table below. Of the subjects receiving A-101 with 40.0% and 32.5% concentrations, 19.6% and 16.1%, respectively, had clearance of all lesions at Day 106, compared to none in the vehicle control group. These results were statistically significant, with a p-value of less than 0.01. At Day 22, 14.3% of the subjects receiving A-101 at the 40.0% concentration had achieved clearance of all lesions, a result that was also statistically significant, with a p-value of less than 0.01. Only 5.4% of subjects receiving A-101 at the 32.5% concentration achieved clearance of all lesions at Day 22, compared to none in the vehicle control group, but this result for the 32.5% group was not statistically significant.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Achieving Total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in all four of their lesions. These results are presented in the table below. At Day 22, 32.6% of the subjects receiving A-101 at the 40.0% concentration achieved total clearance or near clearance and 23.7% of the subjects receiving A-101 at the 32.5% concentration achieved total clearance or near clearance, compared to 1.8% in the vehicle control group. At Day 106, 58.9% of the subjects receiving A-101 at the 40.0% concentration achieved total clearance or near clearance and 42.4% of the subjects receiving A-101 at the 32.5% concentration achieved total clearance or near clearance, compared to 10.1% in the vehicle control group. These results were statistically significant with a p-value of less than 0.0001.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Achieving Total Clearance or Near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3279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77535"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Local skin reactions were treatment- and dose-related, and most were considered to be transient and mild to moderate. Treatment-emergent adverse events were reported by 45 subjects. Only one of these events, moderate tenderness at a treatment site on the subject's thigh, was determined by the investigator to be drug-related. Three subjects reported serious adverse events, but none were considered to be related to treatment by the investigator. None of the subjects dropped out of the trial due to adverse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(Back) (SEBK-201)</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We commenced a Phase 2 clinical trial of A-101 in November 2013 that was a double-blind, vehicle-controlled intra-subject clinical trial designed to evaluate the safety, tolerability and initial efficacy of A-101 in clearing SK lesions. The trial compared three active concentrations of A-101, 40.0%,</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32.5% and 25.0%, with a vehicle solution control. In the trial, each subject received each of the four treatments on four separate lesions on the back. We enrolled 35 adult subjects in the trial at one site in the United States. We completed the trial in June 2014. Of the 35 subjects enrolled in the trial, one subject withdrew from participation in the trial due to the distance between the subject's home and the clinical trial site. The age of the subjects ranged from 55 to 85, with a mean of 69 years. Of the 35 subjects enrolled in the trial, 20 of the subjects were female and 15 were male, and all subjects were Caucasian. Inclusion criteria included a clinical diagnosis of stable clinically typical SK and at least four appropriate SK target lesions on the subject's back. Exclusion criteria included clinically atypical or rapidly growing SK lesions and the use of specified topical or systemic therapies within a defined time period prior to the first visit.</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evaluation period consisted of 11 weeks after initial treatment. At the first visit, the investigator identified four target lesions on the back for treatment. During a second visit, or baseline, which occurred on Day 1 of the evaluation period, lesions on each subject were randomized to receive the vehicle control or one of the three active concentrations of A-101, and the applications were performed by non-physician staff. No applications were made at visits on Day 8 and Day 15. On Day 22, any target lesion that met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retreatment criteria received a second application of the assigned concentration of A-101 or vehicle control. No applications were made at subsequent visits, which occurred on Days 29, 43, 57 and 78.</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primary endpoint of this clinical trial was reduction in PLA score from baseline over a period of 78 days, as well as the physician's subjective assessment of the condition of the lesion. In this trial, we used an earlier version of the PLA scale in which a PLA score of zero was considered to be complete clearance of the lesion, a PLA score of one represented the lesion was barely evident on examination, a PLA score of two represented an obvious lesion, while a PLA score of three represented a severe, prominent lesion. This PLA scale was subsequently refined in our later trials to make it more clinically objective.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For the 34 subjects that completed the trial, the efficacy results are presented in the table below. We measured the proportion of PLA complete responders, defined as a PLA score of zero at Day 78, in each treatment group. Of the 34 lesions treated with the 40.0% concentration, 11 lesions, or 32.4%, completely responded, a result that was statistically significant with a p-value of less than 0.001. Of the 34 lesions treated with the 32.5% concentration, 5 lesions, or 14.7%, completely responded, a result that was statistically significant with a p-value of less than 0.05. Of the 34 lesions treated with the 25.0% concentration, 3 lesions, or 8.8%, completely responded, a result that was not statistically significant. There were no complete responders in the vehicle control group.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also measured the proportion of PLA complete responders or near complete responders, defined as a PLA score of zero or one, at Day 78, in each treatment group. These results are presented in the table below. Of the 34 lesions treated with the 40.0% concentration, 23 lesions, or 67.7%, were complete or near complete responders, a result that was statistically significant with a p-value of less than 0.0001. Of the 34 lesions treated with the</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32.5% concentration, 19 lesions, or 55.9%, were complete or near complete responders, a result that was statistically significant with a p-value of less than 0.0001. Of the 34 lesions treated with the 25.0% concentration, 12 lesions, or 35.3%, were complete or near complete responders, a result that was statistically significant with a p-value of less than 0.05. Four lesions, or 11.8%, of the lesions treated with vehicle control either were complete or near complete responders.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or Near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2955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7535" cy="295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A-101 was generally well tolerated at the 25.0%, 32.5% and 40.0% concentrations. Local skin reactions were transient and treatment- and dose-related, and most were considered to be mild to moderate. Treatment-emergent adverse events were reported by nine subjects, and none of those reported were considered to be treatment-related. The only treatment-emergent adverse events reported by more than one subject were seasonal allergy in ten subjects and arthritis in four subjects. One subject had a serious adverse event of kidney infection, which was considered by the investigator to be unrelated to treatment. None of the subjects dropped out of the trial due to an adverse event and no adverse event led to trial discontinuation.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Clinical Program</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held an end-of-Phase 2 meeting with the FDA in May 2015. Based on the FDA's feedback at that meeting, we plan to initiate three Phase 3 clinical trials in the first quarter of 2016 for the treatment of SK on the face, trunk and extremities. We have also received written guidance from the EMA regarding the design of these Phase 3 clinical trails.</w:t>
      </w:r>
    </w:p>
    <w:p>
      <w:pPr>
        <w:spacing w:after="0" w:line="19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planned Phase 3 clinical program will consist of three clinical trials, in which we expect to enroll a total of approximately 1,000 subjects with SK. These clinical trials will be designed to demonstrate the efficacy of treatment with A-101 relative to vehicle for the treatment of SK on the face, trunk and extremities. The first two clinical trials will be randomized, multi-center, double-blinded, vehicle-controlled, parallel group Phase 3 clinical trials that will be conducted in the United States. We expect to enroll approximately 400 subjects with four SK lesions on the face, trunk and extremities in each of these two trials. In each of these first two trials, subjects will be randomized to receive A-101 topical solution at the 40.0% concentration on Day 1 and Day 22. Thereafter, we plan to conduct the third Phase 3 clinical trial in which approximately 200 subjects with four SK lesions on the face, trunk and extremities will receive up to four treatments of A-101 21 days apart on an open-label basis in order to gather additional data on the extended use of A-</w:t>
      </w:r>
    </w:p>
    <w:p>
      <w:pPr>
        <w:spacing w:after="0" w:line="2" w:lineRule="exact"/>
        <w:rPr>
          <w:sz w:val="20"/>
          <w:szCs w:val="20"/>
          <w:color w:val="auto"/>
        </w:rPr>
      </w:pPr>
    </w:p>
    <w:p>
      <w:pPr>
        <w:jc w:val="both"/>
        <w:ind w:right="20" w:firstLine="5"/>
        <w:spacing w:after="0" w:line="246" w:lineRule="auto"/>
        <w:tabs>
          <w:tab w:leader="none" w:pos="3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our three Phase 3 clinical trials, we intend to use the refined PLA scale that we used in our SEBK-202 and SEBK-203 clinical trials. The primary endpoint for our three Phase 3 clinical trials will be the percentage of subjects who experience a complete clearance, meaning a PLA score of zero, for all four of the target SK lesions.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anticipate that our NDA and Marketing Authorization Application, or MAA, in the European Union for A-101 in SK will be based on the data collected from each of the three Phase 3 clinical trials. We believe that if these results are favorable, such results would be sufficient to support an NDA for the treatment of SK in the United States and may be sufficient to support a MAA for the treatment of SK in the European Union.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Development Programs — A-101 for Common Warts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Plan</w:t>
      </w:r>
    </w:p>
    <w:p>
      <w:pPr>
        <w:spacing w:after="0" w:line="22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We are conducting toxicology studies and plan to commence Phase 2 clinical trials of A-101 for the treatment of common warts in the first quarter of 2016.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Investigator-Sponsored Trial</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trial was conducted by Stephen Grekin, a dermatologist, using A-101 topical solution in subjects with common warts. This physician's IND for the treatment of common warts was submitted to the FDA in March 2014. This trial was a double-blind, vehicle-controlled trial comparing the 40.0% concentration of A-101 and a vehicle control. This trial was conducted at the Grekin Skin Institute in Michigan. In this trial, each subject received four treatments on one target wart. 22 subjects were enrolled in the trial, with 15 subjects completing the trial. Four subjects who were receiving vehicle control did not complete the trial because they were not satisfied with the results and three subjects who were receiving A-101 did not complete the trial for reasons unrelated to treatment. Of the subjects who completed the trial, nine subjects received the 40.0% concentration of A-101 and six subjects received the vehicle control. Subjects were at least 18 years old with a common wart on the hand.</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the results of the investigator-sponsored trial provided proof-of-concept data for the treatment of common warts with A-101. Efficacy measures were evaluated at week 6, two weeks after the last treatment. The trial evaluated the mean change from baseline using a wart severity assessment scale ranging from zero to three. A wart severity assessment score of zero means the subject has no clinically diagnosable wart, a score of one means the subject has a barely evident clinically diagnosable wart, a score of two represents an obvious wart and a score of three represents a conspicuous wart. All of the subjects enrolled in this trial had a wart severity assessment score of at least two. The wart severity assessment score results are presented in the table below. The data from the trial showed statistically significant improvements in subjects treated with A-101 compared to vehicle control in the mean wart severity assessment score.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Change from Baseline in Wart Severity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144780</wp:posOffset>
            </wp:positionV>
            <wp:extent cx="4977765" cy="2780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77765"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trial also evaluated the mean wart improvement assessment score in subjects. The wart improvement assessment scale measures the level of improvement and ranges from zero to five. A wart improvement assessment score of zero means the common wart is completely cleared, a score of one means the wart markedly improved compared to baseline, a score of two means the wart moderately improved compared to baseline, a score of three means the wart mildly improved compared to baseline, a score of four means there was no change and a score of five means the wart worsened compared to baseline. The mean wart improvement assessment score results are presented in the table below. The data from the trial showed statistically significant improvements in subjects treated with A-101 compared to vehicle control in the mean wart improvement assessment score.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Wart Improvement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144780</wp:posOffset>
            </wp:positionV>
            <wp:extent cx="4778375" cy="2397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78375"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A-101 was well tolerated in these subjects with no adverse events reported.</w:t>
      </w:r>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addition, we conducted 12-week toxicology studies in rats and minipigs. These studies were designed to enable us to evaluate a dose range trial over an extended period evaluating two concentrations, 40% and 45%, of A-101 topical solution versus vehicle control in subjects with common warts. Based on these results and those of the investigator-sponsored trial, we are conducting additional toxicology studies and plan to commence Phase 2 clinical trials of A-101 for the treatment of common warts in the first quarter of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Development Programs — A-201 and A-301 for Alopecia Areata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plan to develop A-201 and A-301 as potential treatments for AA. AA is an autoimmune dermatologic condition, typically characterized by patchy, non-scarring hair loss on the scalp and body. More severe forms of AA include alopecia totalis and alopecia universalis. Treatment options for the less severe, patchy forms of AA include corticosteroids, either topically applied or injected directly into the bare patches, and the induction of an allergic reaction at the site of hair loss using a topical contact sensitizing agent, an approach known as topical immunotherapy. However, current treatments of the more severe forms of AA are generally ineffective. There are currently no FDA-approved drugs for the treatment of AA. We plan to develop A-201 as an oral treatment for alopecia totalis and alopecia universalis and A-301 as a topical treatment for patchy AA. We plan to submit an IND in the second half of 2016 for A-201 and A-301 and commence clinical trials in the first half of 2017.</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ind w:right="20" w:firstLine="5"/>
        <w:spacing w:after="0" w:line="246" w:lineRule="auto"/>
        <w:tabs>
          <w:tab w:leader="none" w:pos="2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affects up to 0.2% of people globally, with two-thirds of affected individuals being 30 years old or younger at the time of disease onset. Based on a U.S. population of 325 million people, we estimate 650,000 people in the United States experience the symptoms of AA at any given time. The National Alopecia Areata Foundation reports that over 6.6 million Americans have had or will develop AA at some point in their lives.</w:t>
      </w:r>
    </w:p>
    <w:p>
      <w:pPr>
        <w:spacing w:after="0" w:line="199"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color w:val="auto"/>
        </w:rPr>
        <w:t>Persistent patchy AA affects between 25% and 50% of AA patients, and between 14% and 25% of AA patients progress to total loss of scalp hair or loss of all body hair. While 80% of AA patients with limited scalp hair loss experience regrowth within one year, AA patients with greater than 50% of scalp hair loss or who have symptoms that have persisted for more than one year are much less likely to experience spontaneous hair regrowth. For example, in a third-party placebo-controlled trial in AA, the results of which were published in the Journal of the American Academy of Dermatology in 2008, only 8% of patients on placebo with greater than 50% hair loss at baseline experienced more than 25% regrowth.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AA</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No drug has been approved in the United States to treat AA. Some treatments have been found to reduce symptoms of AA in small trials, including topical sensitizing agents and topical and systemic corticosteroids. However, these treatments have high failure rates in persistent and severe forms of AA.</w:t>
      </w:r>
    </w:p>
    <w:p>
      <w:pPr>
        <w:spacing w:after="0" w:line="19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Topical corticosteroids and direct corticosteroid injections, known as intralesional steroid treatments, are often the first-line off-label approach for limited patchy AA. Intralesional steroid treatments have been shown to stimulate hair regrowth at the site of the injection in adults, and are often used for cosmetically sensitive areas, such as the eyebrows. However, intralesional steroid treatments require painful, monthly injections and can lead to skin atrophy and scarring at the site of injection. Oral steroids have also been used off-label to treat AA, but have not been effective for long-term use. Oral steroids are also associated with potentially severe side effects. Other off-label treatments utilized for patchy AA include anthralin and minoxidil solution.</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Topical immunotherapy has been used occasionally to treat severe forms of AA. However, the chemical agents used in topical immunotherapy have not been approved by the FDA. Other less common off-label treatments for severe forms of AA include biologics, immunosuppressive agents, laser therapy, phototherapy and prostaglandin analogues.</w:t>
      </w:r>
    </w:p>
    <w:p>
      <w:pPr>
        <w:spacing w:after="0" w:line="199"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Other JAK inhibitors have been used off-label for the treatment of AA, but have been associated with some severe side effects, such as low blood counts, infection and skin cancer. The annual cost for commercially available JAK inhibitors is over $25,000, which generally is not covered by insurance when the JAK inhibitors are used off-label.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A-201 and A-301 Mechanism of Action</w:t>
      </w:r>
    </w:p>
    <w:p>
      <w:pPr>
        <w:spacing w:after="0" w:line="23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Though the exact cause of AA remains unclear, clinical and physiological evidence suggests that the primary pathologic process of AA is a T-cell mediated autoimmune attack on the hair follicles.</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Cytokines are proteins that bind to cell surface receptors and initiate a signaling process that ultimately leads to modulation of gene expression. The JAK family of enzymes plays an essential role in regulating the signaling process of most cytokines in cells by linking cytokine signaling from the cell surface membrane receptors to signal transducers and activators of transcription, or STATs, within the cells. The binding of a cytokine to the appropriate receptor on the cell surface results in the activation of the JAK protein, which in turn activates the STATs.</w:t>
      </w:r>
    </w:p>
    <w:p>
      <w:pPr>
        <w:spacing w:after="0" w:line="198" w:lineRule="exact"/>
        <w:rPr>
          <w:sz w:val="20"/>
          <w:szCs w:val="20"/>
          <w:color w:val="auto"/>
        </w:rPr>
      </w:pPr>
    </w:p>
    <w:p>
      <w:pPr>
        <w:jc w:val="both"/>
        <w:ind w:right="360"/>
        <w:spacing w:after="0" w:line="246" w:lineRule="auto"/>
        <w:rPr>
          <w:sz w:val="20"/>
          <w:szCs w:val="20"/>
          <w:color w:val="auto"/>
        </w:rPr>
      </w:pPr>
      <w:r>
        <w:rPr>
          <w:rFonts w:ascii="Arial" w:cs="Arial" w:eastAsia="Arial" w:hAnsi="Arial"/>
          <w:sz w:val="17"/>
          <w:szCs w:val="17"/>
          <w:color w:val="auto"/>
        </w:rPr>
        <w:t>The JAK proteins are essential for modulating many immunological and inflammatory processes, and, in conditions characterized by an abnormally upregulated immune response, JAK inhibitors have been found to be effective in downregulating the abnormally activated JAK-STAT pathway and alleviating manifestations of disease.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Most recently, it has been reported that systemically administered JAK inhibitors may be potentially efficacious in the treatment of AA, both in its patchy and more severe forms. In a mouse model of AA, systemically administered JAK inhibitors prevented the development of AA, and topically administered JAK inhibitors promoted hair regrowth. Additionally, in a clinical trial evaluating ruxolitinib, an oral JAK inhibitor, as a potential treatment for cancer, three human patients with moderate-to-severe AA treated with ruxolitinib achieved near-complete hair regrowth within three to five months of treatment.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Benefits of A-201 and A-301</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There are currently no FDA-approved drugs for the treatment of AA. If either A-201 or A-301 is approved by the FDA, it has the potential to be the first drug approved for the treatment of AA in the United States. In addition, there is an unmet need for a safe and effective treatment for patients with persistent patchy AA, alopecia totalis and alopecia universalis. We believe A-201 has the potential to effectively treat alopecia totalis and alopecia universalis and A-301 has the potential to effectively treat patchy AA.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do not have any manufacturing facilities or personnel. We rely on third parties for the manufacture of A-101 for preclinical studies and clinical trials, and will continue to rely on third parties for the commercial manufacture of A-101 if it receives marketing approval. For hydrogen peroxide, the active pharmaceutical ingredient, or API, in A-101, we have entered into an exclusive, ten-year, automatically renewable supply agreement with PeroxyChem LLC, or PeroxyChem, a manufacturer of hydrogen peroxide, to provide the API that can be used in A-101 for the treatment of SK and a number of other specified dermatological indications. We or PeroxyChem may terminate the supply agreement with prior written notice immediately for specified financial reasons, after a 10-day and 60-day cure period for material monetary and non-monetary material breaches, respectively, and in the event of a force majeure event, including if the FDA does not approve A-101 for commercial sale in the United States, that continues for 90 consecutive days. In addition, we may terminate the PeroxyChem supply agreement, with prior written notice, for PeroxyChem's failure to supply API to us for more than 90 cumulative days in a year.</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For some of the components used in connection with the manufacture and assembly of the pen-type applicator for A-101, we purchase our components from third-party manufacturers on a purchase order basis and do not have supply arrangements in place. In addition, we have engaged third parties for the supply and assembly of components of the pen-type applicator and the assembly, labeling and packaging of the finished drug product to be used in our planned Phase 3 clinical trials and for commercial purposes, if A-101 is approved for marketing.</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Replacement of any of these third-party manufacturers would require us to qualify new manufacturers and negotiate and execute contractual agreements with them. If any of our supply or service agreements with third-party manufacturers are terminated, we will experience delays and additional expenses in the completion of the development of and obtaining regulatory approval for our lead drug candidate, A-101 for the treatment of 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A-101, we expect to retain U.S. commercial rights and to establish collaborations with third parties to commercialize A-101 outside the United States. We have not established any meaningful sales, marketing or product distribution operations to date because A-101 is still in clinical development. We plan to establish the required capabilities within an appropriate time frame ahead of any potential drug approval and commercialization in order to support a commercial product launch. If we commercialize A-101, or any other drug candidates that we may successfully develop, in the United States, we intend to build a targeted sales force to establish relationships with dermatologists. We believe a scientifically oriented, customer-focused team of approximately 50 to 60 sales representatives would allow us to reach the approximately 5,000 dermatologists in the United States with the highest potential for using A-101, who we estimate account for over 70% of the procedures performed. We expect that our sales force will be supported by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sales and marketing management, internal sales and marketing support and commercial product distribution support.</w:t>
      </w:r>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 survey we commissioned in 2014, dermatologists who were presented the anticipated product profile for A-101 reacted favorably. Among 251 dermatologists who completed the survey, 85% indicated that they "definitely would" or "probably would" treat their patients with A-101. In addition, 77% said A-101 "improves treatment options extremely well" or "improves treatment options very well" for SK. Some of the dermatologists who completed the survey noted A-101 would be a good alternative to cryosurgery, could be utilized in patients that are not candidates for cryosurgery, such as darker-skinned patients and patients with numerous lesions, and could help grow practice revenue.</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believe dermatologists will be inclined to adopt A-101 to treat their patients with SK, if it is approved, not only because of its clinical profile, but also because it may provide an expanded source of revenue for their practices. Dermatologists expect declining reimbursements from third-party payors for providing medical services. In addition, a greater portion of the cost of medical care has been shifted to patients, in the form of higher deductibles and co-insurance. Collecting from patients can be difficult and costly for physician practices. We believe many dermatologists are interested in expanding the cash-pay aesthetic portion of their practices, meaning the portion of procedures that are not medically necessary and not reimbursed by third-party payors, by treating new aesthetic patients and by offering new services to current aesthetic patients. Though SK patients typically come into the dermatology practice seeking a medical diagnosis, we believe they often are willing to pay for removal of SK lesions to improve appearance even after they learn that the lesions are non-malignant and that removal may not be reimbursed. We expect the cost to patients for A-101, if approved, to be lower than many of the other minimally invasive cash-pay aesthetic procedures offered by dermatologists, such as dermal fillers, neuromodulators, laser hair removal, and intense pulsed light treatments. In addition, since A-101 can be administered by non-physician staff, we believe it could provide incremental practice revenue with minimal time commitment by the dermatologist after the diagnosis is made.</w:t>
      </w:r>
    </w:p>
    <w:p>
      <w:pPr>
        <w:spacing w:after="0" w:line="20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In 2014, there were approximately 10,000 dermatologists practicing in the United States. We believe dermatologists tend to be particularly focused on the safety of pharmaceutical products because, while skin diseases can have profound effects on patients' quality of life, few are life-threatening. As a result, we believe that dermatologists, as well as their patients, often prefer to use topical treatments when possible to limit the risk of systemic side effects. Dermatologists also tend to place a high level of emphasis on products that are easy to use because they often manage high volumes of patients. We believe this also contributes to a general preference for topical treatments. Finally, in our experience, dermatologists tend to engage with sales and medical affairs personnel from the pharmaceutical industry regarding the scientific evidence supporting dermatology products and the challenges experienced by physicians and patients in the use of these products. Dermatologists often rely on trusted relationships with scientifically oriented, customer-focused sales representatives who can provide them with the necessary information to support their use of appropriate treatments.</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 second survey we commissioned in 2015, dermatology patients with SK who were presented the anticipated product profile for A-101 reacted favorably. Among these 801 patients who self-identified as having SK and who had visited a dermatologist within the past two years, 91% said A-101 was "extremely appealing" or "very appealing" and 90% said they "definitely would" or "probably would" ask their dermatologist about treating SK with A-101. Most patients in the survey said that they would be willing to pay for treatment of SK with A-101 and that they would remove the majority of their SK lesions at the prices for treatment that were presented to them.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and specialty pharmaceutical companies, academic institutions and governmental agencies and public and private research institutions. Any drug candidates that we successfully develop and commercialize will compete with existing treatments and new treatments that may become available in the future.</w:t>
      </w:r>
    </w:p>
    <w:p>
      <w:pPr>
        <w:spacing w:after="0" w:line="19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 key competitive factors affecting the success of A-101, if approved for the treatment of SK, are likely to be its efficacy, safety, non-invasiveness, pain profile and ability to be administered by non-physician staff.</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With respect to A-101 for the treatment of SK, we are aware of one biopharmaceutical company, BioLineRx Ltd., that is developing a combination drug candidate that targets SK, and another company, Skincential Sciences, Inc., that currently markets a line of cosmetic products targeting skin conditions, including SK. Neither of these products have been approved by the FDA for use in the United States.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With respect to A-101 for the treatment of common warts, we are aware of one company, Nielsen BioSciences, that is developing a prescription treatment for common warts. We are aware of another company, G&amp;E Herbal Biotechnology Co., LTD,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With respect to A-201 and A-301 for the treatment of AA, we anticipate competing with sensitizing agents such as diphencyprone, or DPCP, and topical, intralesional and systemic corticosteroids, which have been found to occasionally reduce symptoms of AA. Other treatments utilized for patchy</w:t>
      </w:r>
    </w:p>
    <w:p>
      <w:pPr>
        <w:spacing w:after="0" w:line="1" w:lineRule="exact"/>
        <w:rPr>
          <w:sz w:val="20"/>
          <w:szCs w:val="20"/>
          <w:color w:val="auto"/>
        </w:rPr>
      </w:pPr>
    </w:p>
    <w:p>
      <w:pPr>
        <w:jc w:val="both"/>
        <w:ind w:right="100" w:firstLine="5"/>
        <w:spacing w:after="0" w:line="246" w:lineRule="auto"/>
        <w:tabs>
          <w:tab w:leader="none" w:pos="2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 anthralin and minoxidil solution. We may also compete with companies developing chemical agents to be used in topical immunotherapies, as well as companies developing biologics, immunosuppressive agents, laser therapy, phototherapy, other JAK inhibitors and prostaglandin analogues to treat AA.</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drug candidates and to operate without infringing the proprietary rights of others. We seek to avoid the latter by monitoring patents and publications that may affect our business, and to the extent we identify such developments, evaluate and take appropriate courses of action. Our policy is to protect our proprietary position by, among other methods, filing for patent applications on inventions that are important to the development and conduct of our business with the U.S. Patent and Trademark Office, or USPTO, and its foreign counterparts.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With respect to A-101, we own two issued U.S. patents, one issued patent in each of Australia, Germany, United Kingdom, India, New Zealand, Mexico, and Singapore, and a pending U.S. and PCT patent application. We do not currently rely on licenses to any third party's intellectual property for A-101. The two U.S. patents include claims that cover the use of high-concentration hydrogen peroxide for the alleviation of SK and acrochordons. The patents in Australia, New Zealand and India include claims that cover the use of high-concentration hydrogen peroxide for the alleviation of various skin conditions, including SK, acrochordons, corns, tags, acne, warts and rosacea. The patents in Germany, the United Kingdom, Mexico and Singapore include claims that cover the use of high-concentration hydrogen peroxide for the alleviation of acrochordons. The issued patents relating to the use of A-101 begin to expire in 2022, subject to any applicable patent term extension that may be available in a particular country.</w:t>
      </w:r>
    </w:p>
    <w:p>
      <w:pPr>
        <w:spacing w:after="0" w:line="201"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Our pending U.S. and PCT patent application are directed to various formulations comprising high- concentration hydrogen peroxide, dosing regimens for such formulations, applicators for use with such formulations, and methods of treating various skin conditions, including SK and common warts, by the topical administration of such formulations. We plan to pursue the PCT application in numerous foreign countries, including in the European Union. Any claims that issue from these formal filings will expire in 2035, subject to any applicable patent term adjustment or extension that may be available in a particular country.</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With respect to the JAK inhibitors we licensed from Rigel, we exclusively license in the field of dermatology multiple families of patents and applications relating to these compounds and the uses thereof. In particular, we exclusively license patents and applications with claims that specifically cover the composition of matter for these compounds in the United States, Australia, Brazil, Canada, Chile, China, Eurasia, the European Union, Hong Kong, Israel, India, Japan, Mexico, Malaysia, New Zealand, Peru, Singapore, Ukraine, Vietnam, and South Africa. The issued patents specifically directed to these compounds begin to expire in 2030, subject to any applicable patent term adjustment or extension that may be available in a particular country. We also exclusively license applications in the United States, Australia, Canada, Europe and Japan with claims that cover the use of these compounds for the treatment of autoimmune alopecia. Any claims that issue from these applications will expire in 2034, subject to any applicable patent term adjustment or extension that may be available in a particular country. We also license a family of patents and applications that relate to A-201 and A-301 that expire in 2023, subject to any applicable patent term adjustment or extension that may be available in a particular country.</w:t>
      </w:r>
    </w:p>
    <w:p>
      <w:pPr>
        <w:spacing w:after="0" w:line="206"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also use other forms of protection, such as trademark, copyright, and trade secret protection, to protect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positions for our drug candidates, where available.</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does not grant patent term adjustments. The European Union does have a compensation program similar to patent term extension called supplementary patent certificate that would effectively extend patent protection for up to five years.</w:t>
      </w:r>
    </w:p>
    <w:p>
      <w:pPr>
        <w:spacing w:after="0" w:line="206" w:lineRule="exact"/>
        <w:rPr>
          <w:sz w:val="20"/>
          <w:szCs w:val="20"/>
          <w:color w:val="auto"/>
        </w:rPr>
      </w:pPr>
    </w:p>
    <w:p>
      <w:pPr>
        <w:jc w:val="both"/>
        <w:ind w:right="460"/>
        <w:spacing w:after="0" w:line="246" w:lineRule="auto"/>
        <w:rPr>
          <w:sz w:val="20"/>
          <w:szCs w:val="20"/>
          <w:color w:val="auto"/>
        </w:rPr>
      </w:pPr>
      <w:r>
        <w:rPr>
          <w:rFonts w:ascii="Arial" w:cs="Arial" w:eastAsia="Arial" w:hAnsi="Arial"/>
          <w:sz w:val="17"/>
          <w:szCs w:val="17"/>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proprietary rights of third parties to us. In addition, we also require confidentiality or service agreements from third parties that receive our confidential information or materials.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Agreement and Finder's Services Agreement</w:t>
      </w:r>
    </w:p>
    <w:p>
      <w:pPr>
        <w:spacing w:after="0" w:line="23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August 2012, we entered into an assignment agreement with the Estate of Mickey Miller, or the Miller Estate, under which we acquired some of the intellectual property rights covering A-101. The assignment of intellectual property rights covers specified know-how, along with modifications of, improvements to and variations on A-101 that meet defined chemical properties. Under the agreement, we have the sole and exclusive right, but not the duty, to develop, obtain regulatory approval for and commercialize A-101 in various countries throughout the world. We are required to use commercially reasonable efforts to develop and commercialize at least one product for at least one indication in the United States. In connection with obtaining the assignment of the intellectual property from the Miller Estate, we also entered into a separate finder's services agreement with KPT Consulting, LLC.</w:t>
      </w:r>
    </w:p>
    <w:p>
      <w:pPr>
        <w:spacing w:after="0" w:line="20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 the terms of the assignment agreement and the finder's services agreement, we made aggregate upfront payments of $0.6 million in 2012 and one-time milestone payments of $0.4 million in 2013 upon the dosing of the first human subject with A-101 in our Phase 2 clinical trial. There are no remaining potential milestone payments under the assignment agreement. Under the finder's services agreement, we are obligated to make additional milestone payments of up to $1.3 million in the aggregate upon the achievement of specified development and regulatory milestones and up to</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$4.5 million upon the achievement of specified commercial milestones. Under each of the assignment agreement and the finder's services agreement, we are also obligated to pay royalties on sales of A-101 or related products, at low single-digit percentages of net sales, subject to reduction in specified circumstances. We have not made any royalty payments to date under either agreement. Both agreements will terminate upon the expiration of the last pending, viable patent claim of the patents acquired under the assignment agreement, but no sooner than 15 years from the effective date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Rigel</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August 2015, we entered into an exclusive, worldwide license and collaboration agreement with Rigel for the development and commercialization of products containing two specified JAK inhibitors. Under this agreement, we intend to develop these JAK inhibitors for the treatment of AA and potentially for other dermatological conditions. We agreed to pay Rigel an upfront non-refundable payment of $8.0 million within 30 business days of August 27, 2015. In addition,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at a high single-digit percentage of annual net sales, subject to specified reductions, until the date that all of the patent rights for that product have expired, as determined on a country-by-country and product-by-product basis or, in specified countries under specified circumstances, ten years from the first commercial sale of such product.</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agreement terminates on the date of expiration of all royalty obligations unless earlier terminated by either party for a material breach. We may also terminate the agreement without cause at any time upon advance written notice to Rigel. Rigel, after consultation with us, will be responsible for maintaining and prosecuting the patent rights, and we will have final decision-making authority regarding such patent rights for a product in the United States and the European Union. To the extent that we jointly develop intellectual property, we will confer and decide which party will be responsible for filing, prosecuting and maintaining those patent rights. The agreement also establishes a joint steering committee composed of an equal number of representatives for each party, which will monitor progress in the development of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31"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promotion, storage, advertising, distribution, marketing, sale, export and import, and the reporting of safety and other post-market information of products such as the one we are developing. A drug candidate, such as A-101, must be approved by the FDA before it may be legally promoted in the United States and by comparable foreign regulatory authorities before marketing in other jurisdictions. A-101 and any future drug candidates we may develop will be subject to similar requirements in other countries outside of the European Union and the United States prior to marketing in those countries.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Government Regulation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NDA Approval Processes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the United States, the FDA regulates drug and medical device products under the Federal Food, Drug, and Cosmetic Act, or FDCA, and its implementing regulations. Our drug candidates are comprised of both a drug component (the hydrogen peroxide solution or gel) and a pen-type applicator. In the case of our drug candidates, the FDA's Center for Drug Evaluation and Research has primary jurisdiction over the premarket development, review and approval of our drug candidates. Accordingly, we are investigating our drug candidates pursuant to IND applications and expect to seek approval through the NDA pathway. Based on our discussions with the FDA to date, we do not anticipate that the FDA will require us to submit a separate marketing application for the pen-type applicator that will be used with our drug candidates, but this could change during the course of the FDA's review of our NDA.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 applicant seeking approval to market and distribute a new drug product in the United States must typically undertake the following:</w:t>
      </w:r>
    </w:p>
    <w:p>
      <w:pPr>
        <w:spacing w:after="0" w:line="224" w:lineRule="exact"/>
        <w:rPr>
          <w:sz w:val="20"/>
          <w:szCs w:val="20"/>
          <w:color w:val="auto"/>
        </w:rPr>
      </w:pPr>
    </w:p>
    <w:p>
      <w:pPr>
        <w:ind w:left="1060" w:right="200" w:hanging="531"/>
        <w:spacing w:after="0" w:line="24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submission to the FDA of an IND which must take effect before clinical trials may begin;</w:t>
      </w:r>
    </w:p>
    <w:p>
      <w:pPr>
        <w:spacing w:after="0" w:line="14"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clinical testing may be initiated at the clinical site;</w:t>
      </w:r>
    </w:p>
    <w:p>
      <w:pPr>
        <w:spacing w:after="0" w:line="5"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regulations to establish the safety and efficacy of the proposed drug product for each indication;</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 of the NDA by a FDA advisory committee, if applicable;</w:t>
      </w:r>
    </w:p>
    <w:p>
      <w:pPr>
        <w:spacing w:after="0" w:line="14" w:lineRule="exact"/>
        <w:rPr>
          <w:rFonts w:ascii="Arial" w:cs="Arial" w:eastAsia="Arial" w:hAnsi="Arial"/>
          <w:sz w:val="17"/>
          <w:szCs w:val="17"/>
          <w:color w:val="auto"/>
        </w:rPr>
      </w:pPr>
    </w:p>
    <w:p>
      <w:pPr>
        <w:ind w:left="1060" w:hanging="531"/>
        <w:spacing w:after="0" w:line="244"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its components are produced to assess compliance with current good manufacturing practices, or cGMP, regulations to assure that the facilities, methods and controls are adequate to preserve the product's identity, strength, quality and purity;</w:t>
      </w:r>
    </w:p>
    <w:p>
      <w:pPr>
        <w:spacing w:after="0" w:line="19"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payment of user fees and securing FDA approval of the NDA; and</w:t>
      </w:r>
    </w:p>
    <w:p>
      <w:pPr>
        <w:spacing w:after="0" w:line="1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potential requirements for a risk evaluation and mitigation strategy and post-approval studies required by the FDA.</w:t>
      </w:r>
    </w:p>
    <w:p>
      <w:pPr>
        <w:spacing w:after="0" w:line="19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Once a drug candidate is identified for development, it enters the preclinical or nonclinical testing stage. Preclinical studies include laboratory evaluations of product chemistry, pharmacology, toxicity and formulation. An IND sponsor must submit the results of the preclinical studies, together with manufacturing information and analytical data, to the FDA as part of the IND. Some preclinical studies may continue even after the IND is submitted. In addition to including the results of the preclinical studies, the IND will also include a protocol detailing, among other things, the objectives of the clinical trial, the parameters to be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current Good Clinical Practices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Sponsors also must timely report to FDA serious and unexpected adverse reactions, any clinically important increase in the rate of a serious suspected adverse reaction over that listed in the protocol or investigator brochure, or any findings from other studies or animal or in vitro testing that suggest a significant risk in humans exposed to the drug. An institutional review board, or IRB, at each institution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are typically conducted in three sequential phases that may overlap or be combined:</w:t>
      </w:r>
    </w:p>
    <w:p>
      <w:pPr>
        <w:spacing w:after="0" w:line="204" w:lineRule="exact"/>
        <w:rPr>
          <w:sz w:val="20"/>
          <w:szCs w:val="20"/>
          <w:color w:val="auto"/>
        </w:rPr>
      </w:pPr>
    </w:p>
    <w:p>
      <w:pPr>
        <w:ind w:left="1060" w:hanging="531"/>
        <w:spacing w:after="0" w:line="24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2" w:lineRule="exact"/>
        <w:rPr>
          <w:rFonts w:ascii="Arial" w:cs="Arial" w:eastAsia="Arial" w:hAnsi="Arial"/>
          <w:sz w:val="17"/>
          <w:szCs w:val="17"/>
          <w:color w:val="auto"/>
        </w:rPr>
      </w:pPr>
    </w:p>
    <w:p>
      <w:pPr>
        <w:ind w:left="1060" w:right="240" w:hanging="531"/>
        <w:spacing w:after="0" w:line="257"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Clinical trials are performed on a limited patient population intended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ind w:left="1060" w:right="260" w:hanging="531"/>
        <w:spacing w:after="0" w:line="247"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If a drug candidate is found to be potentially effective and to have an acceptable safety profile in Phase 2 clinical trials,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trial program will be expanded to Phase 3 clinical trials to further evaluate dosage, clinical efficacy and safety in an expanded patient population at geographically dispersed clinical trial sites. These studies are intended to establish the overall risk-benefit ratio of the product and provide an adequate basis for product approval and labeling claims.</w:t>
      </w:r>
    </w:p>
    <w:p>
      <w:pPr>
        <w:spacing w:after="0" w:line="197"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Phase 4 clinical trials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overseen by an independent group of qualified experts organized by the trial sponsor, which is called the clinical monitoring board or data safety monitoring board. This group provides authorization for whether or not a trial may move forward at designated check points. These decisions are based on the limited access to data from the ongoing trial.</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the submission of an IND, at the end-of-Phase 2 and before an NDA is submitted. Meetings at other times may be requested. These meetings can provide an opportunity for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sponsor to share information about the data gathered to date and for the FDA to provide advice on the next phase of development. Sponsors typically use the meeting at the end-of-Phase 2 to discuss their Phase 2 clinical trial results and present their plans for the pivotal Phase 3 clinical trial or trials that they believe will support the approval of the new drug.</w:t>
      </w:r>
    </w:p>
    <w:p>
      <w:pPr>
        <w:spacing w:after="0" w:line="19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Concurrent with clinical trials, sponsors usually complete additional animal safety studies and also develop additional information about the chemistry and physical characteristics of the drug and finalize a process for manufacturing commercial quantities of the product in accordance with cGMP requirements. The manufacturing process must be capable of consistently producing quality batches of the drug and the manufacturer must develop methods for testing the quality, purity and potency of the drug. Additionally, appropriate packaging must be selected and tested and stability studies must be conducted to demonstrate that the drug candidate does not undergo unacceptable deterioration over its proposed shelf-life.</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an NDA requesting approval to market the product. The submission of an NDA is subject to the payment of user fees, but a waiver of such fees may be obtained under specified circumstances. The FDA reviews all NDAs submitted for a period of 60 days to ensure that they are sufficiently complete for substantive review before it accepts them for filing. It may request additional information rather than accept an NDA for filing. In this event, the NDA must be resubmitted with the additional information. The resubmitted application also is subject to review before the FDA accepts it for filing.</w:t>
      </w:r>
    </w:p>
    <w:p>
      <w:pPr>
        <w:spacing w:after="0" w:line="2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Once the submission is accepted for filing, the FDA begins an in-depth review. The FDA reviews an NDA to determine, among other things, whether a product is safe and effective for its intended use and whether its manufacturing is cGMP-compliant. The FDA may refer the NDA to an advisory committee for review and recommendation as to whether the application should be approved and under what conditions. The FDA is not bound by the recommendation of an advisory committee, but it generally follows such recommendations. NDAs receive either standard or priority review. A drug representing a significant improvement in treatment, prevention or diagnosis of disease may receive priority review. A priority review designation is intended to direct overall attention and resources to the evaluation of such applications, and to shorten the FDA's goal for taking action on the NDA from ten months to six months from FDA filing of the NDA. 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does not satisfy the criteria for approval.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9"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also are continuing, annual user fee requirements for products and the establishments at which such products are manufactured,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20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Drug manufacturers and other entities involved in the manufacture and distribution of approved drugs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cGMPs and device cGMPs embodied in the Quality System Regulation.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Failure to comply with the applicable United States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212"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refusal to approve pending applications;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product seizures or detention, or refusal to permit the import or export of products;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 product recalls; or</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injunctions, fines, disgorgement, or civil or criminal penalties.</w:t>
      </w:r>
    </w:p>
    <w:p>
      <w:pPr>
        <w:spacing w:after="0" w:line="211"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The FDA strictly regulates the marketing, labeling, advertising and promotion of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8"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products. It is impossible to predict whether legislative changes will be enacted, or whether FDA regulations, guidance or interpretations will be issued or changed or what the impact of such changes, if any, may be.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Non-patent Exclusivity</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FDCA provides a five-year period of non-patent marketing exclusivity within the United States to the first applicant to obtain approval of an NDA for a new chemical entity, or NCE. A drug is an NCE if the FDA has not previously approved any other new drug containing the same active moiety, which is the molecule or ion responsible for the action of the drug substance. Because we believe that an NDA has never been approved for hydrogen peroxide, we believe that our product qualifies as an NCE and is entitled to a five-year period of market exclusivity under the FDCA if approved, but FDA may disagree with our interpretation.</w:t>
      </w:r>
    </w:p>
    <w:p>
      <w:pPr>
        <w:spacing w:after="0" w:line="199"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If market exclusivity is granted, during the exclusivity period, the FDA may not accept for review an abbreviated new drug application, or ANDA, or a 505(b)(2) NDA submitted by another company for another version of such drug where the applicant does not own or have a legal right of reference to all the data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an NDA. However, an applicant submitting an NDA would be required to conduct or obtain a right of reference to all of the preclinical studies and adequate and well-controlled clinical trials necessary to demonstrate safety and effectiveness.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of the United States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addition to regulations in the United States, we will be subject to regulations of other countries governing our business activities, including, our clinical trials and the commercial sale and distribution of our product. Even if we obtain FDA approval for a product, we must obtain approval by the comparable regulatory authorities of countries outside of the United States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There are two types of MAs:</w:t>
      </w:r>
    </w:p>
    <w:p>
      <w:pPr>
        <w:spacing w:after="0" w:line="224" w:lineRule="exact"/>
        <w:rPr>
          <w:sz w:val="20"/>
          <w:szCs w:val="20"/>
          <w:color w:val="auto"/>
        </w:rPr>
      </w:pPr>
    </w:p>
    <w:p>
      <w:pPr>
        <w:ind w:left="1060" w:hanging="531"/>
        <w:spacing w:after="0" w:line="24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(CHMP) of the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21" w:lineRule="exact"/>
        <w:rPr>
          <w:rFonts w:ascii="Arial" w:cs="Arial" w:eastAsia="Arial" w:hAnsi="Arial"/>
          <w:sz w:val="17"/>
          <w:szCs w:val="17"/>
          <w:color w:val="auto"/>
        </w:rPr>
      </w:pPr>
    </w:p>
    <w:p>
      <w:pPr>
        <w:ind w:left="1060" w:right="240" w:hanging="531"/>
        <w:spacing w:after="0" w:line="244"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until the expiration of the market exclusivity. However, there is no guarantee that a product will be considered by the European Union's regulatory authorities to be a new chemical entity, and products may not qualify for data exclusivity.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Although we currently do not have any products on the market we are subject to additional healthcare regulation and enforcement by the federal government and by authorities in the states and foreign jurisdictions in which we conduct our business. Such laws include, without limitation, state and federal anti-kickback, fraud and abuse, false claims, physician sunshine and privacy and security laws.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Violations of this law are punishable by up to five years in prison, and can also result in criminal fines, civil money penalties, administrative penalties and exclusion from participation in federal healthcare programs.</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9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our future activities relating to the sale and marketing of our product are subject to scrutiny under this law. Penalties for the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 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99"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Also, many states have similar fraud and abuse statutes or regulations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imposed, among other things, new annual reporting requirements for covered manufacturers for certain payments and other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to the Centers for Medicare and Medicaid Services by the 90th day of each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intend to commercialize a product that could be reimbursed under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or any other laws that may apply to us, the risks cannot be entirely eliminated. If our operations are found to be in violation of any of such laws or any other governmental regulations,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namely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other in significant ways and may not have the same effect, thus complicating compliance efforts. Failure to comply with these laws, where applicable, can result in the imposition of significant civil and/or criminal penalties.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For example, in March 2010, the Affordable Care Act was passed, which has had, and is expected to continue to have, a significant impact on the healthcare industry. The Affordable Care Act was designed to expand coverage for the uninsured while at the same time containing overall healthcare costs. With regard to pharmaceutical products, among other things, the Affordable Care Act expanded and increased industry rebates for drugs covered under Medicaid programs; addressed a new methodology by which rebates owed by manufacturers under the Medicaid Drug Rebate Program are calculated for drugs that are inhaled, infused, instilled, implanted or injected; extended the rebate program to individuals enrolled in Medicaid managed care organizations; established annual fees and taxes on manufacturers of certain branded prescription drugs; and made changes to the coverage requirements under the Medicare prescription drug benefit;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Moreover,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We continue to evaluate the effect that the Affordable Care Act will have on our business. In the coming years, additional legislative and regulatory changes could be made to governmental health programs that could significantly impact pharmaceutical companies and the success of our drug candidates.</w:t>
      </w:r>
    </w:p>
    <w:p>
      <w:pPr>
        <w:spacing w:after="0" w:line="2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2% per fiscal year, which went into effect beginning on April 1, 2013 and, due to subsequent legislative amendments to the statute, will stay in effect through 2024 unless additional Congressional action is taken. Additionally, in January 2013, the American Taxpayer Relief Act of 2012 was signed into law, which, among other things, reduced Medicare payments to several providers, including hospitals, cancer treatment centers and imaging centers.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Affordable Care Act, as well as other federal and state healthcare reform measures that have been and may be adopted in the future, could harm our future revenue. We are not sure whether additional legislative changes will be enacted, or whether the current regulations, guidance or interpretations will be changed, or what the impact of such changes on our business, if any, may be.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Hatch Waxman Amendments to the FDC Act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Orange Book Listing</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Federal Food, Drug, and Cosmetic Act, or FDCA. An ANDA provides for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marketing of a drug product that has the same active ingredients, generally in the same strengths and dosage form, as the listed drug and has been shown through pharmacokinetic, or PK, testing to be 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an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drug candidate for all or some of the labeled indications for which the referenced product has been approved, as well as for any new indication sought by the 505(b)(2) applicant.</w:t>
      </w:r>
    </w:p>
    <w:p>
      <w:pPr>
        <w:spacing w:after="0" w:line="206"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Section 505(b)(2) application until the earliest of 30 months, expiration of the patent, settlement of the lawsuit, and a decision in the infringement case that is favorable to 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206"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The ANDA or Section 505(b)(2) application also will not be approved until any applicable non patent exclusivity listed in the Orange Book for the referenced product has expired.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list any patents that are eligible for listing in the Orange Book in our NDA.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Extension</w:t>
      </w:r>
    </w:p>
    <w:p>
      <w:pPr>
        <w:spacing w:after="0" w:line="2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In the United States, after NDA approval, owners of relevant drug patents may apply for up to a five year patent extension, which provides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allowable patent term extension is calculated as half of the drug's testing phase, which is the time between the IND submission becoming effective and the NDA submission, and all of the review phase, which is the time between NDA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patent certificate that would effectively extend patent protection for up to five years. In the future, if our drug candidates receive FDA approval, we expect to apply for patent term extensions on patents covering those drugs.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We do not expect third-party payors to cover and reimburse customers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with A-101 and A-102 depends on the extent to which patients will be willing to pay out of pocket for the in-office procedure using these drug candidates.</w:t>
      </w:r>
    </w:p>
    <w:p>
      <w:pPr>
        <w:spacing w:after="0" w:line="206"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By contrast, 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product.</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In the United States, no uniform policy of coverage and reimbursement for medical procedures exists among third-party payors. Therefore, coverage and reimbursement for procedures can differ significantly from payor to payor. Decisions regarding the extent of coverage and amount of reimbursement to be provided for an in-office procedure to remove warts are made on a plan by plan basis. One payor's determination to provide coverage for a procedure does not assure that other payors will also provide coverage, and adequate reimbursement.</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for procedures during which our drug candidates will be used. To the extent the procedure using our drug candidates would be covered, the cost of our drugs generally is recovered by the healthcare provider as part of the payment for performing a procedure and not separately reimbursed. Accordingly, these updates could impact the demand for our drug candidates. An example of payment updates is the Medicare program's updates to hospital and physician payments, which are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under the Medicare Physician Fee Schedule through 2014 and a 0% update from January 1 until March 31, 2015. If Congress fails to intervene to prevent the negative update factor in future years, we could face a decline in revenue to the extent any of our drug candidates receive regulatory approval and procedures using these drug candidates are covered for reimbursement.</w:t>
      </w:r>
    </w:p>
    <w:p>
      <w:pPr>
        <w:spacing w:after="0" w:line="199"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As of September 1, 2015, we had 11 employees. All of our employees are located in the United States. None of our employees is represented by a labor union or covered by a collective bargaining agreement. We consider our relationship with our employees to be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sublease approximately 9,000 square feet of space for our headquarters in Malvern, Pennsylvania under a sublease with a term through November 30, 2019, subject to renewal for at least two six-month terms. We sublease this space from an entity affiliated with some of our executive officers and directors. See "Certain Relationships and Related Party Transactions — Subleases" for a description of the terms of this sublease.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are not subject to any material legal proceedings.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our directors and executive officers, including their ages as of September 1, 2015:</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r>
      <w:tr>
        <w:trPr>
          <w:trHeight w:val="190"/>
        </w:trPr>
        <w:tc>
          <w:tcPr>
            <w:tcW w:w="30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Executive Officers: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16"/>
                <w:szCs w:val="16"/>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Neal Walker</w:t>
            </w:r>
          </w:p>
        </w:tc>
        <w:tc>
          <w:tcPr>
            <w:tcW w:w="420" w:type="dxa"/>
            <w:vAlign w:val="bottom"/>
          </w:tcPr>
          <w:p>
            <w:pPr>
              <w:jc w:val="center"/>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Scientific Officer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Legal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Frank Ruffo</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406"/>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Non-Management Directors: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Stephen A. Tullman</w:t>
            </w:r>
          </w:p>
        </w:tc>
        <w:tc>
          <w:tcPr>
            <w:tcW w:w="420" w:type="dxa"/>
            <w:vAlign w:val="bottom"/>
          </w:tcPr>
          <w:p>
            <w:pPr>
              <w:jc w:val="center"/>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Chairman of the Board of Directors</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Richard A. Bierly</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Albert Cha, M.D., Ph.D.</w:t>
            </w:r>
          </w:p>
        </w:tc>
        <w:tc>
          <w:tcPr>
            <w:tcW w:w="420" w:type="dxa"/>
            <w:vAlign w:val="bottom"/>
          </w:tcPr>
          <w:p>
            <w:pPr>
              <w:jc w:val="center"/>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Anand Mehra, M.D.</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Christopher Molineaux</w:t>
            </w:r>
          </w:p>
        </w:tc>
        <w:tc>
          <w:tcPr>
            <w:tcW w:w="420" w:type="dxa"/>
            <w:vAlign w:val="bottom"/>
          </w:tcPr>
          <w:p>
            <w:pPr>
              <w:jc w:val="center"/>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Ketan Patel, M.D.</w:t>
            </w:r>
            <w:r>
              <w:rPr>
                <w:rFonts w:ascii="Arial" w:cs="Arial" w:eastAsia="Arial" w:hAnsi="Arial"/>
                <w:sz w:val="27"/>
                <w:szCs w:val="27"/>
                <w:color w:val="auto"/>
                <w:vertAlign w:val="superscript"/>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05"/>
        </w:trPr>
        <w:tc>
          <w:tcPr>
            <w:tcW w:w="3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520" w:type="dxa"/>
            <w:vAlign w:val="bottom"/>
          </w:tcPr>
          <w:p>
            <w:pPr>
              <w:spacing w:after="0"/>
              <w:rPr>
                <w:sz w:val="9"/>
                <w:szCs w:val="9"/>
                <w:color w:val="auto"/>
              </w:rPr>
            </w:pPr>
          </w:p>
        </w:tc>
      </w:tr>
    </w:tbl>
    <w:p>
      <w:pPr>
        <w:spacing w:after="0" w:line="214" w:lineRule="exact"/>
        <w:rPr>
          <w:sz w:val="20"/>
          <w:szCs w:val="20"/>
          <w:color w:val="auto"/>
        </w:rPr>
      </w:pPr>
    </w:p>
    <w:p>
      <w:pPr>
        <w:ind w:left="1680" w:right="220" w:hanging="533"/>
        <w:spacing w:after="0" w:line="205" w:lineRule="auto"/>
        <w:tabs>
          <w:tab w:leader="none" w:pos="1680" w:val="left"/>
        </w:tabs>
        <w:numPr>
          <w:ilvl w:val="0"/>
          <w:numId w:val="62"/>
        </w:numPr>
        <w:rPr>
          <w:rFonts w:ascii="Arial" w:cs="Arial" w:eastAsia="Arial" w:hAnsi="Arial"/>
          <w:sz w:val="21"/>
          <w:szCs w:val="21"/>
          <w:color w:val="auto"/>
          <w:vertAlign w:val="superscript"/>
        </w:rPr>
      </w:pPr>
      <w:r>
        <w:rPr>
          <w:rFonts w:ascii="Arial" w:cs="Arial" w:eastAsia="Arial" w:hAnsi="Arial"/>
          <w:sz w:val="14"/>
          <w:szCs w:val="14"/>
          <w:color w:val="auto"/>
        </w:rPr>
        <w:t>This executive officer provides part-time services to another company under common control with us. Under a services agreement with NST, we are reimbursed by NST for the services provided by the executive officer to the other company. See "Certain Relationships and Related Party Transactions — Services Agreements with Ceptaris and NST" for additional information.</w:t>
      </w:r>
    </w:p>
    <w:p>
      <w:pPr>
        <w:spacing w:after="0" w:line="74"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62"/>
        </w:numPr>
        <w:rPr>
          <w:rFonts w:ascii="Arial" w:cs="Arial" w:eastAsia="Arial" w:hAnsi="Arial"/>
          <w:sz w:val="21"/>
          <w:szCs w:val="21"/>
          <w:color w:val="auto"/>
          <w:vertAlign w:val="superscript"/>
        </w:rPr>
      </w:pPr>
      <w:r>
        <w:rPr>
          <w:rFonts w:ascii="Arial" w:cs="Arial" w:eastAsia="Arial" w:hAnsi="Arial"/>
          <w:sz w:val="14"/>
          <w:szCs w:val="14"/>
          <w:color w:val="auto"/>
        </w:rPr>
        <w:t>Dr. Patel resigned from the board of directors as of the date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Neal Walker</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Neal Walker co-founded our company and has served as President and Chief Executive Officer and a member of our board of directors since our inception in July 2012. Dr. Walker co-founded NeXeption, LLC, a biopharmaceutical assets management company, in August 2012. Between July 2011 and July 2012, Dr. Walker served as a consultant to a number of pharmaceutical companies. Dr. Walker co-founded and served as President and Chief Executive Officer and a member of the board of directors of Vicept Therapeutics, Inc., a dermatology-focused specialty pharmaceutical company, from 2009 until its acquisition by Allergan, Inc. in July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Alderya Therapeutics, Inc, a publicly held biotechnology company, as well as several private biotechnology companies. Dr. Walker received his M.B.A. degree from The Wharton School, University of Pennsylvania, his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product development in dermatology and other fields, and his knowledge of the pharmaceutical industry contributed to the conclusion of our board of directors that he should serve as a director of our company.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Powala</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Christopher Powala co-founded our company and has served as our Chief Operating Officer since our inception in July 2012. Between July 2011 and July 2012, Mr. Powala served as a consultant to a number of pharmaceutical companies. Mr. Powala co-founded and served as Chief Operating Officer of Vicept Therapeutics, Inc. from 2009 until its acquisition by Allergan, Inc. in July 2011. Prior to joining Vicept Therapeutics, Inc., from 2008 to 2009, he served as Vice President, Clinical Operations &amp; Global Regulatory Affairs for Vital Therapies, Inc., a biotechnology company. From 1993 to 2008,</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Mr. Powala was with CollaGenex Pharmaceuticals, Inc, a dermatology-focused specialty pharmaceutical company, where he served as Vice President, Drug Development and Regulatory Affairs. Previously, Mr. Powala also held various positions in product development and regulatory affairs at Wyeth Laboratories, Inc. Mr. Powala received his bachelor's degree in Biology from State University of New York-Regents College.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Stuart D. Shanler, M.D.</w:t>
      </w:r>
    </w:p>
    <w:p>
      <w:pPr>
        <w:spacing w:after="0" w:line="23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Stuart D. Shanler, M.D. co-founded our company and has served as our Chief Scientific Officer since our inception in July 2012. Between July 2011 and July 2012, Dr. Shanler served as a consultant to a number of pharmaceutical companies. Dr. Shanler co-invented a topical rosacea drug for, and co-founded and served as Chief Scientific Officer of, Vicept Therapeutics, Inc. from 2009 until its acquisition by Allergan, Inc. in July 2011. Previously, Dr. Shanler was a dermatologic surgeon in private practice. Dr. Shanler is a board-certified dermatologist and received his M.D. degree from Albany Medical College of Union University and received B.S. degrees in Biology and the Biological Basis of Behavior from the University of Pennsylvania.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Kamil Ali-Jackson</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Kamil Ali-Jackson co-founded our company and has served as our Chief Legal Officer since our inception in July 2012. She also served as our Assistant Secretary from July 2012 to August 2015 and has served as our Secretary since August 2015. In addition, since May 2011, Ms. Ali-Jackson has served as the Chief Legal Officer of NeXeption, Inc. and its affiliates, and has served as the Chief Legal Officer of Alexar Therapeutics, Inc. since January 2014. From May 2011 to September 2013, Ms. Ali-Jackson served as Chief Legal Officer, Chief Compliance Officer and Secretary of Ceptaris Therapeutics, Inc., a biotechnology company. From October 2010 to September 2011, she was a consultant to a private specialty pharmaceutical company. From 2006 to May 2010, she served as General Counsel and Corporate Secretary of Ception Therapeutics, Inc., a biotechnology company that was acquired by Cephalon, Inc. Previously, Ms. Ali-Jackson served as legal counsel and a licensing business executive for a number of pharmaceutical companies, including Merck &amp; Co., Inc., Dr. Reddy's Laboratories Inc. and Endo Pharmaceuticals, Inc. Ms. Ali-Jackson received her J.D. degree from Harvard Law School and A.B. degree in Politics from Princeton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Frank Ruffo</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Frank Ruffo co-founded our company and has served as our Chief Financial Officer since our inception in July 2012. He previously served as our Secretary from July 2015 to August 2015. Mr. Ruffo also served part-time as the Chief Financial Officer of VenatoRx Pharmaceuticals Inc., a pharmaceutical company, from October 2011 to November 2014 and the Chief Financial Officer of BioLeap, Inc. from January 2010 to January 2013. Prior to joining our company, Mr. Ruffo co-founded and served as Chief Financial Officer of Vicept Therapeutics, Inc. from 2009 until its acquisition by Allergan, Inc. in July 2011. Prior to joining Vicept Therapeutics, Inc., from 1996 to 2008, Mr. Ruffo served as the Vice President, Finance and Controller of CollaGenex Pharmaceuticals, Inc. He is a former Certified Public Accountant (certification voluntarily went inactive in 2008). Mr. Ruffo received a B.S. degree in Accounting from LaSalle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Non-Management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 A. Tullman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Stephen A. Tullman has served as Chairman of our board of directors since August 2012. Mr. Tullman co-founded NeXeption, Inc. in May 2011 and NeXeption, LLC in August 2012 and currently serves as the managing member of NeXeption, LLC. He previously served as Chairman, President and Chief Executive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Officer of Ceptaris Therapeutics, Inc., a biopharmaceutical company, from May 2011 until its acquisition by Actelion US Holdings Company, a subsidiary of Actelion Ltd, in September 2013. Mr. Tullman served as Chairman of Vicept Therapeutics, Inc. from 2009 until its acquisition by Allergan, Inc. in July 2011. In 2005, Mr. Tullman co-founded Ception Therapeutics, Inc. and served as its President and Chief Executive Officer until its acquisition by Cephalon, Inc. in 2010. In 2003, Mr. Tullman co-founded Trigenesis Therapeutics, Inc., where he served as its Chief Business Officer (acquired by Dr. Reddy's Laboratories Inc.) Mr. Tullman began his career at SmithKline Beecham, a pharmaceutical company, where he held positions of increasing responsibility in finance, sales, marketing, and research and development. Mr. Tullman currently serves as the chairman of the board of directors of Alexar Therapeutics, Inc., a specialty dermatology company, and on the boards of directors of several other privately held companies.</w:t>
      </w:r>
    </w:p>
    <w:p>
      <w:pPr>
        <w:spacing w:after="0" w:line="2"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Mr. Tullman received a B.S. degree in Accounting from Rutgers University. Our board of directors believes that Mr. Tullman's leadership, executive, managerial and business experience with several life sciences companies qualify him to serve as a director of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Richard A. Bierly</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Richard A. Bierly was appointed to our board of directors as of the date of this prospectus. Mr. Bierly has served as the chief financial officer of Medivation, Inc., a publicly traded biopharmaceutical company, since March 2014. Mr. Bierly served as an executive director in Ernst &amp; Young LLP's Financial Accounting Advisory Services practice for life sciences and other clients from September 2013 to March 2014. From 1999 to 2012, he served in several leadership roles at Johnson &amp; Johnson, including from August 2010 to 2012 as vice president, global finance services. At Johnson &amp; Johnson, Mr. Bierly also served as vice president, finance of Centocor, Inc., and as vice president, finance, of Ortho Biotech LP, both subsidiaries of Johnson &amp; Johnson. Mr. Bierly received his Bachelor of Business Administration degree from Pennsylvania State University and is a certified public accountant. Our board of directors believes that Mr. Bierly's financial acumen and substantial biotechnology industry experience qualify him to serve as a director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Cha, M.D., Ph.D.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Albert Cha, M.D., Ph.D. has served as a member of our board of directors since August 2012. In 2000, Dr. Cha joined Vivo Capital, a healthcare investment firm, where he has served in various positions, and he currently serves as a managing partner. Dr. Cha currently serves as a member of the boards of directors of several privately held biotechnology and medical device companies. Dr. Cha holds B.S. and M.S. degrees in Electrical Engineering from Stanford University and an M.D. degree and Ph.D. degree in Neuroscience from the University of California at Los Angeles. Our board of directors believes that Dr. Cha's substantial experience with companies in the healthcare sector and his financial and business experience qualify him to serve as a director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Anand Mehra, M.D.</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Anand Mehra, M.D. has served as a member of our board of directors since September 2014. Dr. Mehra joined Sofinnova Ventures, a venture capital firm, in 2007 and currently serves as a general partner. Prior to joining Sofinnova, Dr. Mehra worked in J.P. Morgan's private equity and venture capital group, and before that, Dr. Mehra was a consultant in McKinsey &amp; Company's pharmaceutical practice. Dr. Mehra currently serves on the boards of directors of the publicly held companies Spark Therapeutics, Inc., Aerie Pharmaceuticals, Inc. and Marinus Pharmaceuticals, Inc., as well as several private companies. Dr. Mehra received his B.A. degree in political philosophy from the University of Virginia and an M.D. degree from Columbia University's College of Physicians and Surgeons. Our board of directors believes that Dr. Mehra is qualified to serve on our board of directors because of his extensive experience in the life sciences industry, his service on the boards of directors of other public life sciences companies and his extensive leadership experience.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Molineaux</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Christopher Molineaux has served as a member of our board of directors since January 2014. Since 2009, Mr. Molineaux has served as President and Chief Executive Officer of Pennsylvania BIO, a pharmaceutical and biotech industry advocacy organization. Prior to joining Pennsylvania BIO, Mr. Molineaux served as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worldwide Vice President of pharmaceutical communication and public affairs for Johnson &amp; Johnson. Mr. Molineaux previously served as Vice President for Public Affairs at the Pharmaceutical Research and Manufacturers Association. He holds a B.A. degree from the College of the Holy Cross. Our board of directors believes that Mr. Molineaux's substantial pharmaceutical and biotechnology industry experience qualifies him to serve as a director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Ketan Patel, M.D.</w:t>
      </w:r>
    </w:p>
    <w:p>
      <w:pPr>
        <w:spacing w:after="0" w:line="231"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Ketan Patel, M.D. served as a member of our board of directors from August 2012 to October 2015. In 2007, Dr. Patel joined Fidelity Biosciences, an investment firm, where he currently serves as principal. Previously, he was an engagement manager in the MEDACorp consulting division of Leerink Swann &amp; Company. Prior to this, Dr. Patel was a physician at the Weill-Cornell Medical Center of New York Presbyterian Hospital and at the Memorial Sloan Kettering Cancer Center. He received his B.A. degree in biology and economics at Rutgers University and his M.D. degree from Tufts University School of Medicine.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board of directors currently consists of six members. Mr. Tullman is the chairman of our board of directors. Each director is currently elected to the board for a one-year term, to serve until the election and qualification of successor directors at the annual meeting of stockholders, or until the director's earlier removal, resignation or death.</w:t>
      </w:r>
    </w:p>
    <w:p>
      <w:pPr>
        <w:spacing w:after="0" w:line="19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directors were elected to and currently serve on the board pursuant to a voting agreement among us and several of our largest stockholders. This agreement will terminate upon the closing of this offering, after which there will be no further contractual obligations regarding the election of our directors.</w:t>
      </w:r>
    </w:p>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which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12" w:lineRule="exact"/>
        <w:rPr>
          <w:sz w:val="20"/>
          <w:szCs w:val="20"/>
          <w:color w:val="auto"/>
        </w:rPr>
      </w:pPr>
    </w:p>
    <w:p>
      <w:pPr>
        <w:ind w:left="1060" w:right="140" w:hanging="531"/>
        <w:spacing w:after="0" w:line="25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Class I, which will consist of Neal Walker and Albert Cha, and their term will expire at our first annual meeting of stockholders to be held after the closing of this offering;</w:t>
      </w:r>
    </w:p>
    <w:p>
      <w:pPr>
        <w:spacing w:after="0" w:line="205" w:lineRule="exact"/>
        <w:rPr>
          <w:rFonts w:ascii="Arial" w:cs="Arial" w:eastAsia="Arial" w:hAnsi="Arial"/>
          <w:sz w:val="17"/>
          <w:szCs w:val="17"/>
          <w:color w:val="auto"/>
        </w:rPr>
      </w:pPr>
    </w:p>
    <w:p>
      <w:pPr>
        <w:ind w:left="1060" w:right="840" w:hanging="531"/>
        <w:spacing w:after="0" w:line="25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Class II, which will consist of Anand Mehra and Stephen A. Tullman, and their term will expire at our second annual meeting of stockholders to be held after the closing of this offering; and</w:t>
      </w:r>
    </w:p>
    <w:p>
      <w:pPr>
        <w:spacing w:after="0" w:line="192"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Class III, which will consist of Richard A. Bierly and Christopher Molineaux, and their term will expire at our third annual meeting of stockholders to be held after the closing of this offering.</w:t>
      </w:r>
    </w:p>
    <w:p>
      <w:pPr>
        <w:spacing w:after="0" w:line="193"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99"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a change of our management or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31" w:lineRule="exact"/>
        <w:rPr>
          <w:sz w:val="20"/>
          <w:szCs w:val="20"/>
          <w:color w:val="auto"/>
        </w:rPr>
      </w:pPr>
    </w:p>
    <w:p>
      <w:pPr>
        <w:jc w:val="both"/>
        <w:ind w:right="220"/>
        <w:spacing w:after="0" w:line="245" w:lineRule="auto"/>
        <w:rPr>
          <w:sz w:val="20"/>
          <w:szCs w:val="20"/>
          <w:color w:val="auto"/>
        </w:rPr>
      </w:pPr>
      <w:r>
        <w:rPr>
          <w:rFonts w:ascii="Arial" w:cs="Arial" w:eastAsia="Arial" w:hAnsi="Arial"/>
          <w:sz w:val="17"/>
          <w:szCs w:val="17"/>
          <w:color w:val="auto"/>
        </w:rPr>
        <w:t>Our board of directors has undertaken a review of the independence of the directors and considered whether any director has a material relationship with us that could compromise his ability to exercise independent judgment in carrying out his responsibilities. As a result of this review, our board of directors has determined that Messrs. Molineaux and Bierly and Drs. Cha and Mehra, representing four of our six current directors, are "independent directors" as defined under NASDAQ rules.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Our board of directors has established an audit committee, a compensation committee and a nominating and corporate governance committee, each of which has the composition and responsibilities described below. From time to time, the board may establish other committees to facilitate the management of our business. A copy of each committee's charter will be posted on our website, </w:t>
      </w:r>
      <w:r>
        <w:rPr>
          <w:rFonts w:ascii="Arial" w:cs="Arial" w:eastAsia="Arial" w:hAnsi="Arial"/>
          <w:sz w:val="17"/>
          <w:szCs w:val="17"/>
          <w:i w:val="1"/>
          <w:iCs w:val="1"/>
          <w:color w:val="auto"/>
        </w:rPr>
        <w:t>www.aclaristx.com</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audit committee reviews our internal accounting procedures and consults with and reviews the services provided by our independent registered public accountants. Our audit committee consists of three directors, Richard A. Bierly, Anand Mehra and Christopher Molineaux. Mr. Bierly is the chairman of the audit committee and our board of directors has determined that Mr. Bierly is an "audit committee financial expert" as defined by SEC rules and regulations. Our board of directors has determined that each of Messrs. Bierly and Molineaux and Dr. Mehra are independent directors under NASDAQ listing rules and under Rule 10A-3 under the Exchange Act, as amended. We intend to continue to evaluate the requirements applicable to us and we intend to comply with future requirements to the extent that they become applicable to our audit committee. The principal duties and responsibilities of our audit committee include:</w:t>
      </w:r>
    </w:p>
    <w:p>
      <w:pPr>
        <w:spacing w:after="0" w:line="214" w:lineRule="exact"/>
        <w:rPr>
          <w:sz w:val="20"/>
          <w:szCs w:val="20"/>
          <w:color w:val="auto"/>
        </w:rPr>
      </w:pPr>
    </w:p>
    <w:p>
      <w:pPr>
        <w:ind w:left="1060" w:right="82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appointing and retaining an independent registered public accounting firm to serve as independent auditor to audit our financial statements, overseeing the independent auditor's work and determining the independent auditor's compensation;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approving in advance all audit services and non-audit services to be provided to us by our independent auditor;</w:t>
      </w:r>
    </w:p>
    <w:p>
      <w:pPr>
        <w:spacing w:after="0" w:line="210"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198"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auditor the results of the annual audit and the independent auditor's review of our quarterly financial statements; and</w:t>
      </w:r>
    </w:p>
    <w:p>
      <w:pPr>
        <w:spacing w:after="0" w:line="205" w:lineRule="exact"/>
        <w:rPr>
          <w:rFonts w:ascii="Arial" w:cs="Arial" w:eastAsia="Arial" w:hAnsi="Arial"/>
          <w:sz w:val="17"/>
          <w:szCs w:val="17"/>
          <w:color w:val="auto"/>
        </w:rPr>
      </w:pPr>
    </w:p>
    <w:p>
      <w:pPr>
        <w:ind w:left="1060" w:right="62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compensation committee reviews and determines the compensation of all our executive officers. Our compensation committee consists of two directors, Albert Cha and Christopher Molineaux, each of whom is a non-employee member of our board of directors as defined in Rule 16b-3 under the Exchange Act. Dr. Cha is the chairman of the compensation committee. Our board of directors has determined that the composition of our compensation committee satisfies the applicable independence requirements under, and the functioning of our compensation committee complies with the applicable requirements of, stock exchange listing rules and SEC rules and regulations. We intend to continue to evaluate and intend to comply with all future requirements applicable to our compensation committee. The principal duties and responsibilities of our compensation committee include:</w:t>
      </w:r>
    </w:p>
    <w:p>
      <w:pPr>
        <w:spacing w:after="0" w:line="215" w:lineRule="exact"/>
        <w:rPr>
          <w:sz w:val="20"/>
          <w:szCs w:val="20"/>
          <w:color w:val="auto"/>
        </w:rPr>
      </w:pPr>
    </w:p>
    <w:p>
      <w:pPr>
        <w:ind w:left="1060" w:right="60" w:hanging="531"/>
        <w:spacing w:after="0" w:line="245"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setting the compensation of our other executive officers, based in part on recommendations of the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exercising administrative authority under our stock plans and employee benefit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establishing policies and making recommendations to our board of directors regarding director compensation;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that we may be required from time to time to include in SEC filings; and</w:t>
      </w:r>
    </w:p>
    <w:p>
      <w:pPr>
        <w:spacing w:after="0" w:line="205"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preparing a compensation committee report on executive compensation as may be required from time to time to be included in our annual proxy statements or annual reports on Form 10-K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nominating and corporate governance committee consists of two directors, Albert Cha and Christopher Molineaux. Mr. Molineaux is the chairman of the nominating and corporate governance committee. Our board of directors has determined that the composition of our nominating and corporate governance committee satisfies the applicable independence requirements under, and the functioning of our nominating and corporate governance committee complies with the applicable requirements of, stock exchange listing standards and SEC rules and regulations. We will continue to evaluate and will comply with all future requirements applicable to our nominating and corporate governance committee. The nominating and corporate governance committee's responsibilities include:</w:t>
      </w:r>
    </w:p>
    <w:p>
      <w:pPr>
        <w:spacing w:after="0" w:line="215"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assessing the need for new directors and identifying individuals qualified to become directors;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assessing individual director performance, participation and qualifications;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developing and recommending to the board corporate governance principles;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monitoring the effectiveness of the board and the quality of the relationship between management and the board;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overseeing an annual evaluation of the board's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for Employees, Executive Officers and Directors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We have adopted a Code of Business Conduct and Ethics, or the Code of Conduct, applicable to all of our employees, executive officers and directors. The Code of Conduct will be available on our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With the exception of payments to NST Consulting, LLC for the services of Mr. Tullman, the chairman of our board of directors, we have not historically paid cash retainers or other cash compensation with respect to service on our board of directors, except for reimbursement of direct expenses incurred in connection with attending meetings of the board or committees. In January, August and December 2014 and August 2015, we awarded options to purchase 8,695 shares, 482 shares, 1,054 shares and 7,385 shares, respectively, of our common stock to Mr. Molineaux at exercise prices of $0.41, $0.72, $1.52 and $10.66 per share, respectively. In August and December 2014 and August 2015, we awarded options to purchase 19,283 shares, 43,478 shares and 22,180 shares of our common stock, respectively, to Mr. Tullman at exercise prices of $0.72, $1.52 and $10.66 per share, respectively. Other than Messrs. Molineaux and Tullman, none of our non-employee directors held any options to purchase our common stock as of December 31, 2014.</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The following table sets forth information regarding compensation earned for service on our board of directors during the year ended December 31, 2014 by our non-employee directors. Dr. Walker, our President and Chief Executive Officer, is also a director but does not receive any additional compensation for his service as director. Dr. Walker's compensation as an executive officer is set forth below under "Executive Compensation —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Fees Earned</w:t>
            </w: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Non-equity</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or Paid</w:t>
            </w:r>
          </w:p>
        </w:tc>
        <w:tc>
          <w:tcPr>
            <w:tcW w:w="1160" w:type="dxa"/>
            <w:vAlign w:val="bottom"/>
            <w:gridSpan w:val="2"/>
            <w:vMerge w:val="continue"/>
          </w:tcPr>
          <w:p>
            <w:pPr>
              <w:spacing w:after="0"/>
              <w:rPr>
                <w:sz w:val="12"/>
                <w:szCs w:val="12"/>
                <w:color w:val="auto"/>
              </w:rPr>
            </w:pPr>
          </w:p>
        </w:tc>
        <w:tc>
          <w:tcPr>
            <w:tcW w:w="15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9"/>
              </w:rPr>
              <w:t>Incentive Plan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440"/>
              <w:spacing w:after="0" w:line="17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(1)</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Compensation</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Stephen A. Tullman</w:t>
            </w:r>
          </w:p>
        </w:tc>
        <w:tc>
          <w:tcPr>
            <w:tcW w:w="13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4"/>
                <w:szCs w:val="14"/>
                <w:color w:val="auto"/>
              </w:rPr>
              <w:t>100,000</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92,559</w:t>
            </w:r>
            <w:r>
              <w:rPr>
                <w:rFonts w:ascii="Arial" w:cs="Arial" w:eastAsia="Arial" w:hAnsi="Arial"/>
                <w:sz w:val="22"/>
                <w:szCs w:val="22"/>
                <w:color w:val="auto"/>
                <w:vertAlign w:val="superscript"/>
              </w:rPr>
              <w:t>(3)</w:t>
            </w:r>
          </w:p>
        </w:tc>
        <w:tc>
          <w:tcPr>
            <w:tcW w:w="152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30,000</w:t>
            </w:r>
            <w:r>
              <w:rPr>
                <w:rFonts w:ascii="Arial" w:cs="Arial" w:eastAsia="Arial" w:hAnsi="Arial"/>
                <w:sz w:val="22"/>
                <w:szCs w:val="22"/>
                <w:color w:val="auto"/>
                <w:vertAlign w:val="superscript"/>
              </w:rPr>
              <w:t>(4)</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222,559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Albert Cha</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Ketan Patel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Christopher Molineaux</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97" w:lineRule="exact"/>
              <w:rPr>
                <w:sz w:val="20"/>
                <w:szCs w:val="20"/>
                <w:color w:val="auto"/>
              </w:rPr>
            </w:pPr>
            <w:r>
              <w:rPr>
                <w:rFonts w:ascii="Arial" w:cs="Arial" w:eastAsia="Arial" w:hAnsi="Arial"/>
                <w:sz w:val="14"/>
                <w:szCs w:val="14"/>
                <w:color w:val="auto"/>
              </w:rPr>
              <w:t>5,407</w:t>
            </w:r>
            <w:r>
              <w:rPr>
                <w:rFonts w:ascii="Arial" w:cs="Arial" w:eastAsia="Arial" w:hAnsi="Arial"/>
                <w:sz w:val="22"/>
                <w:szCs w:val="22"/>
                <w:color w:val="auto"/>
                <w:vertAlign w:val="superscript"/>
              </w:rPr>
              <w:t>(5)</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5,407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Anand Mehra</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100" w:hanging="533"/>
        <w:spacing w:after="0" w:line="212" w:lineRule="auto"/>
        <w:tabs>
          <w:tab w:leader="none" w:pos="16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options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director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200" w:hanging="533"/>
        <w:spacing w:after="0" w:line="194" w:lineRule="auto"/>
        <w:tabs>
          <w:tab w:leader="none" w:pos="16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Represents the portion of Mr. Tullman's salary paid by NST Consulting, LLC that we reimburse pursuant to our services agreement with them. See "Certain Relationships and Related Party Transactions — Services Agreements with Ceptaris and NST."</w:t>
      </w:r>
    </w:p>
    <w:p>
      <w:pPr>
        <w:spacing w:after="0" w:line="146" w:lineRule="exact"/>
        <w:rPr>
          <w:rFonts w:ascii="Arial" w:cs="Arial" w:eastAsia="Arial" w:hAnsi="Arial"/>
          <w:sz w:val="21"/>
          <w:szCs w:val="21"/>
          <w:color w:val="auto"/>
          <w:vertAlign w:val="superscript"/>
        </w:rPr>
      </w:pPr>
    </w:p>
    <w:p>
      <w:pPr>
        <w:ind w:left="1680" w:right="200" w:hanging="533"/>
        <w:spacing w:after="0" w:line="194" w:lineRule="auto"/>
        <w:tabs>
          <w:tab w:leader="none" w:pos="16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Tullman held options to purchase 62,761 shares of our common stock. 25% of the total shares underlying these options vest one year from the grant date and the remaining shares vest in 36 equal monthly installments thereafter.</w:t>
      </w:r>
    </w:p>
    <w:p>
      <w:pPr>
        <w:spacing w:after="0" w:line="146" w:lineRule="exact"/>
        <w:rPr>
          <w:rFonts w:ascii="Arial" w:cs="Arial" w:eastAsia="Arial" w:hAnsi="Arial"/>
          <w:sz w:val="21"/>
          <w:szCs w:val="21"/>
          <w:color w:val="auto"/>
          <w:vertAlign w:val="superscript"/>
        </w:rPr>
      </w:pPr>
    </w:p>
    <w:p>
      <w:pPr>
        <w:ind w:left="1680" w:right="260" w:hanging="533"/>
        <w:spacing w:after="0" w:line="205" w:lineRule="auto"/>
        <w:tabs>
          <w:tab w:leader="none" w:pos="16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Mr. Tullman is eligible to receive a target bonus for up to 30% of the amounts we pay to NST Consulting, LLC for his services provided to us. Mr. Tullman's bonus is based upon our achievement of specified corporate goals. Based on our level of achievement for 2014, our compensation committee awarded Mr. Tullman 100% of his target bonus.</w:t>
      </w:r>
    </w:p>
    <w:p>
      <w:pPr>
        <w:spacing w:after="0" w:line="147" w:lineRule="exact"/>
        <w:rPr>
          <w:rFonts w:ascii="Arial" w:cs="Arial" w:eastAsia="Arial" w:hAnsi="Arial"/>
          <w:sz w:val="21"/>
          <w:szCs w:val="21"/>
          <w:color w:val="auto"/>
          <w:vertAlign w:val="superscript"/>
        </w:rPr>
      </w:pPr>
    </w:p>
    <w:p>
      <w:pPr>
        <w:ind w:left="1680" w:right="40" w:hanging="533"/>
        <w:spacing w:after="0" w:line="194" w:lineRule="auto"/>
        <w:tabs>
          <w:tab w:leader="none" w:pos="16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Molineaux held options to purchase 10,231 shares of common stock. 25% of the total shares underlying these options vest one year from the grant date and the remaining shares vest in 36 equal monthly installments thereafter.</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September 2015, our board of directors appointed Richard Bierly as a director of our company, effective upon the pricing of this offering. In connection with this appointment, our compensation committee approved the grant of an option to Mr. Bierly to purchase 17,800 shares of our common stock, which option grant became effective upon the pricing of this offering and which has an exercise price of $11.00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anticipation of this offering and the increased responsibilities of our directors as directors of a public company, our compensation committee has adopted a non-employee director compensation policy, pursuant to which each of our directors who is not an employee of our company or an affiliate of our company, which as of the date of this prospectus is all directors other than Messrs. Walker and Tullman, will be eligible to receive compensation for service on our board of directors and committees of our board of directors. With respect to Mr. Tullman, the chairman of our board of directors, we will continue to pay Mr. Tullman in the amount of $100,000 per year for Mr. Tullman's services to us as chairman. However, following the closing of this offering, Mr. Tullman will no longer be eligible to receive an annual bonus.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Compensation</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Each non-employee director will receive an annual cash retainer of $35,000 for serving on our board of directors. The chairperson and members of the audit, compensation and nominating and corporate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governance committees of our board of directors will be entitled to the following annual cash retainers (the chairperson fees are in addition to the member fees on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Chairperson</w:t>
            </w:r>
          </w:p>
        </w:tc>
        <w:tc>
          <w:tcPr>
            <w:tcW w:w="160" w:type="dxa"/>
            <w:vAlign w:val="bottom"/>
          </w:tcPr>
          <w:p>
            <w:pPr>
              <w:spacing w:after="0"/>
              <w:rPr>
                <w:sz w:val="14"/>
                <w:szCs w:val="14"/>
                <w:color w:val="auto"/>
              </w:rPr>
            </w:pPr>
          </w:p>
        </w:tc>
        <w:tc>
          <w:tcPr>
            <w:tcW w:w="260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rPr>
              <w:t>Member</w:t>
            </w:r>
          </w:p>
        </w:tc>
      </w:tr>
      <w:tr>
        <w:trPr>
          <w:trHeight w:val="169"/>
        </w:trPr>
        <w:tc>
          <w:tcPr>
            <w:tcW w:w="17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Board Committee</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19"/>
              <w:spacing w:after="0"/>
              <w:rPr>
                <w:sz w:val="20"/>
                <w:szCs w:val="20"/>
                <w:color w:val="auto"/>
              </w:rPr>
            </w:pPr>
            <w:r>
              <w:rPr>
                <w:rFonts w:ascii="Arial" w:cs="Arial" w:eastAsia="Arial" w:hAnsi="Arial"/>
                <w:sz w:val="14"/>
                <w:szCs w:val="14"/>
                <w:b w:val="1"/>
                <w:bCs w:val="1"/>
                <w:color w:val="auto"/>
              </w:rPr>
              <w:t>Fee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9"/>
              </w:rPr>
              <w:t>Fee</w:t>
            </w:r>
          </w:p>
        </w:tc>
      </w:tr>
      <w:tr>
        <w:trPr>
          <w:trHeight w:val="20"/>
        </w:trPr>
        <w:tc>
          <w:tcPr>
            <w:tcW w:w="1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49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Audit Committee</w:t>
            </w:r>
          </w:p>
        </w:tc>
        <w:tc>
          <w:tcPr>
            <w:tcW w:w="1340" w:type="dxa"/>
            <w:vAlign w:val="bottom"/>
            <w:gridSpan w:val="2"/>
            <w:shd w:val="clear" w:color="auto" w:fill="CCEEFF"/>
          </w:tcPr>
          <w:p>
            <w:pPr>
              <w:ind w:left="114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9,000</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7,500</w:t>
            </w:r>
          </w:p>
        </w:tc>
        <w:tc>
          <w:tcPr>
            <w:tcW w:w="16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6700" w:type="dxa"/>
            <w:vAlign w:val="bottom"/>
            <w:gridSpan w:val="3"/>
          </w:tcPr>
          <w:p>
            <w:pPr>
              <w:ind w:left="1720"/>
              <w:spacing w:after="0"/>
              <w:rPr>
                <w:sz w:val="20"/>
                <w:szCs w:val="20"/>
                <w:color w:val="auto"/>
              </w:rPr>
            </w:pPr>
            <w:r>
              <w:rPr>
                <w:rFonts w:ascii="Arial" w:cs="Arial" w:eastAsia="Arial" w:hAnsi="Arial"/>
                <w:sz w:val="17"/>
                <w:szCs w:val="17"/>
                <w:color w:val="auto"/>
              </w:rPr>
              <w:t>Compensation Committee</w:t>
            </w:r>
          </w:p>
        </w:tc>
        <w:tc>
          <w:tcPr>
            <w:tcW w:w="13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Nominating and Corporate Governance Committee</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All annual cash compensation amounts will be payable in equal quarterly installments in arrears, on the last day of each fiscal quarter for which the service occurred, pro-rated based on the days served in the applicable fiscal quarter.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w:t>
      </w:r>
    </w:p>
    <w:p>
      <w:pPr>
        <w:spacing w:after="0" w:line="211" w:lineRule="exact"/>
        <w:rPr>
          <w:sz w:val="20"/>
          <w:szCs w:val="20"/>
          <w:color w:val="auto"/>
        </w:rPr>
      </w:pPr>
    </w:p>
    <w:p>
      <w:pPr>
        <w:ind w:right="40" w:firstLine="379"/>
        <w:spacing w:after="0" w:line="257" w:lineRule="auto"/>
        <w:rPr>
          <w:sz w:val="20"/>
          <w:szCs w:val="20"/>
          <w:color w:val="auto"/>
        </w:rPr>
      </w:pPr>
      <w:r>
        <w:rPr>
          <w:rFonts w:ascii="Arial" w:cs="Arial" w:eastAsia="Arial" w:hAnsi="Arial"/>
          <w:sz w:val="17"/>
          <w:szCs w:val="17"/>
          <w:i w:val="1"/>
          <w:iCs w:val="1"/>
          <w:color w:val="auto"/>
        </w:rPr>
        <w:t xml:space="preserve">Initial Grant. </w:t>
      </w:r>
      <w:r>
        <w:rPr>
          <w:rFonts w:ascii="Arial" w:cs="Arial" w:eastAsia="Arial" w:hAnsi="Arial"/>
          <w:sz w:val="17"/>
          <w:szCs w:val="17"/>
          <w:color w:val="auto"/>
        </w:rPr>
        <w:t>Each new non-employee director who joins our board of directors after the closing of this offering will be granted a non-statutory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to purchase a number of shares of common stock under our 2015 Plan such that the option has a Black-Scholes value as of the grant date of $160,000, vesting monthly over three years from the grant date, subject to continued service as a director through the applicable vesting date.</w:t>
      </w:r>
    </w:p>
    <w:p>
      <w:pPr>
        <w:spacing w:after="0" w:line="172" w:lineRule="exact"/>
        <w:rPr>
          <w:sz w:val="20"/>
          <w:szCs w:val="20"/>
          <w:color w:val="auto"/>
        </w:rPr>
      </w:pPr>
    </w:p>
    <w:p>
      <w:pPr>
        <w:ind w:right="20" w:firstLine="373"/>
        <w:spacing w:after="0" w:line="252" w:lineRule="auto"/>
        <w:rPr>
          <w:sz w:val="20"/>
          <w:szCs w:val="20"/>
          <w:color w:val="auto"/>
        </w:rPr>
      </w:pPr>
      <w:r>
        <w:rPr>
          <w:rFonts w:ascii="Arial" w:cs="Arial" w:eastAsia="Arial" w:hAnsi="Arial"/>
          <w:sz w:val="17"/>
          <w:szCs w:val="17"/>
          <w:i w:val="1"/>
          <w:iCs w:val="1"/>
          <w:color w:val="auto"/>
        </w:rPr>
        <w:t xml:space="preserve">Annual Grant. </w:t>
      </w:r>
      <w:r>
        <w:rPr>
          <w:rFonts w:ascii="Arial" w:cs="Arial" w:eastAsia="Arial" w:hAnsi="Arial"/>
          <w:sz w:val="17"/>
          <w:szCs w:val="17"/>
          <w:color w:val="auto"/>
        </w:rPr>
        <w:t>On the date of each annual meeting of our stockholders, each non-employee director who continues to serve as a director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following the meeting will be granted a non-statutory stock option to purchase a number of shares of common stock under our 2015 equity incentive plan, or our 2015 plan, such that the option has a Black-Scholes value as of the grant date of $90,000, vesting monthly over one year from the grant date, subject to continued service as a director though the applicable vesting date.</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exercise price per share of each stock option granted under the non-employee director compensation policy will be equal to the closing price of our common stock on The NASDAQ Global Select Market on the date of the option grant. Each stock option will have a term of ten years from the date of grant, subject to earlier termination in connection with a termination of the non-employee director's continuous service with us.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and our two other most highly compensated executive officers for the year ended December 31, 2014 were:</w:t>
      </w:r>
    </w:p>
    <w:p>
      <w:pPr>
        <w:spacing w:after="0" w:line="224"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Neal Walker, our President and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Christopher Powala, our Chief Operating Officer;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Stuart Shanler, our Chief Scientific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these executive officers in this prospectus as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table presents the compensation awarded to, earned by or paid to each of our named executive officers for the year ended December 31, 2014. Under a services agreement, we provided the part-time services of Mr. Powala and Dr. Shanler to Alexar Therapeutics, Inc., a company under common control with us, and NST reimbursed us for these services based on the percentage of time the named executive officer spent on matters related to Alexar Therapeutics, Inc. The salary amounts set forth in the table below represent the total salary earned by the named executive officer during the year ended December 31, 2014, including amounts reimbursed by NST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6"/>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Compensation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r>
      <w:tr>
        <w:trPr>
          <w:trHeight w:val="18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center"/>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6"/>
                <w:szCs w:val="16"/>
                <w:color w:val="auto"/>
              </w:rPr>
            </w:pPr>
          </w:p>
        </w:tc>
        <w:tc>
          <w:tcPr>
            <w:tcW w:w="980" w:type="dxa"/>
            <w:vAlign w:val="bottom"/>
          </w:tcPr>
          <w:p>
            <w:pPr>
              <w:jc w:val="center"/>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6"/>
                <w:szCs w:val="16"/>
                <w:color w:val="auto"/>
              </w:rPr>
            </w:pPr>
          </w:p>
        </w:tc>
        <w:tc>
          <w:tcPr>
            <w:tcW w:w="980" w:type="dxa"/>
            <w:vAlign w:val="bottom"/>
          </w:tcPr>
          <w:p>
            <w:pPr>
              <w:jc w:val="center"/>
              <w:ind w:right="246"/>
              <w:spacing w:after="0" w:line="187"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(3)</w:t>
            </w:r>
          </w:p>
        </w:tc>
        <w:tc>
          <w:tcPr>
            <w:tcW w:w="16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339,900</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241,420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101,970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10,400</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693,690</w:t>
            </w:r>
          </w:p>
        </w:tc>
        <w:tc>
          <w:tcPr>
            <w:tcW w:w="1180" w:type="dxa"/>
            <w:vAlign w:val="bottom"/>
          </w:tcPr>
          <w:p>
            <w:pPr>
              <w:spacing w:after="0"/>
              <w:rPr>
                <w:sz w:val="16"/>
                <w:szCs w:val="16"/>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President and Chief Executive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409"/>
        </w:trPr>
        <w:tc>
          <w:tcPr>
            <w:tcW w:w="334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820" w:type="dxa"/>
            <w:vAlign w:val="bottom"/>
            <w:gridSpan w:val="3"/>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300,760</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79,875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90,228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10,400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481,263</w:t>
            </w:r>
          </w:p>
        </w:tc>
        <w:tc>
          <w:tcPr>
            <w:tcW w:w="1180" w:type="dxa"/>
            <w:vAlign w:val="bottom"/>
          </w:tcPr>
          <w:p>
            <w:pPr>
              <w:spacing w:after="0"/>
              <w:rPr>
                <w:sz w:val="24"/>
                <w:szCs w:val="24"/>
                <w:color w:val="auto"/>
              </w:rPr>
            </w:pPr>
          </w:p>
        </w:tc>
      </w:tr>
      <w:tr>
        <w:trPr>
          <w:trHeight w:val="194"/>
        </w:trPr>
        <w:tc>
          <w:tcPr>
            <w:tcW w:w="33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Chief Operating Officer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06"/>
        </w:trPr>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283,250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77,602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489,827</w:t>
            </w:r>
          </w:p>
        </w:tc>
        <w:tc>
          <w:tcPr>
            <w:tcW w:w="1180" w:type="dxa"/>
            <w:vAlign w:val="bottom"/>
          </w:tcPr>
          <w:p>
            <w:pPr>
              <w:spacing w:after="0"/>
              <w:rPr>
                <w:sz w:val="24"/>
                <w:szCs w:val="24"/>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7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4" w:lineRule="exact"/>
        <w:rPr>
          <w:sz w:val="20"/>
          <w:szCs w:val="20"/>
          <w:color w:val="auto"/>
        </w:rPr>
      </w:pPr>
    </w:p>
    <w:p>
      <w:pPr>
        <w:ind w:left="1680" w:right="80" w:hanging="533"/>
        <w:spacing w:after="0" w:line="212"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awards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executive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400" w:hanging="533"/>
        <w:spacing w:after="0" w:line="194"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amounts reflect the bonus paid based on the achievement of specified corporate goals, as discussed further below under "— Narrative to Summary Compensation Table — Annual Bonus.</w:t>
      </w:r>
    </w:p>
    <w:p>
      <w:pPr>
        <w:spacing w:after="0" w:line="146" w:lineRule="exact"/>
        <w:rPr>
          <w:rFonts w:ascii="Arial" w:cs="Arial" w:eastAsia="Arial" w:hAnsi="Arial"/>
          <w:sz w:val="21"/>
          <w:szCs w:val="21"/>
          <w:color w:val="auto"/>
          <w:vertAlign w:val="superscript"/>
        </w:rPr>
      </w:pPr>
    </w:p>
    <w:p>
      <w:pPr>
        <w:ind w:left="1680" w:right="980" w:hanging="533"/>
        <w:spacing w:after="0" w:line="194"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We reimbursed Dr. Shanler an amount of $33,600 for corporate housing expenses that he incurred. The other amounts shown in the "All Other Compensation" column consist of company contributions made to the officer's 401(k) plan account.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review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compensation committee of our board of directors has historically determined our executive officers'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compensation committee, without members of management present, discusses and ultimately approves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2012, we entered into employment agreements or offer letters with each of our named executive officers that established initial base salaries and target bonus opportunities. The base salaries are reviewed periodically by our compensation committee. The following table presents the base salaries for each of our named executive officers for 2014 and 2015. The 2014 base salaries became effective on January 1, 2014 and the 2015 base salaries became effective on January 1, 2015 for all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2014 Base</w:t>
            </w:r>
          </w:p>
        </w:tc>
        <w:tc>
          <w:tcPr>
            <w:tcW w:w="140" w:type="dxa"/>
            <w:vAlign w:val="bottom"/>
          </w:tcPr>
          <w:p>
            <w:pPr>
              <w:spacing w:after="0"/>
              <w:rPr>
                <w:sz w:val="14"/>
                <w:szCs w:val="14"/>
                <w:color w:val="auto"/>
              </w:rPr>
            </w:pPr>
          </w:p>
        </w:tc>
        <w:tc>
          <w:tcPr>
            <w:tcW w:w="27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2015 Base</w:t>
            </w:r>
          </w:p>
        </w:tc>
      </w:tr>
      <w:tr>
        <w:trPr>
          <w:trHeight w:val="157"/>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3"/>
                <w:szCs w:val="13"/>
                <w:color w:val="auto"/>
              </w:rPr>
            </w:pPr>
          </w:p>
        </w:tc>
        <w:tc>
          <w:tcPr>
            <w:tcW w:w="2700" w:type="dxa"/>
            <w:vAlign w:val="bottom"/>
            <w:gridSpan w:val="3"/>
          </w:tcPr>
          <w:p>
            <w:pPr>
              <w:ind w:left="200"/>
              <w:spacing w:after="0" w:line="157" w:lineRule="exact"/>
              <w:rPr>
                <w:sz w:val="20"/>
                <w:szCs w:val="20"/>
                <w:color w:val="auto"/>
              </w:rPr>
            </w:pPr>
            <w:r>
              <w:rPr>
                <w:rFonts w:ascii="Arial" w:cs="Arial" w:eastAsia="Arial" w:hAnsi="Arial"/>
                <w:sz w:val="14"/>
                <w:szCs w:val="14"/>
                <w:b w:val="1"/>
                <w:bCs w:val="1"/>
                <w:color w:val="auto"/>
              </w:rPr>
              <w:t>Salary</w:t>
            </w:r>
          </w:p>
        </w:tc>
      </w:tr>
      <w:tr>
        <w:trPr>
          <w:trHeight w:val="169"/>
        </w:trPr>
        <w:tc>
          <w:tcPr>
            <w:tcW w:w="17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8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7"/>
              </w:rPr>
              <w:t>339,900</w:t>
            </w:r>
          </w:p>
        </w:tc>
        <w:tc>
          <w:tcPr>
            <w:tcW w:w="9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w w:val="94"/>
              </w:rPr>
              <w:t>344,999</w:t>
            </w:r>
          </w:p>
        </w:tc>
        <w:tc>
          <w:tcPr>
            <w:tcW w:w="16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7800" w:type="dxa"/>
            <w:vAlign w:val="bottom"/>
            <w:gridSpan w:val="3"/>
          </w:tcPr>
          <w:p>
            <w:pPr>
              <w:ind w:left="1720"/>
              <w:spacing w:after="0"/>
              <w:rPr>
                <w:sz w:val="20"/>
                <w:szCs w:val="20"/>
                <w:color w:val="auto"/>
              </w:rPr>
            </w:pPr>
            <w:r>
              <w:rPr>
                <w:rFonts w:ascii="Arial" w:cs="Arial" w:eastAsia="Arial" w:hAnsi="Arial"/>
                <w:sz w:val="17"/>
                <w:szCs w:val="17"/>
                <w:color w:val="auto"/>
              </w:rPr>
              <w:t>Christopher Powala</w:t>
            </w:r>
          </w:p>
        </w:tc>
        <w:tc>
          <w:tcPr>
            <w:tcW w:w="800" w:type="dxa"/>
            <w:vAlign w:val="bottom"/>
          </w:tcPr>
          <w:p>
            <w:pPr>
              <w:ind w:left="180"/>
              <w:spacing w:after="0"/>
              <w:rPr>
                <w:sz w:val="20"/>
                <w:szCs w:val="20"/>
                <w:color w:val="auto"/>
              </w:rPr>
            </w:pPr>
            <w:r>
              <w:rPr>
                <w:rFonts w:ascii="Arial" w:cs="Arial" w:eastAsia="Arial" w:hAnsi="Arial"/>
                <w:sz w:val="17"/>
                <w:szCs w:val="17"/>
                <w:color w:val="auto"/>
                <w:w w:val="97"/>
              </w:rPr>
              <w:t>300,760</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305,221</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283,250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4"/>
              </w:rPr>
              <w:t>287,499</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seek to motivate and reward our executives for achievements relative to our corporate goals and expectations for each fiscal year. For 2014 and 2015, the target bonus was and is 30% of each named executive officer's base salary.</w:t>
      </w:r>
    </w:p>
    <w:p>
      <w:pPr>
        <w:spacing w:after="0" w:line="19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For 2014, target bonuses were based on our achievement of specified corporate goals, including our clinical development and capital raising activities. Based on the level of achievement, our compensation committee awarded each named executive officer 100% of his target bonus for the year. These actual bonus amounts are reflected in the "Non-Equity Incentive Plan Compensation" column of the Summary Compensation Table above.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Incentives</w:t>
      </w:r>
    </w:p>
    <w:p>
      <w:pPr>
        <w:spacing w:after="0" w:line="231"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color w:val="auto"/>
        </w:rPr>
        <w:t>Our 2012 equity compensation plan, or the 2012 plan, authorizes us to make grants to eligible recipients of non-qualified stock options, incentive stock options and other stock-based awards. All of our awards under this plan to date have been in the form of stock options.</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award stock options on the date the compensation committee approves the grant. We set the option exercise price and grant date fair value based on our per-share valuation on the date of grant. The shares underlying options granted under our 2012 typically vest 25% one year from the date of grant and the remaining shares vest in 36 equal monthly installments thereafter.</w:t>
      </w:r>
    </w:p>
    <w:p>
      <w:pPr>
        <w:spacing w:after="0" w:line="19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In August 2014, our compensation committee awarded options to Dr. Walker, Mr. Powala and Dr. Shanler to purchase 43,548 shares, 14,462 shares and 14,462 shares of our common stock, respectively. Each of these options has an exercise price of $0.72 per share. In December 2014, our compensation committee approved additional option grants to Dr. Walker, Mr. Powala and Dr. Shanler to purchase 118,840 shares, 39,275 shares and 37,826 shares of our common stock, respectively. Each of these options has an exercise price of $1.52 per share. In August 2015, our compensation committee approved additional option grants to Dr. Walker, Mr. Powala and Dr. Shanler to purchase 211,019 shares, 69,636 shares and 66,471 shares of our common stock, respectively. Each of these options has an exercise price of $10.66 per share.</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23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Except for the benefits described above, we do not provide perquisites or personal benefits to our named executive officers. We do, however, pay the premiums for life, medical and dental insurance for all of our employees, including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and Potential Payments upon Termination of Employment</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September 2015, we entered into employment agreements with Dr. Walker under which he will serve as our President and Chief Executive Officer, Mr. Powala under which he will serve as our Chief Operating Officer and Dr. Shanler under which he will serve as our Chief Scientific Officer. The employment agreements became effective as of the date of this prospectus. Under these agreements, Dr. Walker, Mr. Powala and Dr. Shanler are each eligible to receive severance benefits in specified circumstances.</w:t>
      </w:r>
    </w:p>
    <w:p>
      <w:pPr>
        <w:spacing w:after="0" w:line="19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the event that we terminate Dr. Walker, Mr. Powala or Dr. Shanler without cause, he resigns for good reason or his employment is terminated due to death or disability, he, or his estate, will be entitled to receive, upon execution and effectiveness of a release of claims, (i) continued payment of his then-current salary for a period of 12 months following termination for Dr. Walker and for a period of nine months following termination for each of</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Mr. Powala and Dr. Shanler, in each case payable in accordance with our normal payroll practices, (ii) a lump sum payment of any approved but unpaid bonuses or portion thereof for the preceding year or the year of termination and (iii) a direct payment by us to the applicable healthcare provider of 100% of the medical, vision and dental coverage premiums due to maintain any COBRA coverage for which he is eligible and has appropriately elected through the earlier of (A) 12 months following termination for Dr. Walker and nine months following termination for each of Mr. Powala and Dr. Shanler and (B) the date he becomes eligible for substantially equivalent coverage in connection with new employment.</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in the event of termination without cause, for good reason, or due to death or disability of each of Dr. Walker, Mr. Powala or Dr. Shanler occurs on or within three months prior to, or within 12 months following, a change of control, he will be entitled to (i) continuation of his base salary for an additional 12 months for Dr. Walker and six months for each of Mr. Powala and Dr. Shanler following the end of the initial severance period, (ii) up to six additional months of paid COBRA premiums (or until he receives substantially equivalent coverage in connection with new employment, if earlier) and (iii) if the termination occurs on or within three months prior to the change of control, all of his unvested stock options and other equity awards outstanding on the effective date of termination will become fully vested on the effective date of the change of control, or if the termination occurs within 12 months following the effective date of the change of control, provided that any surviving corporation or acquiring corporation assumes his stock options or other equity awards, as applicable, or substitutes similar stock options or equity awards for his stock options or equity awards, as applicable, in accordance with the terms of the applicable equity incentive plans, all unvested stock options and other equity awards outstanding on the effective date of termination will become fully vested on the date of termination.</w:t>
      </w:r>
    </w:p>
    <w:p>
      <w:pPr>
        <w:spacing w:after="0" w:line="205"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In the event Dr. Walker's, Mr. Powala's or Dr. Shanler's employment is terminated upon nonrenewal of the employment agreement by us, he will continue to receive his salary and benefits during the 90-day nonrenewal notice period, and, upon execution and effectiveness of a release of claims, he will be entitled to receive (i) continued payment of his then-current salary for a period of 12 months following termination for Dr. Walker and for a period of nine months following termination for each of Mr. Powala and Dr. Shanler, in each case payable in accordance with our normal payroll practices, (ii) a lump sum payment of any approved but unpaid bonuses or portion thereof for the preceding year or the year of termination and (iii) a direct payment by us to the applicable healthcare provider of 100% of the medical, vision and dental coverage premiums due to maintain any COBRA coverage for which he is eligible and has appropriately elected through the earlier of (A) eight months following termination for Dr. Walker and five months following termination for each of Mr. Powala and Dr. Shanler and (B) the date the officer becomes eligible for substantially equivalent coverage in connection with new employment.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the event that we terminate Dr. Walker, Mr. Powala or Dr. Shanler with cause, he resigns without good reason, or his employment is terminated due to his nonrenewal of the employment contract by him, then he will not be entitled to receive severance benefits.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are used in each of Dr. Walker's, Mr. Powala's and Dr. Shanler's employment agreements:</w:t>
      </w:r>
    </w:p>
    <w:p>
      <w:pPr>
        <w:spacing w:after="0" w:line="224" w:lineRule="exact"/>
        <w:rPr>
          <w:sz w:val="20"/>
          <w:szCs w:val="20"/>
          <w:color w:val="auto"/>
        </w:rPr>
      </w:pPr>
    </w:p>
    <w:p>
      <w:pPr>
        <w:ind w:left="1060" w:right="220" w:hanging="531"/>
        <w:spacing w:after="0" w:line="241"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"cause" means: (i) his conviction of, or guilty plea to, a crime of moral turpitude, whether or not a felony, or a felony, other than traffic violations; (ii) any act or omission by him which constitutes gross negligence or a material breach of his duty of loyalty; (iii) any material breach by him of our personnel policies, including those prohibiting acts of discrimination, harassment or retaliation; (iv) any act constituting dishonesty, fraud, immoral or disreputable conduct; (v) refusal to follow or implement a clear and reasonable directive;</w:t>
      </w:r>
    </w:p>
    <w:p>
      <w:pPr>
        <w:spacing w:after="0" w:line="1" w:lineRule="exact"/>
        <w:rPr>
          <w:rFonts w:ascii="Arial" w:cs="Arial" w:eastAsia="Arial" w:hAnsi="Arial"/>
          <w:sz w:val="17"/>
          <w:szCs w:val="17"/>
          <w:color w:val="auto"/>
        </w:rPr>
      </w:pPr>
    </w:p>
    <w:p>
      <w:pPr>
        <w:ind w:left="1060" w:right="20"/>
        <w:spacing w:after="0" w:line="252" w:lineRule="auto"/>
        <w:rPr>
          <w:rFonts w:ascii="Arial" w:cs="Arial" w:eastAsia="Arial" w:hAnsi="Arial"/>
          <w:sz w:val="17"/>
          <w:szCs w:val="17"/>
          <w:color w:val="auto"/>
        </w:rPr>
      </w:pPr>
      <w:r>
        <w:rPr>
          <w:rFonts w:ascii="Arial" w:cs="Arial" w:eastAsia="Arial" w:hAnsi="Arial"/>
          <w:sz w:val="17"/>
          <w:szCs w:val="17"/>
          <w:color w:val="auto"/>
        </w:rPr>
        <w:t>(vi) breach of fiduciary duty; or (vii) a material violation or breach by him of his employment agreement, subject to specified exceptions, or any other agreement with us;</w:t>
      </w:r>
    </w:p>
    <w:p>
      <w:pPr>
        <w:spacing w:after="0" w:line="205" w:lineRule="exact"/>
        <w:rPr>
          <w:rFonts w:ascii="Arial" w:cs="Arial" w:eastAsia="Arial" w:hAnsi="Arial"/>
          <w:sz w:val="17"/>
          <w:szCs w:val="17"/>
          <w:color w:val="auto"/>
        </w:rPr>
      </w:pPr>
    </w:p>
    <w:p>
      <w:pPr>
        <w:ind w:left="1060" w:hanging="531"/>
        <w:spacing w:after="0" w:line="243"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"good reason" means, in the absence of events that would support a termination for cause: (i) there is a material failure by us or our successor to pay his salary or additional compensation or benefits in accordance with the employment agreement; (ii) his annual base salary is materially decreased without his prior written consent; (iii) he is assigned duties substantially inconsistent with his title and the responsibilities set forth in his job description without his prior written consent; (iv) his place of employment is changed to a location that is greater than 50 miles from his current place of employment; or (v) any other material violation or breach by us of his employment agreement; provided, however, none of the above events will constitute good reason absent him providing us with proper notice and our failure to cure such event within 30 days of such notice; and</w:t>
      </w:r>
    </w:p>
    <w:p>
      <w:pPr>
        <w:spacing w:after="0" w:line="200"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corporate purposes.</w:t>
      </w:r>
    </w:p>
    <w:p>
      <w:pPr>
        <w:spacing w:after="0" w:line="20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addition, each of our named executive officers hold restricted shares of common stock, which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End of 2014</w:t>
      </w:r>
    </w:p>
    <w:p>
      <w:pPr>
        <w:spacing w:after="0" w:line="231"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The following table provides information about outstanding stock options and stock awards held by each of our named executive officers at December 31, 2014. All stock options were granted under our 2012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Number of Securities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Market Value of</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7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Shares of</w:t>
            </w:r>
          </w:p>
        </w:tc>
        <w:tc>
          <w:tcPr>
            <w:tcW w:w="12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ind w:left="700"/>
              <w:spacing w:after="0" w:line="157" w:lineRule="exact"/>
              <w:rPr>
                <w:sz w:val="20"/>
                <w:szCs w:val="20"/>
                <w:color w:val="auto"/>
              </w:rPr>
            </w:pPr>
            <w:r>
              <w:rPr>
                <w:rFonts w:ascii="Arial" w:cs="Arial" w:eastAsia="Arial" w:hAnsi="Arial"/>
                <w:sz w:val="14"/>
                <w:szCs w:val="14"/>
                <w:b w:val="1"/>
                <w:bCs w:val="1"/>
                <w:color w:val="auto"/>
              </w:rPr>
              <w:t>Options (#)</w:t>
            </w:r>
          </w:p>
        </w:tc>
        <w:tc>
          <w:tcPr>
            <w:tcW w:w="7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ind w:left="420"/>
              <w:spacing w:after="0" w:line="157"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Stock That</w:t>
            </w:r>
          </w:p>
        </w:tc>
        <w:tc>
          <w:tcPr>
            <w:tcW w:w="1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 Stock</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vMerge w:val="restart"/>
          </w:tcPr>
          <w:p>
            <w:pPr>
              <w:jc w:val="center"/>
              <w:ind w:right="160"/>
              <w:spacing w:after="0" w:line="118" w:lineRule="exact"/>
              <w:rPr>
                <w:sz w:val="20"/>
                <w:szCs w:val="20"/>
                <w:color w:val="auto"/>
              </w:rPr>
            </w:pPr>
            <w:r>
              <w:rPr>
                <w:rFonts w:ascii="Arial" w:cs="Arial" w:eastAsia="Arial" w:hAnsi="Arial"/>
                <w:sz w:val="13"/>
                <w:szCs w:val="13"/>
                <w:b w:val="1"/>
                <w:bCs w:val="1"/>
                <w:color w:val="auto"/>
              </w:rPr>
              <w:t>Price</w:t>
            </w:r>
          </w:p>
        </w:tc>
        <w:tc>
          <w:tcPr>
            <w:tcW w:w="1460" w:type="dxa"/>
            <w:vAlign w:val="bottom"/>
            <w:gridSpan w:val="2"/>
            <w:vMerge w:val="restart"/>
          </w:tcPr>
          <w:p>
            <w:pPr>
              <w:ind w:left="300"/>
              <w:spacing w:after="0" w:line="118" w:lineRule="exact"/>
              <w:rPr>
                <w:sz w:val="20"/>
                <w:szCs w:val="20"/>
                <w:color w:val="auto"/>
              </w:rPr>
            </w:pPr>
            <w:r>
              <w:rPr>
                <w:rFonts w:ascii="Arial" w:cs="Arial" w:eastAsia="Arial" w:hAnsi="Arial"/>
                <w:sz w:val="13"/>
                <w:szCs w:val="13"/>
                <w:b w:val="1"/>
                <w:bCs w:val="1"/>
                <w:color w:val="auto"/>
              </w:rPr>
              <w:t>Expiration</w:t>
            </w:r>
          </w:p>
        </w:tc>
        <w:tc>
          <w:tcPr>
            <w:tcW w:w="1120" w:type="dxa"/>
            <w:vAlign w:val="bottom"/>
            <w:gridSpan w:val="2"/>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rPr>
              <w:t>Have Not</w:t>
            </w:r>
          </w:p>
        </w:tc>
        <w:tc>
          <w:tcPr>
            <w:tcW w:w="1280" w:type="dxa"/>
            <w:vAlign w:val="bottom"/>
            <w:gridSpan w:val="2"/>
            <w:vMerge w:val="restart"/>
          </w:tcPr>
          <w:p>
            <w:pPr>
              <w:jc w:val="center"/>
              <w:ind w:right="140"/>
              <w:spacing w:after="0" w:line="118" w:lineRule="exact"/>
              <w:rPr>
                <w:sz w:val="20"/>
                <w:szCs w:val="20"/>
                <w:color w:val="auto"/>
              </w:rPr>
            </w:pPr>
            <w:r>
              <w:rPr>
                <w:rFonts w:ascii="Arial" w:cs="Arial" w:eastAsia="Arial" w:hAnsi="Arial"/>
                <w:sz w:val="13"/>
                <w:szCs w:val="13"/>
                <w:b w:val="1"/>
                <w:bCs w:val="1"/>
                <w:color w:val="auto"/>
              </w:rPr>
              <w:t>That Have Not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right"/>
              <w:ind w:right="260"/>
              <w:spacing w:after="0" w:line="184" w:lineRule="exact"/>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20"/>
                <w:szCs w:val="20"/>
                <w:b w:val="1"/>
                <w:bCs w:val="1"/>
                <w:color w:val="auto"/>
                <w:w w:val="97"/>
                <w:vertAlign w:val="superscript"/>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Vested (#)</w:t>
            </w:r>
          </w:p>
        </w:tc>
        <w:tc>
          <w:tcPr>
            <w:tcW w:w="1280" w:type="dxa"/>
            <w:vAlign w:val="bottom"/>
            <w:gridSpan w:val="2"/>
          </w:tcPr>
          <w:p>
            <w:pPr>
              <w:jc w:val="center"/>
              <w:ind w:right="140"/>
              <w:spacing w:after="0" w:line="184"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0"/>
                <w:szCs w:val="20"/>
                <w:b w:val="1"/>
                <w:bCs w:val="1"/>
                <w:color w:val="auto"/>
                <w:w w:val="93"/>
                <w:vertAlign w:val="superscript"/>
              </w:rPr>
              <w:t>(6)</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0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4"/>
                <w:szCs w:val="14"/>
                <w:color w:val="auto"/>
              </w:rPr>
              <w:t>43,548</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0.72</w:t>
            </w:r>
          </w:p>
        </w:tc>
        <w:tc>
          <w:tcPr>
            <w:tcW w:w="146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118,840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310,929</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568,535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2" w:lineRule="exact"/>
              <w:rPr>
                <w:sz w:val="20"/>
                <w:szCs w:val="20"/>
                <w:color w:val="auto"/>
              </w:rPr>
            </w:pPr>
            <w:r>
              <w:rPr>
                <w:rFonts w:ascii="Arial" w:cs="Arial" w:eastAsia="Arial" w:hAnsi="Arial"/>
                <w:sz w:val="15"/>
                <w:szCs w:val="15"/>
                <w:color w:val="auto"/>
              </w:rPr>
              <w:t>14,462</w:t>
            </w:r>
            <w:r>
              <w:rPr>
                <w:rFonts w:ascii="Arial" w:cs="Arial" w:eastAsia="Arial" w:hAnsi="Arial"/>
                <w:sz w:val="24"/>
                <w:szCs w:val="24"/>
                <w:color w:val="auto"/>
                <w:vertAlign w:val="superscript"/>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0.72</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0" w:lineRule="exact"/>
              <w:rPr>
                <w:sz w:val="20"/>
                <w:szCs w:val="20"/>
                <w:color w:val="auto"/>
              </w:rPr>
            </w:pPr>
            <w:r>
              <w:rPr>
                <w:rFonts w:ascii="Arial" w:cs="Arial" w:eastAsia="Arial" w:hAnsi="Arial"/>
                <w:sz w:val="15"/>
                <w:szCs w:val="15"/>
                <w:color w:val="auto"/>
              </w:rPr>
              <w:t>39,275</w:t>
            </w:r>
            <w:r>
              <w:rPr>
                <w:rFonts w:ascii="Arial" w:cs="Arial" w:eastAsia="Arial" w:hAnsi="Arial"/>
                <w:sz w:val="24"/>
                <w:szCs w:val="24"/>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94" w:lineRule="exact"/>
              <w:rPr>
                <w:sz w:val="20"/>
                <w:szCs w:val="20"/>
                <w:color w:val="auto"/>
              </w:rPr>
            </w:pPr>
            <w:r>
              <w:rPr>
                <w:rFonts w:ascii="Arial" w:cs="Arial" w:eastAsia="Arial" w:hAnsi="Arial"/>
                <w:sz w:val="14"/>
                <w:szCs w:val="14"/>
                <w:color w:val="auto"/>
              </w:rPr>
              <w:t>103,260</w:t>
            </w:r>
            <w:r>
              <w:rPr>
                <w:rFonts w:ascii="Arial" w:cs="Arial" w:eastAsia="Arial" w:hAnsi="Arial"/>
                <w:sz w:val="22"/>
                <w:szCs w:val="22"/>
                <w:color w:val="auto"/>
                <w:vertAlign w:val="superscript"/>
              </w:rPr>
              <w:t>(4)</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14,462</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0.72</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37,826</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103,260</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05"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All options granted to date under our 2012 plan to the named executive officers are exercisable immediately, subject to a repurchase right in our favor that lapses as the option vests. This column reflects the number of options held by our named executive officers that were unvested, as opposed to unexercisable, as of December 31, 2014.</w:t>
      </w:r>
    </w:p>
    <w:p>
      <w:pPr>
        <w:spacing w:after="0" w:line="147" w:lineRule="exact"/>
        <w:rPr>
          <w:rFonts w:ascii="Arial" w:cs="Arial" w:eastAsia="Arial" w:hAnsi="Arial"/>
          <w:sz w:val="21"/>
          <w:szCs w:val="21"/>
          <w:color w:val="auto"/>
          <w:vertAlign w:val="superscript"/>
        </w:rPr>
      </w:pPr>
    </w:p>
    <w:p>
      <w:pPr>
        <w:ind w:left="1680" w:right="160" w:hanging="533"/>
        <w:spacing w:after="0" w:line="194"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vested as to 25% of the shares on August 13,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ind w:left="1680" w:right="180" w:hanging="533"/>
        <w:spacing w:after="0" w:line="194"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December 8,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ind w:left="1680" w:right="160" w:hanging="533"/>
        <w:spacing w:after="0" w:line="212"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Consists of 51,630 restricted shares held by Mr. Powala directly and 51,630 restricted shares held by the Christopher V. Powala Aclaris Irrevocable Trust, of which Mr. Powala serves as the trustee. These restricted shares will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These restricted shares will vest in equal monthly installments through July 13, 2016. These restricted shares are subject to full acceleration of vesting</w:t>
      </w:r>
    </w:p>
    <w:p>
      <w:pPr>
        <w:ind w:left="1680" w:right="100"/>
        <w:spacing w:after="0" w:line="245" w:lineRule="auto"/>
        <w:rPr>
          <w:rFonts w:ascii="Arial" w:cs="Arial" w:eastAsia="Arial" w:hAnsi="Arial"/>
          <w:sz w:val="21"/>
          <w:szCs w:val="21"/>
          <w:color w:val="auto"/>
          <w:vertAlign w:val="superscript"/>
        </w:rPr>
      </w:pPr>
      <w:r>
        <w:rPr>
          <w:rFonts w:ascii="Arial" w:cs="Arial" w:eastAsia="Arial" w:hAnsi="Arial"/>
          <w:sz w:val="14"/>
          <w:szCs w:val="14"/>
          <w:color w:val="auto"/>
        </w:rPr>
        <w:t>(a) upon the closing of this offering or a change of control, (b) upon the officer's death or disability or (c) if we terminate the officer without cause or the officer resigns for good reason.</w:t>
      </w:r>
    </w:p>
    <w:p>
      <w:pPr>
        <w:spacing w:after="0" w:line="70"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Based on the valuation of our common stock of $1.83 per share as of December 8,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nonqualified deferred compensation plan sponsored by us during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In September 2015, our board of directors adopted and our stockholders approved our 2015 plan, which became effective on the date of execution of the underwriting agreement in connection with this offering.</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Our 2015 plan provides for the grant of incentive stock options within the meaning of Section 422 of the Internal Revenue Code, or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2015 plan also provides for the grant of performance cash awards to our employees, consultants and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initially reserved for issuance under our 2015 plan is the sum of (i) 1,245,226 shares of common stock,</w:t>
      </w:r>
    </w:p>
    <w:p>
      <w:pPr>
        <w:spacing w:after="0" w:line="1" w:lineRule="exact"/>
        <w:rPr>
          <w:sz w:val="20"/>
          <w:szCs w:val="20"/>
          <w:color w:val="auto"/>
        </w:rPr>
      </w:pPr>
    </w:p>
    <w:p>
      <w:pPr>
        <w:ind w:right="40" w:firstLine="5"/>
        <w:spacing w:after="0" w:line="242" w:lineRule="auto"/>
        <w:tabs>
          <w:tab w:leader="none" w:pos="2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number of shares remaining available for issuance under our 2012 plan, which was 398,645 shares as of September 1, 2015, and (iii) the number of shares of common stock subject to outstanding awards under our 2012 plan that are forfeited, canceled, repurchased by us or are otherwise terminated. In September 2015, our compensation committee approved the grant of options to purchase 89,800 shares of our common stock from our 2015 plan, which grants are effective as of the date of this prospectus. The number of shares of our common stock reserved for issuance under our 2015 plan will automatically increase on January 1 of each year, beginning on January 1 of the year after the closing of this offering and ending on January 1, 2025, by 4.0% of the total number of shares of our common stock outstanding on December 31 of the preceding calendar year, or a lesser number of shares as may be determined by our board of directors. The maximum number of shares that may be issued pursuant to exercise of incentive stock options under the 2015 plan is 5,797,101 shares.</w:t>
      </w:r>
    </w:p>
    <w:p>
      <w:pPr>
        <w:spacing w:after="0" w:line="206"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maximum number of shares of common stock subject to awards granted under the 2015 plan or any other equity plan maintained by us during any single fiscal year to any non-employee director, taken together with any cash fees paid to the director during the fiscal year, will not exceed $400,000 in total value.</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Shares issued under our 2015 plan may be authorized but unissued or reacquired shares of our common stock. Shares subject to stock awards granted under our 2015 plan that expire or terminate without being exercised in full, or that are paid out in cash rather than in shares, will not reduce the number of shares available for issuance under our 2015 plan. Additionally, shares issued pursuant to stock awards under our 2015 plan that we repurchase or that are forfeited, as well as shares reacquired by us as consideration for the exercise or purchase price of a stock award or to satisfy tax withholding obligations related to a stock award, will become available for future grant under our 2015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Our board of directors, or a duly authorized committee thereof, has the authority to administer our 2015 plan. Our board of directors has delegated its authority to administer our 2015 plan to our compensation committee under the terms of the compensation committee's charter. Our board of directors may also delegate to one or more of our officers the authority to (i) designate employees other than officers to receive specified stock awards and</w:t>
      </w:r>
    </w:p>
    <w:p>
      <w:pPr>
        <w:spacing w:after="0" w:line="1" w:lineRule="exact"/>
        <w:rPr>
          <w:sz w:val="20"/>
          <w:szCs w:val="20"/>
          <w:color w:val="auto"/>
        </w:rPr>
      </w:pPr>
    </w:p>
    <w:p>
      <w:pPr>
        <w:ind w:right="140" w:firstLine="5"/>
        <w:spacing w:after="0" w:line="244" w:lineRule="auto"/>
        <w:tabs>
          <w:tab w:leader="none" w:pos="237"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determine the number of shares of our common stock to be subject to such stock awards. Subject to the terms of our 2015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2015 plan.</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administrator has the power to modify outstanding awards under our 2015 plan. Subject to the terms of our 2015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GAAP with the consent of any adversely affected 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162(m) Limits</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No participant may be granted stock awards covering more than 1,449,275 shares of our common stock under our 2015 plan during any calendar year 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 calendar year a performance stock award covering more than 1,449,275 shares of our common stock or a performance cash award having a maximum value in excess of $3.0 million under our 2015 plan. These limitations enable us to grant awards that will be exempt from the $1.0 million limitation on the income tax deductibility of compensation paid per covered executive officer imposed by Section 162(m) of the Code.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2015 plan permits the grant of performance-based stock and cash awards that may qualify as performance-based compensation that is not subject to the $1.0 million limitation on the income tax deductibility of compensation paid per covered executive officer imposed by Section 162(m) of the Code. To enable us to grant performance-based awards that will qualify,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Our 2015 plan provides that in the event of a specified corporate transaction, including without limitation a consolidation, merger or similar transaction involving our company, the sale, lease or other disposition of all or substantially all of the assets of our company or the consolidated assets of our company and our subsidiaries, or a sale or disposition of at least 50% of the outstanding capital stock of our company, the administrator will determine how to treat each outstanding equity award. The administrator may:</w:t>
      </w:r>
    </w:p>
    <w:p>
      <w:pPr>
        <w:spacing w:after="0" w:line="211"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arrange for the assumption, continuation or substitution of a stock award by a successor corporation;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accelerate the vesting of the stock award and provide for its termination prior to the effective time of the corporate transaction;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arrange for the lapse, in whole or in part, of any reacquisition or repurchase right held by us; or</w:t>
      </w:r>
    </w:p>
    <w:p>
      <w:pPr>
        <w:spacing w:after="0" w:line="224"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cancel the stock award prior to the transaction in exchange for a cash payment, which may be reduced by the exercise price payable in connection with the stock award.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administrator is not obligated to treat all equity awards or portions of equity awards, even those that are of the same type, in the same manner. The administrator may take different actions with respect to the vested and unvested portions of an equity award.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Control</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administrator may provide, in an individual award agreement or in any other written agreement between us and the participant, that the equity award will be subject to additional acceleration of vesting and exercisability in the event of a change of control. In the absence of such a provision, no such acceleration of the award will occur.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Amendment or Termination</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board has the authority to amend, suspend or terminate our 2015 plan, provided that such action does not materially impair the existing rights of any participant without such participant's written consent. No incentive stock options may be granted after the tenth anniversary of the date our board of directors adopts our 2015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In August 2012, our board of directors adopted and our stockholders approved our 2012 equity compensation plan, or our 2012 plan. Our 2012 plan was most recently amended by our board of directors and our stockholders in August 2015. Our 2012 plan provides for the grant of incentive stock options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within the meaning of Section 422 of the Code to our employees, and for the grant of nonqualified stock options and stock awards to our officers, directors, employees, consultants and advisers.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reserved an aggregate of 1,539,169 shares of our common stock for issuance under our 2012 plan. As of September 1, 2015, no shares of our common stock have been issued upon the exercise of options granted under our 2012 plan, options to purchase 1,140,524 shares of our common stock were outstanding at a weighted average exercise price of $6.52 per share and 398,645 shares remained available for grant under our 2012 plan. Effective upon the closing of this offering, no further options or stock awards may be granted under our 2012 plan, but all outstanding stock awards will continue to be governed by their existing terms.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board of directors, or a committee thereof appointed by our board of directors, administers our 2012 plan and the option and stock awards granted under it. Our board of directors delegated its authority to administer our 2012 plan to our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2012 plan provides that the administrator may provide that, in the event of a specified change of control transaction, including without limitation a merger, consolidation or reorganization of our company with one or more other entities in which our company is not the surviving entity, a sale of substantially all of the assets of our company or any corporate reorganization which results in the disposition of at least 50% of the voting power of our company, one or more of the following actions may be taken:</w:t>
      </w:r>
    </w:p>
    <w:p>
      <w:pPr>
        <w:spacing w:after="0" w:line="211"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that the options become exercisable, and that restrictions applicable to outstanding stock awards and restricted stock shall lapse;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assumption or substitution of the options by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substitution of the stock awards and restricted stock by a successor corporation;</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purchase of outstanding options for an amount of cash or property that could have been received upon the exercise of the options had the options been fully vested; or</w:t>
      </w:r>
    </w:p>
    <w:p>
      <w:pPr>
        <w:spacing w:after="0" w:line="205" w:lineRule="exact"/>
        <w:rPr>
          <w:rFonts w:ascii="Arial" w:cs="Arial" w:eastAsia="Arial" w:hAnsi="Arial"/>
          <w:sz w:val="17"/>
          <w:szCs w:val="17"/>
          <w:color w:val="auto"/>
        </w:rPr>
      </w:pPr>
    </w:p>
    <w:p>
      <w:pPr>
        <w:ind w:left="1060" w:right="70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termination of the options, provided that the holders of options are given a reasonable period of time to exercise the options, notwithstanding any limits on exercisability.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board of directors may at any time amend our 2012 plan. However, our board of directors must obtain approval of our stockholders for any amendment requiring such approval under federal tax or federal securities laws, including an increase to the maximum number of shares of our common stock that may be issued under our 2012 plan. In addition, our board of directors may not materially impair the rights of a holder of any award previously granted under our 2012 plan without the consent of the holder of such award. Our 2012 plan will terminate in August 2022 or, if earlier, a date determined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4.0%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subject to a six-year vesting schedule.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212"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10"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This limitation of liability does not apply to liabilities arising under federal securities laws and does not affect the availability of equitable remedies such as injunctive relief or rescission.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202"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have entered into indemnification agreements with each of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following is a description of transactions since January 1, 2012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this Offering</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up to an aggregate of $15.0 million in shares of our common stock in this offering at the initial public offering price per share. Based on the initial public offering price of $11.00 per share, these entities would purchase up to an aggregate of approximately 1,363,635 of the 5,000,000 shares in this offering based on these indications of interest. However, because indications of interest are not binding agreements or commitments to purchase, these entities may determine to increase or reduce the amount of their indications of interest or otherwise elect not to purchase any shares. In addition, the underwriters could determine to sell fewer shares to any of these entities than the entities indicate an interest in purchasing or not to sell any shares to these entities.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A Redeemable Convertible Preferred Stock</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August 2012, we sold an aggregate of 20,890,000 shares of our Series A redeemable convertible preferred stock at a price of $1.00 per share for aggregate gross proceeds of $20.9 million, 19,445,000 shares of which were sold to holders of more than 5% of our voting securities, executive officers and members of our board of directors. Each share of Series A redeemable convertible preferred stock is convertible into 0.289855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 of Series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19"/>
                <w:szCs w:val="19"/>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20"/>
                <w:szCs w:val="20"/>
                <w:color w:val="auto"/>
              </w:rPr>
            </w:pPr>
          </w:p>
        </w:tc>
      </w:tr>
      <w:tr>
        <w:trPr>
          <w:trHeight w:val="236"/>
        </w:trPr>
        <w:tc>
          <w:tcPr>
            <w:tcW w:w="558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w:t>
            </w:r>
          </w:p>
        </w:tc>
        <w:tc>
          <w:tcPr>
            <w:tcW w:w="1180" w:type="dxa"/>
            <w:vAlign w:val="bottom"/>
          </w:tcPr>
          <w:p>
            <w:pPr>
              <w:spacing w:after="0"/>
              <w:rPr>
                <w:sz w:val="20"/>
                <w:szCs w:val="20"/>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(4)</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(5)</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110,000</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19,445,000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19,445,000</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214" w:lineRule="exact"/>
        <w:rPr>
          <w:sz w:val="20"/>
          <w:szCs w:val="20"/>
          <w:color w:val="auto"/>
        </w:rPr>
      </w:pPr>
    </w:p>
    <w:p>
      <w:pPr>
        <w:ind w:left="1680" w:right="320" w:hanging="533"/>
        <w:spacing w:after="0" w:line="205" w:lineRule="auto"/>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8,467,943 shares purchased by Vivo Ventures Fund VII, L.P. and 184,557 shares purchased by Vivo Ventures VII Affiliates Fund, L.P. Entities affiliated with Vivo Ventures Fund VII, L.P. are holders of more than 5% of our voting securities, and Albert Cha, M.D., Ph.D., a member of our board of directors, is a managing member of the general partner of these entities.</w:t>
      </w:r>
    </w:p>
    <w:p>
      <w:pPr>
        <w:spacing w:after="0" w:line="147" w:lineRule="exact"/>
        <w:rPr>
          <w:rFonts w:ascii="Arial" w:cs="Arial" w:eastAsia="Arial" w:hAnsi="Arial"/>
          <w:sz w:val="21"/>
          <w:szCs w:val="21"/>
          <w:color w:val="auto"/>
          <w:vertAlign w:val="superscript"/>
        </w:rPr>
      </w:pPr>
    </w:p>
    <w:p>
      <w:pPr>
        <w:ind w:left="1680" w:right="480" w:hanging="533"/>
        <w:spacing w:after="0" w:line="194" w:lineRule="auto"/>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Beacon Bioventures Fund III Limited Partnership is a holder of more than 5% of our voting securities, and Ketan Patel, M.D., a member of our board of directors, is affiliated with this entity.</w:t>
      </w:r>
    </w:p>
    <w:p>
      <w:pPr>
        <w:spacing w:after="0" w:line="146" w:lineRule="exact"/>
        <w:rPr>
          <w:rFonts w:ascii="Arial" w:cs="Arial" w:eastAsia="Arial" w:hAnsi="Arial"/>
          <w:sz w:val="21"/>
          <w:szCs w:val="21"/>
          <w:color w:val="auto"/>
          <w:vertAlign w:val="superscript"/>
        </w:rPr>
      </w:pPr>
    </w:p>
    <w:p>
      <w:pPr>
        <w:ind w:left="1680" w:right="240" w:hanging="533"/>
        <w:spacing w:after="0" w:line="194" w:lineRule="auto"/>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Sofinnova Venture Partners VIII, L.P. is a holder of more than 5% of our voting securities, and Anand Mehra, M.D., a member of our board of directors, is a managing member of the general partner of this entity.</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B Redeemable Convertible Preferred Stock</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September 2014, we sold an aggregate of 6,451,057 shares of our Series B redeemable convertible preferred stock at a price of $1.65 per share for aggregate gross proceeds of $10.6 million, 6,101,222 shares of which were sold to holders of more than 5% of our voting securities, executive officers and members of our board of directors. Each share of Series B redeemable convertible preferred stock is convertible into 0.289855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B</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9"/>
                <w:szCs w:val="19"/>
                <w:color w:val="auto"/>
              </w:rPr>
            </w:pPr>
          </w:p>
        </w:tc>
      </w:tr>
      <w:tr>
        <w:trPr>
          <w:trHeight w:val="19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7"/>
                <w:szCs w:val="17"/>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2,424,242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2,901</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4,787</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9,573</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31,913</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52,656</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6,101,222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10,067,016</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1,779,400 shares purchased by Vivo Ventures Fund VII, L.P. and 38,782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C Convertible Preferred Stock</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August 2015, we sold an aggregate of 12,944,984 shares of our Series C convertible preferred stock at a price of $3.09 per share for aggregate gross proceeds of $40.0 million, 8,188,959 shares of which were sold to holders of more than 5% of our voting securities and members of our board of directors. Each share of Series C convertible preferred stock is convertible into 0.289855 shares of our common stock.</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C</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5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5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63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1,375,405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4,250,000</w:t>
            </w:r>
          </w:p>
        </w:tc>
        <w:tc>
          <w:tcPr>
            <w:tcW w:w="1180" w:type="dxa"/>
            <w:vAlign w:val="bottom"/>
          </w:tcPr>
          <w:p>
            <w:pPr>
              <w:spacing w:after="0"/>
              <w:rPr>
                <w:sz w:val="19"/>
                <w:szCs w:val="19"/>
                <w:color w:val="auto"/>
              </w:rPr>
            </w:pPr>
          </w:p>
        </w:tc>
      </w:tr>
      <w:tr>
        <w:trPr>
          <w:trHeight w:val="197"/>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360" w:type="dxa"/>
            <w:vAlign w:val="bottom"/>
          </w:tcPr>
          <w:p>
            <w:pPr>
              <w:jc w:val="right"/>
              <w:spacing w:after="0"/>
              <w:rPr>
                <w:sz w:val="20"/>
                <w:szCs w:val="20"/>
                <w:color w:val="auto"/>
              </w:rPr>
            </w:pPr>
            <w:r>
              <w:rPr>
                <w:rFonts w:ascii="Arial" w:cs="Arial" w:eastAsia="Arial" w:hAnsi="Arial"/>
                <w:sz w:val="17"/>
                <w:szCs w:val="17"/>
                <w:color w:val="auto"/>
              </w:rPr>
              <w:t>1,496,764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4,625,000</w:t>
            </w:r>
          </w:p>
        </w:tc>
        <w:tc>
          <w:tcPr>
            <w:tcW w:w="1180" w:type="dxa"/>
            <w:vAlign w:val="bottom"/>
          </w:tcPr>
          <w:p>
            <w:pPr>
              <w:spacing w:after="0"/>
              <w:rPr>
                <w:sz w:val="17"/>
                <w:szCs w:val="17"/>
                <w:color w:val="auto"/>
              </w:rPr>
            </w:pPr>
          </w:p>
        </w:tc>
      </w:tr>
      <w:tr>
        <w:trPr>
          <w:trHeight w:val="197"/>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2,063,107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6,375,000</w:t>
            </w:r>
          </w:p>
        </w:tc>
        <w:tc>
          <w:tcPr>
            <w:tcW w:w="1180" w:type="dxa"/>
            <w:vAlign w:val="bottom"/>
          </w:tcPr>
          <w:p>
            <w:pPr>
              <w:spacing w:after="0"/>
              <w:rPr>
                <w:sz w:val="17"/>
                <w:szCs w:val="17"/>
                <w:color w:val="auto"/>
              </w:rPr>
            </w:pPr>
          </w:p>
        </w:tc>
      </w:tr>
      <w:tr>
        <w:trPr>
          <w:trHeight w:val="236"/>
        </w:trPr>
        <w:tc>
          <w:tcPr>
            <w:tcW w:w="634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Entities affiliated with RA Capital Healthcare Fund, L.P.</w:t>
            </w:r>
            <w:r>
              <w:rPr>
                <w:rFonts w:ascii="Arial" w:cs="Arial" w:eastAsia="Arial" w:hAnsi="Arial"/>
                <w:sz w:val="27"/>
                <w:szCs w:val="27"/>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7"/>
                <w:szCs w:val="17"/>
                <w:color w:val="auto"/>
              </w:rPr>
              <w:t>3,236,246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180" w:type="dxa"/>
            <w:vAlign w:val="bottom"/>
          </w:tcPr>
          <w:p>
            <w:pPr>
              <w:spacing w:after="0"/>
              <w:rPr>
                <w:sz w:val="20"/>
                <w:szCs w:val="20"/>
                <w:color w:val="auto"/>
              </w:rPr>
            </w:pPr>
          </w:p>
        </w:tc>
      </w:tr>
      <w:tr>
        <w:trPr>
          <w:trHeight w:val="236"/>
        </w:trPr>
        <w:tc>
          <w:tcPr>
            <w:tcW w:w="634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17,437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53,880</w:t>
            </w:r>
          </w:p>
        </w:tc>
        <w:tc>
          <w:tcPr>
            <w:tcW w:w="1180" w:type="dxa"/>
            <w:vAlign w:val="bottom"/>
          </w:tcPr>
          <w:p>
            <w:pPr>
              <w:spacing w:after="0"/>
              <w:rPr>
                <w:sz w:val="20"/>
                <w:szCs w:val="20"/>
                <w:color w:val="auto"/>
              </w:rPr>
            </w:pPr>
          </w:p>
        </w:tc>
      </w:tr>
      <w:tr>
        <w:trPr>
          <w:trHeight w:val="190"/>
        </w:trPr>
        <w:tc>
          <w:tcPr>
            <w:tcW w:w="63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Total</w:t>
            </w:r>
          </w:p>
        </w:tc>
        <w:tc>
          <w:tcPr>
            <w:tcW w:w="13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8,188,959</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25,303,880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1,346,068 shares purchased by Vivo Ventures Fund VII, L.P. and 29,337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2,692,557 shares purchased by RA Capital Healthcare Fund, L.P. and 543,689 shares purchased by Blackwell Partners LLC — Series A.</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 Voting Agreement and Right of First Refusal and Co-Sale Agreement</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In connection with the sales of convertible preferred stock described above, we entered into an investors' rights agreement, a voting agreement and a right of first refusal and co-sale agreement with the holders of preferred stock, including each of the persons and entities listed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investors' rights agreement, among other things:</w:t>
      </w:r>
    </w:p>
    <w:p>
      <w:pPr>
        <w:spacing w:after="0" w:line="224" w:lineRule="exact"/>
        <w:rPr>
          <w:sz w:val="20"/>
          <w:szCs w:val="20"/>
          <w:color w:val="auto"/>
        </w:rPr>
      </w:pPr>
    </w:p>
    <w:p>
      <w:pPr>
        <w:ind w:left="1060" w:right="260" w:hanging="531"/>
        <w:spacing w:after="0" w:line="246"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grants our preferred stockholders specified registration rights with respect to shares of our common stock, including shares of common stock issued or issuable upon conversion of the shares of convertible preferred stock held by them;</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obligates us to deliver periodic financial statements to some of the stockholders who are parties to the investors' rights agreement; and</w:t>
      </w:r>
    </w:p>
    <w:p>
      <w:pPr>
        <w:spacing w:after="0" w:line="14"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grants a right of first refusal with respect to sales of our shares by us, subject to specified exclusions, which exclusions include the sale of the shares pursuant to this prospectus, to the stockholders who are parties to the investors' rights agreement.</w:t>
      </w:r>
    </w:p>
    <w:p>
      <w:pPr>
        <w:spacing w:after="0" w:line="193" w:lineRule="exact"/>
        <w:rPr>
          <w:sz w:val="20"/>
          <w:szCs w:val="20"/>
          <w:color w:val="auto"/>
        </w:rPr>
      </w:pPr>
    </w:p>
    <w:p>
      <w:pPr>
        <w:jc w:val="both"/>
        <w:ind w:right="440"/>
        <w:spacing w:after="0" w:line="252" w:lineRule="auto"/>
        <w:rPr>
          <w:sz w:val="20"/>
          <w:szCs w:val="20"/>
          <w:color w:val="auto"/>
        </w:rPr>
      </w:pPr>
      <w:r>
        <w:rPr>
          <w:rFonts w:ascii="Arial" w:cs="Arial" w:eastAsia="Arial" w:hAnsi="Arial"/>
          <w:sz w:val="17"/>
          <w:szCs w:val="17"/>
          <w:color w:val="auto"/>
        </w:rPr>
        <w:t>For more information regarding the registration rights provided in this agreement, please refer to the section titled "Description of Capital Stock — Registration Rights." The provisions of this agreement other than those relating to registration rights will terminate upon the closing of this offering.</w:t>
      </w:r>
    </w:p>
    <w:p>
      <w:pPr>
        <w:spacing w:after="0" w:line="193"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voting agreement, among other things, provides for the voting of shares with respect to the constituency of our board of directors and the voting of shares in favor of specified transactions approved by our board of directors and the requisite majority of holders of our outstanding preferred stock. The voting agreement will terminate upon the closing of this offering.</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right of first refusal and co-sale agreement, among other things, grants our investors rights of first refusal and co-sale with respect to proposed transfers of our securities by specified stockholders and grants us rights of first refusal with respect to proposed transfers of our securities by specified stockholders. The right of first refusal and co-sale agreement will terminate upon the closing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Agreements with Ceptaris and NST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2012, we entered into a services agreement with Ceptaris Therapeutics, Inc., or the initial Ceptaris services agreement, under which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Ceptaris Therapeutics, Inc., or Ceptaris, provided us with professional services, administrative support and office services. In September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Ceptaris terminated</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agreement in accordance with its terms, and we entered into a second services agreement with Ceptaris under which Ceptaris provided us with pharmaceutical development and management services. The second Ceptaris services agreement was amended in January 2014 pursuant to which we revised the scope of the services provided by Ceptaris to exclude personnel-related services and to eliminate our obligation to pay service fees related to those services. Ceptaris terminated the second Ceptaris services agreement in accordance with its terms in February 2014.</w:t>
      </w:r>
    </w:p>
    <w:p>
      <w:pPr>
        <w:spacing w:after="0" w:line="198"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The chairman of our board of directors, Stephen A. Tullman, was the Chief Executive Officer of Ceptaris, and our Chief Legal Officer, Kamil Ali-Jackson, was the Chief Legal Officer of Ceptaris during the periods covered by the services agreements with Ceptaris. Our directors and executive officers in the aggregate owned approximately 3% of the equity interests in Ceptaris.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Under the terms of the initial Ceptaris services agreement, we were obligated to pay Ceptaris a monthly service fee of $16,487. Under the terms of the second Ceptaris services agreement, we were obligated to pay Ceptaris a monthly service fee of $7,510. For the years ended December 31, 2012, 2013 and 2014 and the six months ended June 30, 2014, we paid Ceptaris an aggregate of $64,716, $166,211, $10,310 and $10,310, respectively, under the two services agreements.</w:t>
      </w:r>
    </w:p>
    <w:p>
      <w:pPr>
        <w:spacing w:after="0" w:line="198"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February 2014, we entered into a services agreement with NST, LLC, or the NST services agreement, pursuant to which NST, LLC provides us with pharmaceutical development, management and other administrative services, and we provide services to NST, LLC. Mr. Tullman is the manager of NST, LLC. In addition, several of our directors and executive officers are members of NST, LLC, including Mr. Tullman, Neal Walker, Frank Ruffo and Ms. Ali-Jackson. These directors and executive officers in the aggregate own approximately 44% of the membership interests in NST, LLC.</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NST services agreement was amended in January 2015 pursuant to which NST, LLC assigned all interests, rights, duties and obligations under the NST services agreement to NST Consulting, LLC, a wholly owned subsidiary of NST, LLC. Mr. Tullman is also the manager of NST Consulting, LLC. We refer to NST, LLC and NST Consulting, LLC together in this prospectus as NST.</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terms of the NST services agreement, as amended, we are obligated to pay NST a monthly service fee of $37,990, including benefits-related expenses. In addition, we have agreed to indemnify NST and its officers, employees and directors against all losses (i) arising out of, due to or in connection with the provision of services under the NST services agreement, subject to specified exceptions, and (ii) resulting from our or our affiliates' gross negligence or intentional misconduct. The NST services agreement may be terminated by either party upon 30 days' written notice.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through NST, we provide the part-time services of some of our executive officers to Alexar Therapeutics, Inc., a company under common control with us, and NST reimburses us for the services of these executive officers to Alexar Therapeutics, Inc. Specifically, NST reimburses us for 30% of the salaries of Messrs. Powala and Ruffo, 25% of Dr. Shanler's salary and 35% of Ms. Ali-Jackson's salary, plus 25% of each of these executive officers' benefits-related expenses. These personnel reimbursements from NST equal an aggregate payment of $37,800 per month. Our directors and executive officers in the aggregate own 19.0% of Alexar Therapeutics, Inc.</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NST provides us with the part-time services of some NST employees, including Mr. Tullman, and we reimburse NST for those services. We reimburse NST for 25% of Mr. Tullman's salary, plus 25% of his benefits-related expenses.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For the year ended December 31, 2014 and the six months ended June 30, 2014 and 2015, the reimbursements to us from NST aggregated $412,596, $206,640 and $243,834, respectively, and the reimbursements from us to NST aggregated $466,993, $239,486 and $252,610,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Subleases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September 2012, we entered into a sub-sublease agreement with Ceptaris for its leased office space in Malvern, Pennsylvania. Pursuant to this sub-sublease agreement, for the years ended December 31, 2012 and 2013, we made aggregate payments of $21,251 and $51,669, respectively.</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Upon the acquisition of Ceptaris in September 2013, we terminated the sub-sublease agreement with Ceptaris and entered into a sublease agreement with NeXeption, Inc. for the leased space. In March 2014, we entered into an Amended and Restated Sublease with NeXeption, Inc., which was subsequently amended in December 2014 and August 2015. Mr. Tullman is the President and Chief Executive Officer and owns 50.0% of the ownership interests of NeXeption, Inc. and Ms. Ali-Jackson is the Chief Legal Officer of NeXeption, Inc. For the years ended December 31, 2013 and 2014 and the six months ended June 30, 2014 and 2015, we made aggregate payments pursuant to these sublease agreements with NeXeption, Inc. of $16,435, $66,145, $33,147 and $52,283,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98"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In addition, we have entered into indemnification agreements with each of our directors and executive officers. For more information regarding these agreements, see "Executive Compensation — Limitations on Liability and Indemnification Matters."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underwriters have reserved for sale, at the initial public offering price, up to 250,000 shares of our common stock being offered for sale to our directors, officers and certain other persons associated with us as part of a directed share program.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We have adopted a related person transaction policy that sets forth our procedures for the identification, review, consideration and approval or ratification of related person transactions that became effective as of the date of this prospectus.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have adopted,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214"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risks, costs and benefits to us;</w:t>
      </w:r>
    </w:p>
    <w:p>
      <w:pPr>
        <w:spacing w:after="0" w:line="27" w:lineRule="exact"/>
        <w:rPr>
          <w:rFonts w:ascii="Arial" w:cs="Arial" w:eastAsia="Arial" w:hAnsi="Arial"/>
          <w:sz w:val="17"/>
          <w:szCs w:val="17"/>
          <w:color w:val="auto"/>
        </w:rPr>
      </w:pPr>
    </w:p>
    <w:p>
      <w:pPr>
        <w:ind w:left="1060" w:right="280" w:hanging="531"/>
        <w:spacing w:after="0" w:line="246"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that the related person is a director, immediate family member of a director or an entity with which a director is affiliated;</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September 1, 2015 for:</w:t>
      </w:r>
    </w:p>
    <w:p>
      <w:pPr>
        <w:spacing w:after="0" w:line="224"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percentage ownership information shown in the table is based upon 14,407,503 shares of common stock outstanding as of September 1, 2015, after giving effect to the conversion of all of our convertible preferred stock into 11,677,076 shares of common stock, which will occur upon the closing of this offering.</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on or before October 31, 2015, which is 60 days after September 1, 2015.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 The following table does not reflect any potential purchases by our stockholders, directors or executive officers pursuant to the directed share program or otherwise in this offering, which purchases, if any, will increase the percentage of shares owned after the offering of such stockholder from that set forth in the table below.</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up to an aggregate of $15.0 million in shares of our common stock in this offering at the initial public offering price per share. Based on the initial public offering price of $11.00 per share, these entities would purchase up to an aggregate of approximately 1,363,635 of the 5,000,000 shares in this offering based on these indications of interest. However, because indications of interest are not binding agreements or commitments to purchase, these entities may determine to increase or reduce the amount of their indications of interest or otherwise elect not to purchase any shares. In addition, the underwriters could determine to sell fewer shares to any of these entities than the entities indicate an interest in purchasing or not to sell any shares to these entities. The following table does not reflect any potential purchases by these stockholders or their affiliated entities. If any shares are purchased by these stockholders or their affiliated entities, the number of shares of common stock beneficially owned after this offering and the percentage of common stock beneficially owned after this offering may differ from that set forth in the table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Except as otherwise noted below, the address for persons listed in the table is c/o Aclaris Therapeutics, Inc., 101 Lindenwood Drive, Suite 400,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288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80" w:type="dxa"/>
            <w:vAlign w:val="bottom"/>
            <w:gridSpan w:val="5"/>
          </w:tcPr>
          <w:p>
            <w:pPr>
              <w:jc w:val="right"/>
              <w:ind w:right="1460"/>
              <w:spacing w:after="0" w:line="143"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20" w:type="dxa"/>
            <w:vAlign w:val="bottom"/>
            <w:gridSpan w:val="2"/>
            <w:vMerge w:val="restart"/>
          </w:tcPr>
          <w:p>
            <w:pPr>
              <w:jc w:val="center"/>
              <w:ind w:right="140"/>
              <w:spacing w:after="0" w:line="146"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1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Beneficially</w:t>
            </w:r>
          </w:p>
        </w:tc>
        <w:tc>
          <w:tcPr>
            <w:tcW w:w="94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Before</w:t>
            </w:r>
          </w:p>
        </w:tc>
        <w:tc>
          <w:tcPr>
            <w:tcW w:w="1940" w:type="dxa"/>
            <w:vAlign w:val="bottom"/>
            <w:gridSpan w:val="3"/>
          </w:tcPr>
          <w:p>
            <w:pPr>
              <w:jc w:val="right"/>
              <w:ind w:right="1460"/>
              <w:spacing w:after="0" w:line="157"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69"/>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Owned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Offering</w:t>
            </w:r>
          </w:p>
        </w:tc>
        <w:tc>
          <w:tcPr>
            <w:tcW w:w="194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5% or Greater Stockholders:</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Entities affiliated with Vivo Ventures Fund VII, L.P.</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3,723,500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1940" w:type="dxa"/>
            <w:vAlign w:val="bottom"/>
            <w:gridSpan w:val="3"/>
          </w:tcPr>
          <w:p>
            <w:pPr>
              <w:jc w:val="right"/>
              <w:ind w:right="116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3,468,824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1,880,390</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13.1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Entities affiliated with RA Capital Healthcare Fund, L.P.</w:t>
            </w:r>
            <w:r>
              <w:rPr>
                <w:rFonts w:ascii="Arial" w:cs="Arial" w:eastAsia="Arial" w:hAnsi="Arial"/>
                <w:sz w:val="27"/>
                <w:szCs w:val="27"/>
                <w:color w:val="auto"/>
                <w:vertAlign w:val="superscript"/>
              </w:rPr>
              <w:t>(4)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938,042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6300" w:type="dxa"/>
            <w:vAlign w:val="bottom"/>
            <w:gridSpan w:val="2"/>
          </w:tcPr>
          <w:p>
            <w:pPr>
              <w:ind w:left="20"/>
              <w:spacing w:after="0"/>
              <w:rPr>
                <w:sz w:val="20"/>
                <w:szCs w:val="20"/>
                <w:color w:val="auto"/>
              </w:rPr>
            </w:pPr>
            <w:r>
              <w:rPr>
                <w:rFonts w:ascii="Arial" w:cs="Arial" w:eastAsia="Arial" w:hAnsi="Arial"/>
                <w:sz w:val="17"/>
                <w:szCs w:val="17"/>
                <w:i w:val="1"/>
                <w:iCs w:val="1"/>
                <w:color w:val="auto"/>
              </w:rPr>
              <w:t>Named Executive Officers and Directors: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Neal Walker</w:t>
            </w:r>
            <w:r>
              <w:rPr>
                <w:rFonts w:ascii="Arial" w:cs="Arial" w:eastAsia="Arial" w:hAnsi="Arial"/>
                <w:sz w:val="27"/>
                <w:szCs w:val="27"/>
                <w:color w:val="auto"/>
                <w:vertAlign w:val="superscript"/>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1,158,914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(6)</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384,241</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379,628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(8)</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1,000,694</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6.9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Richard Bierly</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Albert Cha, M.D., Ph.D.</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3,723,500</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25.8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19.2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Christopher Molineaux</w:t>
            </w:r>
            <w:r>
              <w:rPr>
                <w:rFonts w:ascii="Arial" w:cs="Arial" w:eastAsia="Arial" w:hAnsi="Arial"/>
                <w:sz w:val="27"/>
                <w:szCs w:val="27"/>
                <w:color w:val="auto"/>
                <w:vertAlign w:val="superscript"/>
              </w:rPr>
              <w:t>(9)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17,616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tcPr>
          <w:p>
            <w:pPr>
              <w:ind w:left="160"/>
              <w:spacing w:after="0" w:line="236" w:lineRule="exact"/>
              <w:rPr>
                <w:sz w:val="20"/>
                <w:szCs w:val="20"/>
                <w:color w:val="auto"/>
              </w:rPr>
            </w:pPr>
            <w:r>
              <w:rPr>
                <w:rFonts w:ascii="Arial" w:cs="Arial" w:eastAsia="Arial" w:hAnsi="Arial"/>
                <w:sz w:val="17"/>
                <w:szCs w:val="17"/>
                <w:color w:val="auto"/>
              </w:rPr>
              <w:t>Anand Mehra, M.D.</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1,880,390</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13.1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00" w:type="dxa"/>
            <w:vAlign w:val="bottom"/>
            <w:gridSpan w:val="2"/>
            <w:shd w:val="clear" w:color="auto" w:fill="CCEEFF"/>
          </w:tcPr>
          <w:p>
            <w:pPr>
              <w:ind w:left="160"/>
              <w:spacing w:after="0" w:line="236" w:lineRule="exact"/>
              <w:rPr>
                <w:sz w:val="20"/>
                <w:szCs w:val="20"/>
                <w:color w:val="auto"/>
              </w:rPr>
            </w:pPr>
            <w:r>
              <w:rPr>
                <w:rFonts w:ascii="Arial" w:cs="Arial" w:eastAsia="Arial" w:hAnsi="Arial"/>
                <w:sz w:val="17"/>
                <w:szCs w:val="17"/>
                <w:color w:val="auto"/>
              </w:rPr>
              <w:t>All current directors and executive officers as a group (10 persons)</w:t>
            </w:r>
            <w:r>
              <w:rPr>
                <w:rFonts w:ascii="Arial" w:cs="Arial" w:eastAsia="Arial" w:hAnsi="Arial"/>
                <w:sz w:val="27"/>
                <w:szCs w:val="27"/>
                <w:color w:val="auto"/>
                <w:vertAlign w:val="superscript"/>
              </w:rPr>
              <w:t>(10)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8,879,725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58.0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1640" w:type="dxa"/>
            <w:vAlign w:val="bottom"/>
            <w:tcBorders>
              <w:bottom w:val="single" w:sz="8" w:color="auto"/>
            </w:tcBorders>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54" w:lineRule="exact"/>
        <w:rPr>
          <w:sz w:val="20"/>
          <w:szCs w:val="20"/>
          <w:color w:val="auto"/>
        </w:rPr>
      </w:pPr>
    </w:p>
    <w:p>
      <w:pPr>
        <w:ind w:left="1680" w:right="120" w:hanging="533"/>
        <w:spacing w:after="0" w:line="223"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3,360,408 shares of common stock issuable upon conversion of shares of preferred stock held by Vivo Ventures Fund VII, L.P., or Vivo VII, and (b) 289,854 shares of common stock and 73,238 shares of common stock issuable upon conversion of shares of preferred stock held by Vivo Ventures VII Affiliates Fund, L.P., or Vivo VII Affiliates. The shares directly held by Vivo VII and Vivo VII Affiliates are indirectly held by Vivo Ventures VII, LLC, or Vivo VII LLC, the sole general partner of each of Vivo VII and Vivo VII Affiliates. The managing members of Vivo VII LLC are Drs. Albert Cha (a member of our board of directors), Edgar Engleman and Frank Kung, each of whom may be deemed to have shared voting and dispositive power over the shares listed in the table. The principal business address of Vivo VII and Vivo VII Affiliates is 575 High Street, Suite 201, Palo Alto, California 94301. If Vivo VII, Vivo VII Affiliates and their affiliated entities were to purchase all of the shares they have indicated an interest in purchasing in this offering, based on the initial public offering price of $11.00 per share, they would purchase an aggregate of approximately 454,545 shares, and as a result the percentage of shares beneficially owned by them after the offering would be 21.5%.</w:t>
      </w:r>
    </w:p>
    <w:p>
      <w:pPr>
        <w:spacing w:after="0" w:line="152" w:lineRule="exact"/>
        <w:rPr>
          <w:rFonts w:ascii="Arial" w:cs="Arial" w:eastAsia="Arial" w:hAnsi="Arial"/>
          <w:sz w:val="21"/>
          <w:szCs w:val="21"/>
          <w:color w:val="auto"/>
          <w:vertAlign w:val="superscript"/>
        </w:rPr>
      </w:pPr>
    </w:p>
    <w:p>
      <w:pPr>
        <w:ind w:left="1680" w:right="120" w:hanging="533"/>
        <w:spacing w:after="0" w:line="211"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3,468,824 shares of common stock issuable upon conversion of shares of preferred stock held by Beacon Bioventures Fund III Limited Partnership, or Beacon III. The shares directly held by Beacon III are indirectly held by Beacon Bioventures Advisors Fund III Limited Partnership, or Beacon Advisors, its general partner, and Impresa Management LLC, the general partner of Beacon Advisors. The principal business address of Beacon III is One Main Street, 13</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Cambridge, Massachusetts 02142. If Beacon III and its affiliated entities were to purchase all of the shares they have indicated an interest in purchasing in this offering, based on the initial public offering price of $11.00 per share, they would purchase an aggregate of approximately 454,545 shares, and as a result the percentage of shares beneficially owned by them after the offering would be 20.2%.</w:t>
      </w:r>
    </w:p>
    <w:p>
      <w:pPr>
        <w:spacing w:after="0" w:line="146" w:lineRule="exact"/>
        <w:rPr>
          <w:rFonts w:ascii="Arial" w:cs="Arial" w:eastAsia="Arial" w:hAnsi="Arial"/>
          <w:sz w:val="21"/>
          <w:szCs w:val="21"/>
          <w:color w:val="auto"/>
          <w:vertAlign w:val="superscript"/>
        </w:rPr>
      </w:pPr>
    </w:p>
    <w:p>
      <w:pPr>
        <w:ind w:left="1680" w:right="20" w:hanging="533"/>
        <w:spacing w:after="0" w:line="221"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1,880,390 shares of common stock issuable upon conversion of shares of preferred stock held by Sofinnova Venture Partners VIII, L.P., or Sofinnova VIII. Sofinnova Management VIII, L.L.C. is the general partner of Sofinnova VIII, and Anand Mehra, M.D. (a member of our board of directors), James Healy, M.D., Michael Powell, Ph.D. and Srinivas Akkaraju, M.D., Ph.D., the managing members of Sofinnova Management VIII, L.L.C., may be deemed to have shared voting and dispositive power with respect to such shares. The address of Sofinnova VIII is c/o Sofinnova Ventures, Inc., 3000 Sand Hill Road, Bldg. 4, Suite 250, Menlo Park, California 94025. If Sofinnova VIII and its affiliated entities were to purchase all of the shares they have indicated an interest in purchasing in this offering, based on the initial public offering price of $11.00 per share, they would purchase an aggregate of approximately 454,545 shares, and as a result the percentage of shares beneficially owned by them after the offering would be 12.0%.</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28" w:lineRule="exact"/>
        <w:rPr>
          <w:sz w:val="20"/>
          <w:szCs w:val="20"/>
          <w:color w:val="auto"/>
        </w:rPr>
      </w:pPr>
    </w:p>
    <w:p>
      <w:pPr>
        <w:ind w:left="1680" w:hanging="533"/>
        <w:spacing w:after="0"/>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780,451 shares of common stock issuable upon conversion of shares of preferred stock held by RA Capital Healthcare Fund, L.P. and</w:t>
      </w:r>
    </w:p>
    <w:p>
      <w:pPr>
        <w:ind w:left="1680" w:right="80" w:hanging="9"/>
        <w:spacing w:after="0" w:line="237" w:lineRule="auto"/>
        <w:tabs>
          <w:tab w:leader="none" w:pos="1890" w:val="left"/>
        </w:tabs>
        <w:numPr>
          <w:ilvl w:val="1"/>
          <w:numId w:val="86"/>
        </w:numPr>
        <w:rPr>
          <w:rFonts w:ascii="Arial" w:cs="Arial" w:eastAsia="Arial" w:hAnsi="Arial"/>
          <w:sz w:val="14"/>
          <w:szCs w:val="14"/>
          <w:color w:val="auto"/>
        </w:rPr>
      </w:pPr>
      <w:r>
        <w:rPr>
          <w:rFonts w:ascii="Arial" w:cs="Arial" w:eastAsia="Arial" w:hAnsi="Arial"/>
          <w:sz w:val="14"/>
          <w:szCs w:val="14"/>
          <w:color w:val="auto"/>
        </w:rPr>
        <w:t>157,591 shares of common stock issuable upon conversion of shares of preferred stock held by Blackwell Partners LLC — Series A. The shares directly held by RA Capital Healthcare Fund, L.P. and Blackwell Partners LLC — Series A are indirectly held by RA Capital Management, LLC, the general partner of RA Capital Healthcare Fund, L.P and investment advisor of Blackwell Partners LLC — Series A. Peter Kolchinsky, as Manager of RA Capital Management, LLC, has voting and dispositive power over the shares held by RA Capital Healthcare Fund, L.P. and Blackwell Partners, LLC — Series A. The notice address for RA Capital Healthcare Fund, L.P. and Blackwell Partners, LLC — Series A is 20 Park Plaza, Suite 1200, Boston, MA 02116.</w:t>
      </w:r>
    </w:p>
    <w:p>
      <w:pPr>
        <w:spacing w:after="0" w:line="148" w:lineRule="exact"/>
        <w:rPr>
          <w:rFonts w:ascii="Arial" w:cs="Arial" w:eastAsia="Arial" w:hAnsi="Arial"/>
          <w:sz w:val="14"/>
          <w:szCs w:val="14"/>
          <w:color w:val="auto"/>
        </w:rPr>
      </w:pPr>
    </w:p>
    <w:p>
      <w:pPr>
        <w:ind w:left="1680" w:right="80" w:hanging="533"/>
        <w:spacing w:after="0" w:line="212" w:lineRule="auto"/>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785,507 shares of common stock and (b) 373,407 shares of common stock underlying options that are exercisable within 60 days of September 1, 2015. Of the shares of common stock, 147,283 shares will be subject to a right of repurchase in our favor within 60 days of September 1, 2015 upon the occurrence of certain events. Does not include 521,739 shares of common stock held by NeXeption, LLC. Dr. Walker is a member of NeXeption, LLC, but does not have or share voting or dispositive power over the shares held by NeXeption, LLC.</w:t>
      </w:r>
    </w:p>
    <w:p>
      <w:pPr>
        <w:spacing w:after="0" w:line="146" w:lineRule="exact"/>
        <w:rPr>
          <w:rFonts w:ascii="Arial" w:cs="Arial" w:eastAsia="Arial" w:hAnsi="Arial"/>
          <w:sz w:val="21"/>
          <w:szCs w:val="21"/>
          <w:color w:val="auto"/>
          <w:vertAlign w:val="superscript"/>
        </w:rPr>
      </w:pPr>
    </w:p>
    <w:p>
      <w:pPr>
        <w:ind w:left="1680" w:right="20" w:hanging="533"/>
        <w:spacing w:after="0" w:line="212" w:lineRule="auto"/>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130,434 shares of common stock held directly by Mr. Powala, (b) 130,434 shares of common stock held by the Christopher V. Powala Aclaris Irrevocable Trust, of which Mr. Powala serves as the trustee, and (c) 123,373 shares of common stock underlying options that are exercisable within 60 days of September 1, 2015. Of the shares of common stock, 24,456 shares held by Mr. Powala directly and 24,456 shares held by the trust will be subject to a right of repurchase in our favor within 60 days of September 1, 2015 upon the occurrence of certain events.</w:t>
      </w:r>
    </w:p>
    <w:p>
      <w:pPr>
        <w:spacing w:after="0" w:line="146" w:lineRule="exact"/>
        <w:rPr>
          <w:rFonts w:ascii="Arial" w:cs="Arial" w:eastAsia="Arial" w:hAnsi="Arial"/>
          <w:sz w:val="21"/>
          <w:szCs w:val="21"/>
          <w:color w:val="auto"/>
          <w:vertAlign w:val="superscript"/>
        </w:rPr>
      </w:pPr>
    </w:p>
    <w:p>
      <w:pPr>
        <w:ind w:left="1680" w:right="160" w:hanging="533"/>
        <w:spacing w:after="0" w:line="205" w:lineRule="auto"/>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260,869 shares of common stock and (b) 118,759 shares of common stock underlying options that are exercisable within 60 days of September 1, 2015. Of the shares of common stock, 48,913 shares will be subject to a right of repurchase in our favor within 60 days of September 1, 2015 upon the occurrence of certain events.</w:t>
      </w:r>
    </w:p>
    <w:p>
      <w:pPr>
        <w:spacing w:after="0" w:line="6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347,826 shares of common stock held by the 2007 Irrevocable Trust of Stephen A. Tullman, of which Mr. Tullman's wife serves as the trustee,</w:t>
      </w:r>
    </w:p>
    <w:p>
      <w:pPr>
        <w:ind w:left="1880" w:hanging="209"/>
        <w:spacing w:after="0" w:line="234" w:lineRule="auto"/>
        <w:tabs>
          <w:tab w:leader="none" w:pos="1880" w:val="left"/>
        </w:tabs>
        <w:numPr>
          <w:ilvl w:val="1"/>
          <w:numId w:val="86"/>
        </w:numPr>
        <w:rPr>
          <w:rFonts w:ascii="Arial" w:cs="Arial" w:eastAsia="Arial" w:hAnsi="Arial"/>
          <w:sz w:val="14"/>
          <w:szCs w:val="14"/>
          <w:color w:val="auto"/>
        </w:rPr>
      </w:pPr>
      <w:r>
        <w:rPr>
          <w:rFonts w:ascii="Arial" w:cs="Arial" w:eastAsia="Arial" w:hAnsi="Arial"/>
          <w:sz w:val="14"/>
          <w:szCs w:val="14"/>
          <w:color w:val="auto"/>
        </w:rPr>
        <w:t>46,188 shares of common stock issuable upon conversion of shares of preferred stock held by the 2007 Irrevocable Trust of Stephen A. Tullman,</w:t>
      </w:r>
    </w:p>
    <w:p>
      <w:pPr>
        <w:jc w:val="both"/>
        <w:ind w:left="1680" w:right="120" w:hanging="9"/>
        <w:spacing w:after="0" w:line="238" w:lineRule="auto"/>
        <w:tabs>
          <w:tab w:leader="none" w:pos="1882" w:val="left"/>
        </w:tabs>
        <w:numPr>
          <w:ilvl w:val="1"/>
          <w:numId w:val="86"/>
        </w:numPr>
        <w:rPr>
          <w:rFonts w:ascii="Arial" w:cs="Arial" w:eastAsia="Arial" w:hAnsi="Arial"/>
          <w:sz w:val="14"/>
          <w:szCs w:val="14"/>
          <w:color w:val="auto"/>
        </w:rPr>
      </w:pPr>
      <w:r>
        <w:rPr>
          <w:rFonts w:ascii="Arial" w:cs="Arial" w:eastAsia="Arial" w:hAnsi="Arial"/>
          <w:sz w:val="14"/>
          <w:szCs w:val="14"/>
          <w:color w:val="auto"/>
        </w:rPr>
        <w:t>521,739 shares of common stock held by NeXeption, LLC, of which Mr. Tullman is the Manager and, accordingly, may be deemed to share voting and dispositive power, and (d) 84,941 shares of common stock underlying options that are exercisable within 60 days of September 1, 2015. Of the shares of common stock held by the 2007 Irrevocable Trust of Stephen A. Tullman, 65,217 shares will be subject to a right of repurchase in our favor within 60 days of September 1, 2015 upon the occurrence of certain events.</w:t>
      </w:r>
    </w:p>
    <w:p>
      <w:pPr>
        <w:spacing w:after="0" w:line="74" w:lineRule="exact"/>
        <w:rPr>
          <w:rFonts w:ascii="Arial" w:cs="Arial" w:eastAsia="Arial" w:hAnsi="Arial"/>
          <w:sz w:val="14"/>
          <w:szCs w:val="14"/>
          <w:color w:val="auto"/>
        </w:rPr>
      </w:pPr>
    </w:p>
    <w:p>
      <w:pPr>
        <w:ind w:left="1680" w:hanging="533"/>
        <w:spacing w:after="0"/>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shares of common stock underlying options that are exercisable within 60 days of September 1, 2015.</w:t>
      </w:r>
    </w:p>
    <w:p>
      <w:pPr>
        <w:spacing w:after="0" w:line="64" w:lineRule="exact"/>
        <w:rPr>
          <w:rFonts w:ascii="Arial" w:cs="Arial" w:eastAsia="Arial" w:hAnsi="Arial"/>
          <w:sz w:val="21"/>
          <w:szCs w:val="21"/>
          <w:color w:val="auto"/>
          <w:vertAlign w:val="superscript"/>
        </w:rPr>
      </w:pPr>
    </w:p>
    <w:p>
      <w:pPr>
        <w:ind w:left="1680" w:hanging="533"/>
        <w:spacing w:after="0" w:line="237" w:lineRule="auto"/>
        <w:tabs>
          <w:tab w:leader="none" w:pos="16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Consists of (a) 2,617,386 shares of common stock, (b) 5,371,440 shares of common stock issuable upon conversion of shares of preferred stock and</w:t>
      </w:r>
    </w:p>
    <w:p>
      <w:pPr>
        <w:ind w:left="1680" w:hanging="9"/>
        <w:spacing w:after="0" w:line="260" w:lineRule="auto"/>
        <w:tabs>
          <w:tab w:leader="none" w:pos="1882" w:val="left"/>
        </w:tabs>
        <w:numPr>
          <w:ilvl w:val="1"/>
          <w:numId w:val="87"/>
        </w:numPr>
        <w:rPr>
          <w:rFonts w:ascii="Arial" w:cs="Arial" w:eastAsia="Arial" w:hAnsi="Arial"/>
          <w:sz w:val="13"/>
          <w:szCs w:val="13"/>
          <w:color w:val="auto"/>
        </w:rPr>
      </w:pPr>
      <w:r>
        <w:rPr>
          <w:rFonts w:ascii="Arial" w:cs="Arial" w:eastAsia="Arial" w:hAnsi="Arial"/>
          <w:sz w:val="13"/>
          <w:szCs w:val="13"/>
          <w:color w:val="auto"/>
        </w:rPr>
        <w:t>890,899 shares of common stock underlying options that are exercisable within 60 days of September 1, 2015. Of the shares of common stock, 338,586 shares will be subject to a right of repurchase in our favor within 60 days of September 1, 2015 upon the occurrence of certain events. If certain of our existing stockholders and their affiliated entities who are affiliated with our current directors were to purchase all of the shares they have indicated an interest in purchasing in this offering, based on the initial public offering price of $11.00 per share, they would purchase an aggregate of approximately 909,090 shares, and as a result the percentage of shares beneficially owned by our current directors and executive officers as a group after the offering would be 48.2%.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is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100,000,000 shares of common stock, $0.00001 par value per share, and 10,000,000 shares of preferred stock, $0.00001 par value per share, all of which shares of preferred stock will be undesignated. Our board of directors may establish the rights and preferences of the preferred stock from time to time. As of September 1, 2015, we had outstanding 2,730,427 shares of common stock, held by 14 stockholders of record. As of September 1, 2015, after giving effect to the conversion of all outstanding preferred stock into 11,677,076 shares of common stock, there would have been 14,407,503 shares of common stock issued and outstanding, held of record by approximately 49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3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31"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of September 1, 2015, there were outstanding 40,286,041 shares of convertible preferred stock, consisting of 20,890,000 shares of Series A convertible preferred stock, 6,451,057 shares of Series B convertible preferred stock and 12,944,984 shares of Series C convertible preferred stock. All currently outstanding shares of convertible preferred stock will be converted into an aggregate of 11,677,076 shares of common stock upon the closing of this offering.</w:t>
      </w:r>
    </w:p>
    <w:p>
      <w:pPr>
        <w:spacing w:after="0" w:line="198"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Following the closing of this offering, our board of directors will have the authority, without further action by our stockholders, to issue up to 10,000,000 shares of preferred stock in one or more series, to establish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of control of our company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have no present plans to issue any shares of preferred stock following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3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As of September 1, 2015, under our 2012 plan, options to purchase an aggregate of 1,140,524 shares of common stock were outstanding. For additional information regarding the terms of this plan, see "Executive Compensation — Equity Incentive Plans."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and the holders of our existing convertible preferred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At any time beginning six months following the date of this prospectus, the holders of at least a majority of the outstanding shares issuable upon conversion of our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90 days after the receipt of such request. An aggregate of 11,677,076 shares of common stock will be entitled to these demand registration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At any time after the closing of this offering, if we propose to register any of our securities under the Securities Act either for our own account or for the account of other stockholders, the holders of shares of common stock that are issued upon conversion of our convertible preferred stock and the holders of shares of our common stock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An aggregate of 11,677,076 shares of common stock will be entitled to these piggyback registration rights.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At any time after we become eligible to file a registration statement on Form S-3, the holders of shares of common stock that are issued upon conversion of our convertible preferred stock and the holders of shares of our common stock will each be entitled, upon the written request of holders of at least 30% of such shares,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$2.5 million. Upon receipt of this request, the holders of shares of common stock that are issued upon conversion of our convertible preferred stock and the holders of shares of our common stock will each be entitled to participate in this registration. An aggregate of 11,677,076 shares of common stock will be entitled to these Form S-3 registration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will pay all expenses relating to any demand, piggyback or Form S-3 registration, other than underwriting discounts and commissions, subject to specified conditions and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 registration rights granted under the investors' rights agreement will terminate upon the earlier of the fifth anniversary of the closing of this offering, a liquidation event or at such time as all shares held by the preferred stockholders are eligible to be sold without restriction pursuant to Rule 144 under the Securities Act of 1933, as amended, within any 90-day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2" w:lineRule="exact"/>
        <w:rPr>
          <w:sz w:val="20"/>
          <w:szCs w:val="20"/>
          <w:color w:val="auto"/>
        </w:rPr>
      </w:pPr>
    </w:p>
    <w:p>
      <w:pPr>
        <w:ind w:left="106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05"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9" w:lineRule="exact"/>
        <w:rPr>
          <w:rFonts w:ascii="Arial" w:cs="Arial" w:eastAsia="Arial" w:hAnsi="Arial"/>
          <w:sz w:val="17"/>
          <w:szCs w:val="17"/>
          <w:color w:val="auto"/>
        </w:rPr>
      </w:pPr>
    </w:p>
    <w:p>
      <w:pPr>
        <w:jc w:val="both"/>
        <w:ind w:left="1060" w:right="200" w:hanging="531"/>
        <w:spacing w:after="0" w:line="21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224" w:lineRule="exact"/>
        <w:rPr>
          <w:sz w:val="20"/>
          <w:szCs w:val="20"/>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Upon the Closing of this Offering</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the closing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closing of this offering, or our restated bylaws, will also provide that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directors may be removed by the stockholders only for cause upon the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Our restated bylaws will also provide that stockholders seeking to present proposals before a meeting of stockholders or to nominate candidates for election as directors at a meeting of stockholders must provide timely advance notice in writing, and will specify requirements as to the form and content of a stockholder's notice.</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restated certificate and restated bylaws will provide that the stockholders cannot amend many of the provisions described above except by a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w:t>
      </w:r>
    </w:p>
    <w:p>
      <w:pPr>
        <w:spacing w:after="0" w:line="5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restated certificate will provide that the Court of Chancery of the State of Delaware will be the exclusive forum for:</w:t>
      </w:r>
    </w:p>
    <w:p>
      <w:pPr>
        <w:spacing w:after="0" w:line="224"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the Delaware General Corporation Law, our restated certificate, or our amended and restated bylaws;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 affairs doctrine.</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restated certificate to be inapplicable or unenforceable in such 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transfer agent and registrar for our common stock is Broadridge Corporate Issuer Solutions, Inc. The transfer agent's address is 1717 Arch Street, Suite 1300, Philadelphia, Pennsylvania 19103.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Select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approved for listing on The NASDAQ Global Select Market under the trading symbol "ACRS."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or the perception that these sales could occur, could adversely affect prevailing market prices for our common stock and could impair our future ability to raise equity capital.</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Based on the number of shares outstanding as of September 1, 2015, upon the closing of this offering and assuming no exercise of the underwriters' option to purchase additional shares, 19,407,503 shares of common stock will be outstanding, assuming no outstanding options are exercised. All of the shares of common stock sold in this offering will be freely tradable without restrictions or further registration under the Securities Act, except for any shares sold to our "affiliates," as that term is defined under Rule 144 under the Securities Act. The remaining 14,407,503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w:t>
      </w:r>
    </w:p>
    <w:p>
      <w:pPr>
        <w:spacing w:after="0" w:line="201"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As a result of contractual restrictions described below and the provisions of Rules 144 and 701, the shares sold in this offering and the restricted securities will be available for sale in the public market as follows:</w:t>
      </w:r>
    </w:p>
    <w:p>
      <w:pPr>
        <w:sectPr>
          <w:pgSz w:w="11900" w:h="16838" w:orient="portrait"/>
          <w:cols w:equalWidth="0" w:num="1">
            <w:col w:w="11400"/>
          </w:cols>
          <w:pgMar w:left="240" w:top="143" w:right="25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5,000,000 shares sold in this offering will be eligible for immediate sale upon the closing of this offering; and</w:t>
      </w:r>
    </w:p>
    <w:p>
      <w:pPr>
        <w:spacing w:after="0" w:line="224"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all of the remaining shares will be eligible for sale in the public market upon expiration of lock-up agreements 180 days after the date of this prospectus, subject in certain circumstances to the volume, manner of sale and other limitations under Rule 144 and Rule 701.</w:t>
      </w:r>
    </w:p>
    <w:p>
      <w:pPr>
        <w:spacing w:after="0" w:line="568" w:lineRule="exact"/>
        <w:rPr>
          <w:sz w:val="20"/>
          <w:szCs w:val="20"/>
          <w:color w:val="auto"/>
        </w:rPr>
      </w:pPr>
    </w:p>
    <w:p>
      <w:pPr>
        <w:sectPr>
          <w:pgSz w:w="11900" w:h="16838" w:orient="portrait"/>
          <w:cols w:equalWidth="0" w:num="2">
            <w:col w:w="700" w:space="360"/>
            <w:col w:w="10340"/>
          </w:cols>
          <w:pgMar w:left="240" w:top="143" w:right="259" w:bottom="1440" w:gutter="0" w:footer="0" w:header="0"/>
          <w:type w:val="continuous"/>
        </w:sectPr>
      </w:pPr>
    </w:p>
    <w:p>
      <w:pPr>
        <w:spacing w:after="0" w:line="3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Any person who is not deemed to have been one of our affiliates at the time of, or at any time during the three months preceding, a sale may sell an unlimited number of restricted securities under Rule 144 if:</w:t>
      </w:r>
    </w:p>
    <w:p>
      <w:pPr>
        <w:spacing w:after="0" w:line="206" w:lineRule="exact"/>
        <w:rPr>
          <w:sz w:val="20"/>
          <w:szCs w:val="20"/>
          <w:color w:val="auto"/>
        </w:rPr>
      </w:pPr>
    </w:p>
    <w:p>
      <w:pPr>
        <w:ind w:left="1060" w:right="460" w:hanging="531"/>
        <w:spacing w:after="0" w:line="25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restricted securities have been held for at least six months, including the holding period of any prior owner other than one of our affiliates;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have been subject to the Exchange Act periodic reporting requirements for at least 90 days before the sale;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current in our Exchange Act reporting at the time of sale.</w:t>
      </w:r>
    </w:p>
    <w:p>
      <w:pPr>
        <w:spacing w:after="0" w:line="211"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Affiliates</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211" w:lineRule="exact"/>
        <w:rPr>
          <w:sz w:val="20"/>
          <w:szCs w:val="20"/>
          <w:color w:val="auto"/>
        </w:rPr>
      </w:pPr>
    </w:p>
    <w:p>
      <w:pPr>
        <w:ind w:left="1060" w:right="10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194,000 shares immediately after the closing of this offering based on the number of shares outstanding as of September 1, 2015; or</w:t>
      </w:r>
    </w:p>
    <w:p>
      <w:pPr>
        <w:spacing w:after="0" w:line="205" w:lineRule="exact"/>
        <w:rPr>
          <w:rFonts w:ascii="Arial" w:cs="Arial" w:eastAsia="Arial" w:hAnsi="Arial"/>
          <w:sz w:val="17"/>
          <w:szCs w:val="17"/>
          <w:color w:val="auto"/>
        </w:rPr>
      </w:pPr>
    </w:p>
    <w:p>
      <w:pPr>
        <w:ind w:left="1060" w:right="76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Select Market during the four calendar weeks preceding the filing of a notice on Form 144 with respect to the sale.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of this prospectus titled "Underwriting" and will become eligible for sale upon the expiration of the restrictions set forth in those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soon as practicable after the closing of this offering, we intend to file with the SEC one or more registration statements on Form S-8 under the Securities Act to register the shares of our common stock that are issuable pursuant to our 2012 plan and 2015 plan.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and the holders of all of our common stock outstanding on the date of this prospectus, including each of our executive officers and directors,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to purchase shares of our common stock, or any securities convertible into, or exchangeable for or that represent the right to receive shares of our common stock, without the prior written consent of the representatives of the underwriters for a period of 180 days from the date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following is a general discussion of the material U.S. federal income and estate tax considerations applicable to non-U.S. holders with respect to their ownership and disposition of shares of our common stock issued pursuant to this offering. All prospective non-U.S. holders of our common stock should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for U.S. federal income tax purposes:</w:t>
      </w:r>
    </w:p>
    <w:p>
      <w:pPr>
        <w:spacing w:after="0" w:line="212"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4"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10"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discussion is based on current provisions of the U.S. Internal Revenue Code of 1986, as amended, which we refer to as the Code, existing U.S. Treasury Regulations promulgated thereunder, published administrative rulings and judicial decisions, all as in effect as of the date of this prospectus. These laws are subject to change and to differing interpretation, possibly with retroactive effect. Any change or differing interpretation could alter the tax consequences to non-U.S. holders described in this prospectus.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assume in this discussion that a non-U.S. holder holds shares of our common stock as a capital asset within the meaning of Section 1221 of the Code (generally,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This discussion also does not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real estate investment trusts, brokers, dealers or traders in securities, commodities or currencies, tax-qualified retirement plans, holders subject to the alternative minimum tax or the Medicare contribution tax,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There can be no assurance that the Internal Revenue Service, which we refer to as the IRS, will not challenge one or more of the tax consequences described herein, and we have not obtained, nor do we intend to obtain, a ruling with respect to the U.S. federal income or estate tax consequences to a non-U.S. holder of the purchase, ownership or disposition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 Any such distribution will also be subject to the discussion below under the heading "Foreign Accounts."</w:t>
      </w:r>
    </w:p>
    <w:p>
      <w:pPr>
        <w:spacing w:after="0" w:line="202"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Dividends paid to a non-U.S. holder will generally be subject to withholding of U.S. federal income tax at a 30% rate or such lower rate as may be specified by an applicable income tax treaty between the United States and such holder's country of residence.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w:t>
      </w:r>
    </w:p>
    <w:p>
      <w:pPr>
        <w:spacing w:after="0" w:line="198"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Disposition of Our Common Stock</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Subject to the discussion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206" w:lineRule="exact"/>
        <w:rPr>
          <w:sz w:val="20"/>
          <w:szCs w:val="20"/>
          <w:color w:val="auto"/>
        </w:rPr>
      </w:pPr>
    </w:p>
    <w:p>
      <w:pPr>
        <w:ind w:left="1060" w:hanging="531"/>
        <w:spacing w:after="0" w:line="244"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and, if the non-U.S. holder is a foreign corporation, the branch profits tax described above in "Distributions on Our Common Stock" also may apply;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44"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212" w:lineRule="exact"/>
        <w:rPr>
          <w:rFonts w:ascii="Arial" w:cs="Arial" w:eastAsia="Arial" w:hAnsi="Arial"/>
          <w:sz w:val="17"/>
          <w:szCs w:val="17"/>
          <w:color w:val="auto"/>
        </w:rPr>
      </w:pPr>
    </w:p>
    <w:p>
      <w:pPr>
        <w:ind w:left="1060" w:right="20" w:hanging="531"/>
        <w:spacing w:after="0" w:line="24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because we are, or have been, at any time during the five-year period preceding such disposition (or the non-U.S. holder's holding period, if shorter) a "U.S. real property holding corporation." Even if we are or become a U.S. real property holding corporation, provided that our common stock is regularly traded on an established securities market, our common stock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continue to be regularly traded on an established securities market for purposes of the rules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U.S. person (as defined in the Code) in order to avoid backup withholding at the applicable rate with respect to dividends on our common stock. Dividends paid to non-U.S. holders subject to the U.S. withholding tax, as described above in "Distributions on Our Common Stock," generally will be exempt from U.S. backup withholding.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Foreign Account Tax Compliance Act provisions of the Hiring Incentives to Restore Employment Act, or FATCA, generally imposes a U.S. federal withholding tax of 30% on dividends and the gross proceeds of a disposition of our common stock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 U.S. federal withholding tax of 30% also applies to dividends and the gross proceeds of a disposition of our common stock paid to a non-financial foreign entity (as specifically defined for this purpose), unless such entity provides the withholding agent with either a certification that it does not have any substantial direct or indirect U.S. owners or provides information regarding substantial direct and indirect U.S. owners of the entity. The withholding provisions described above currently apply to dividends paid on our common stock and, pursuant to IRS guidance, are expected to apply with respect to gross proceeds of a sale or other disposition of our common stock on or after January 1, 2019.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EACH PROSPECTIVE INVESTOR SHOULD CONSULT ITS TAX ADVISOR REGARDING THE PARTICULAR U.S. FEDERAL, STATE AND LOCAL AND NON-U.S. TAX CONSEQUENCES OF PURCHASING, HOLDING AND DISPOSING OF OUR COMMON STOCK, INCLUDING THE CONSEQUENCES OF ANY PROPOSED CHANGES IN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auto"/>
        </w:rPr>
        <w:t>Subject to the terms and conditions set forth in the underwriting agreement, dated October 6, 2015, among us and Jefferies LLC and Citigroup Global Markets Inc.,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0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400" w:type="dxa"/>
            <w:vAlign w:val="bottom"/>
          </w:tcPr>
          <w:p>
            <w:pPr>
              <w:spacing w:after="0"/>
              <w:rPr>
                <w:sz w:val="14"/>
                <w:szCs w:val="14"/>
                <w:color w:val="auto"/>
              </w:rPr>
            </w:pPr>
          </w:p>
        </w:tc>
        <w:tc>
          <w:tcPr>
            <w:tcW w:w="25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Jefferies LLC</w:t>
            </w:r>
          </w:p>
        </w:tc>
        <w:tc>
          <w:tcPr>
            <w:tcW w:w="3160" w:type="dxa"/>
            <w:vAlign w:val="bottom"/>
            <w:gridSpan w:val="2"/>
            <w:shd w:val="clear" w:color="auto" w:fill="CCEEFF"/>
          </w:tcPr>
          <w:p>
            <w:pPr>
              <w:jc w:val="center"/>
              <w:ind w:left="2315"/>
              <w:spacing w:after="0" w:line="189" w:lineRule="exact"/>
              <w:rPr>
                <w:sz w:val="20"/>
                <w:szCs w:val="20"/>
                <w:color w:val="auto"/>
              </w:rPr>
            </w:pPr>
            <w:r>
              <w:rPr>
                <w:rFonts w:ascii="Arial" w:cs="Arial" w:eastAsia="Arial" w:hAnsi="Arial"/>
                <w:sz w:val="17"/>
                <w:szCs w:val="17"/>
                <w:color w:val="auto"/>
              </w:rPr>
              <w:t>2,000,000</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40" w:type="dxa"/>
            <w:vAlign w:val="bottom"/>
            <w:gridSpan w:val="3"/>
          </w:tcPr>
          <w:p>
            <w:pPr>
              <w:ind w:left="1720"/>
              <w:spacing w:after="0"/>
              <w:rPr>
                <w:sz w:val="20"/>
                <w:szCs w:val="20"/>
                <w:color w:val="auto"/>
              </w:rPr>
            </w:pPr>
            <w:r>
              <w:rPr>
                <w:rFonts w:ascii="Arial" w:cs="Arial" w:eastAsia="Arial" w:hAnsi="Arial"/>
                <w:sz w:val="17"/>
                <w:szCs w:val="17"/>
                <w:color w:val="auto"/>
              </w:rPr>
              <w:t>Citigroup Global Markets Inc.</w:t>
            </w:r>
          </w:p>
        </w:tc>
        <w:tc>
          <w:tcPr>
            <w:tcW w:w="3160" w:type="dxa"/>
            <w:vAlign w:val="bottom"/>
            <w:gridSpan w:val="2"/>
          </w:tcPr>
          <w:p>
            <w:pPr>
              <w:jc w:val="center"/>
              <w:ind w:left="2315"/>
              <w:spacing w:after="0"/>
              <w:rPr>
                <w:sz w:val="20"/>
                <w:szCs w:val="20"/>
                <w:color w:val="auto"/>
              </w:rPr>
            </w:pPr>
            <w:r>
              <w:rPr>
                <w:rFonts w:ascii="Arial" w:cs="Arial" w:eastAsia="Arial" w:hAnsi="Arial"/>
                <w:sz w:val="17"/>
                <w:szCs w:val="17"/>
                <w:color w:val="auto"/>
              </w:rPr>
              <w:t>2,000,000</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Blair &amp; Company, L.L.C.</w:t>
            </w:r>
          </w:p>
        </w:tc>
        <w:tc>
          <w:tcPr>
            <w:tcW w:w="3160" w:type="dxa"/>
            <w:vAlign w:val="bottom"/>
            <w:gridSpan w:val="2"/>
            <w:shd w:val="clear" w:color="auto" w:fill="CCEEFF"/>
          </w:tcPr>
          <w:p>
            <w:pPr>
              <w:jc w:val="center"/>
              <w:ind w:left="2315"/>
              <w:spacing w:after="0"/>
              <w:rPr>
                <w:sz w:val="20"/>
                <w:szCs w:val="20"/>
                <w:color w:val="auto"/>
              </w:rPr>
            </w:pPr>
            <w:r>
              <w:rPr>
                <w:rFonts w:ascii="Arial" w:cs="Arial" w:eastAsia="Arial" w:hAnsi="Arial"/>
                <w:sz w:val="17"/>
                <w:szCs w:val="17"/>
                <w:color w:val="auto"/>
              </w:rPr>
              <w:t>1,000,000</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gridSpan w:val="2"/>
            <w:vMerge w:val="restart"/>
          </w:tcPr>
          <w:p>
            <w:pPr>
              <w:ind w:left="160"/>
              <w:spacing w:after="0"/>
              <w:rPr>
                <w:sz w:val="20"/>
                <w:szCs w:val="20"/>
                <w:color w:val="auto"/>
              </w:rPr>
            </w:pPr>
            <w:r>
              <w:rPr>
                <w:rFonts w:ascii="Arial" w:cs="Arial" w:eastAsia="Arial" w:hAnsi="Arial"/>
                <w:sz w:val="17"/>
                <w:szCs w:val="17"/>
                <w:color w:val="auto"/>
              </w:rPr>
              <w:t>Total</w:t>
            </w:r>
          </w:p>
        </w:tc>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3160" w:type="dxa"/>
            <w:vAlign w:val="bottom"/>
            <w:gridSpan w:val="2"/>
          </w:tcPr>
          <w:p>
            <w:pPr>
              <w:jc w:val="center"/>
              <w:ind w:left="2315"/>
              <w:spacing w:after="0" w:line="189" w:lineRule="exact"/>
              <w:rPr>
                <w:sz w:val="20"/>
                <w:szCs w:val="20"/>
                <w:color w:val="auto"/>
              </w:rPr>
            </w:pPr>
            <w:r>
              <w:rPr>
                <w:rFonts w:ascii="Arial" w:cs="Arial" w:eastAsia="Arial" w:hAnsi="Arial"/>
                <w:sz w:val="17"/>
                <w:szCs w:val="17"/>
                <w:color w:val="auto"/>
              </w:rPr>
              <w:t>5,000,000</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3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$0.462 per share of common stock. After the offering, the initial public offering price and concession to dealers may be reduced by the representatives. No such reduction will change the amount of proceeds to be received by us as set forth on the cover page of this prospectus.</w:t>
      </w:r>
    </w:p>
    <w:p>
      <w:pPr>
        <w:spacing w:after="0" w:line="198"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39"/>
        </w:trPr>
        <w:tc>
          <w:tcPr>
            <w:tcW w:w="1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Without</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21"/>
              <w:spacing w:after="0" w:line="139"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84"/>
              <w:spacing w:after="0" w:line="139"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Option to</w:t>
            </w: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2260" w:type="dxa"/>
            <w:vAlign w:val="bottom"/>
            <w:gridSpan w:val="3"/>
          </w:tcPr>
          <w:p>
            <w:pPr>
              <w:jc w:val="center"/>
              <w:ind w:right="1480"/>
              <w:spacing w:after="0" w:line="157" w:lineRule="exact"/>
              <w:rPr>
                <w:sz w:val="20"/>
                <w:szCs w:val="20"/>
                <w:color w:val="auto"/>
              </w:rPr>
            </w:pPr>
            <w:r>
              <w:rPr>
                <w:rFonts w:ascii="Arial" w:cs="Arial" w:eastAsia="Arial" w:hAnsi="Arial"/>
                <w:sz w:val="14"/>
                <w:szCs w:val="14"/>
                <w:b w:val="1"/>
                <w:bCs w:val="1"/>
                <w:color w:val="auto"/>
                <w:w w:val="99"/>
              </w:rPr>
              <w:t>Option to</w:t>
            </w:r>
          </w:p>
        </w:tc>
      </w:tr>
      <w:tr>
        <w:trPr>
          <w:trHeight w:val="157"/>
        </w:trPr>
        <w:tc>
          <w:tcPr>
            <w:tcW w:w="11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Purchase</w:t>
            </w: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Purchase</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Purchase</w:t>
            </w:r>
          </w:p>
        </w:tc>
        <w:tc>
          <w:tcPr>
            <w:tcW w:w="160" w:type="dxa"/>
            <w:vAlign w:val="bottom"/>
          </w:tcPr>
          <w:p>
            <w:pPr>
              <w:spacing w:after="0"/>
              <w:rPr>
                <w:sz w:val="13"/>
                <w:szCs w:val="13"/>
                <w:color w:val="auto"/>
              </w:rPr>
            </w:pPr>
          </w:p>
        </w:tc>
        <w:tc>
          <w:tcPr>
            <w:tcW w:w="2260" w:type="dxa"/>
            <w:vAlign w:val="bottom"/>
            <w:gridSpan w:val="3"/>
          </w:tcPr>
          <w:p>
            <w:pPr>
              <w:jc w:val="center"/>
              <w:ind w:right="1480"/>
              <w:spacing w:after="0" w:line="157" w:lineRule="exact"/>
              <w:rPr>
                <w:sz w:val="20"/>
                <w:szCs w:val="20"/>
                <w:color w:val="auto"/>
              </w:rPr>
            </w:pPr>
            <w:r>
              <w:rPr>
                <w:rFonts w:ascii="Arial" w:cs="Arial" w:eastAsia="Arial" w:hAnsi="Arial"/>
                <w:sz w:val="14"/>
                <w:szCs w:val="14"/>
                <w:b w:val="1"/>
                <w:bCs w:val="1"/>
                <w:color w:val="auto"/>
                <w:w w:val="98"/>
              </w:rPr>
              <w:t>Purchase</w:t>
            </w:r>
          </w:p>
        </w:tc>
      </w:tr>
      <w:tr>
        <w:trPr>
          <w:trHeight w:val="157"/>
        </w:trPr>
        <w:tc>
          <w:tcPr>
            <w:tcW w:w="11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2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Additional</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2260" w:type="dxa"/>
            <w:vAlign w:val="bottom"/>
            <w:gridSpan w:val="3"/>
          </w:tcPr>
          <w:p>
            <w:pPr>
              <w:jc w:val="center"/>
              <w:ind w:right="146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9"/>
        </w:trPr>
        <w:tc>
          <w:tcPr>
            <w:tcW w:w="1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Shares</w:t>
            </w:r>
          </w:p>
        </w:tc>
        <w:tc>
          <w:tcPr>
            <w:tcW w:w="13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4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Public offering price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11.00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55,000,000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63,250,000</w:t>
            </w: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0.77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0.77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3,850,000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4,427,500</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58,822,500</w:t>
            </w: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$2.3 million. We have also agreed to reimburse the underwriters for certain expenses, including an amount not to exceed $35,000 in connection with the clearance of this offering with the Financial Industry Regulatory Authority, as set forth in the underwriting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has been determined by negotiations between us and the representatives. Among the factors considered in these negotiations were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approved for listing on The NASDAQ Global Select Market under the trading symbol "ACRS."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750,000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our officers, directors and holders of all or substantially all our outstanding capital stock have agreed, subject to specified exceptions, not to directly or indirectly:</w:t>
      </w:r>
    </w:p>
    <w:p>
      <w:pPr>
        <w:spacing w:after="0" w:line="206" w:lineRule="exact"/>
        <w:rPr>
          <w:sz w:val="20"/>
          <w:szCs w:val="20"/>
          <w:color w:val="auto"/>
        </w:rPr>
      </w:pPr>
    </w:p>
    <w:p>
      <w:pPr>
        <w:ind w:left="1060" w:right="4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205"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otherwise dispose of any shares of common stock or options to acquire shares of common stock, or securities exchangeable or exercisable for or convertible into shares of common stock currently or hereafter owned either of record or beneficially, or</w:t>
      </w:r>
    </w:p>
    <w:p>
      <w:pPr>
        <w:spacing w:after="0" w:line="192"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Citigroup Global Markets Inc.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Jefferies LLC and Citigroup Global Markets Inc. may, in their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99" w:lineRule="exact"/>
        <w:rPr>
          <w:sz w:val="20"/>
          <w:szCs w:val="20"/>
          <w:color w:val="auto"/>
        </w:rPr>
      </w:pPr>
    </w:p>
    <w:p>
      <w:pPr>
        <w:jc w:val="both"/>
        <w:ind w:right="120"/>
        <w:spacing w:after="0" w:line="245"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originally sold by such syndicate member are purchased in a syndicate covering transaction and therefore have not been effectively placed by such syndicate member.</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3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250,000 shares of common stock for employees, directors and other persons associated with us who have expressed an interest in purchasing shares in the offering. The number of shares of common stock available for sale to the general public in the offering will be reduced to the extent these persons purchase the directed shares in the program. Any directed shares not so purchased will be offered by the underwriters to the general public on the same terms as the other shares. Except for certain participants who have entered into lock-up agreements as contemplated above, each person buying shares through the directed share program has agreed that, for a period of 180 days from and including the date of this prospectus, he or she will not, without the prior written consent of Jefferies LLC and Citigroup Global Markets Inc., dispose of or hedge any shares of common stock or any securities convertible into or exchangeable for shares of common stock with respect to shares purchased in the program. For those participants who have entered into lock-up agreements as contemplated above, the lock-up agreements contemplated therein shall govern with respect to their purchases of shares of common stock in the program. Jefferies LLC and Citigroup Global Markets Inc. in their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3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224"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224"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9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Resale Restrictions</w:t>
      </w:r>
    </w:p>
    <w:p>
      <w:pPr>
        <w:spacing w:after="0" w:line="22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distribution of our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our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Representations of Canadian Purchasers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By purchasing our common shares in Canada and accepting delivery of a purchase confirmation, a purchaser is representing to us and the dealer from whom the purchase confirmation is received that:</w:t>
      </w:r>
    </w:p>
    <w:p>
      <w:pPr>
        <w:spacing w:after="0" w:line="219" w:lineRule="exact"/>
        <w:rPr>
          <w:sz w:val="20"/>
          <w:szCs w:val="20"/>
          <w:color w:val="auto"/>
        </w:rPr>
      </w:pPr>
    </w:p>
    <w:p>
      <w:pPr>
        <w:ind w:left="1060" w:right="160" w:hanging="531"/>
        <w:spacing w:after="0" w:line="246"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Exemptions</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060" w:right="220" w:hanging="531"/>
        <w:spacing w:after="0" w:line="274"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the purchaser is a "permitted client" as defined in National Instrument 31-103 — </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060" w:hanging="531"/>
        <w:spacing w:after="0"/>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where required by law, the purchaser is purchasing as principal and not as agent, 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purchaser has reviewed the text above under "— Resale Restrictions."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w:t>
      </w:r>
    </w:p>
    <w:p>
      <w:pPr>
        <w:spacing w:after="0" w:line="229"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Statutory Rights of Action</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our common shares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Enforcement of Legal Rights</w:t>
      </w:r>
    </w:p>
    <w:p>
      <w:pPr>
        <w:spacing w:after="0" w:line="22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and Eligibility for Investment</w:t>
      </w:r>
    </w:p>
    <w:p>
      <w:pPr>
        <w:spacing w:after="0" w:line="22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Canadian purchasers of our common shares should consult their own legal and tax advisors with respect to the tax consequences of an investment in our common shares in their particular circumstances and about the eligibility of our common shares for investment by the purchaser under relevant Canadian legislation.</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224" w:lineRule="exact"/>
        <w:rPr>
          <w:sz w:val="20"/>
          <w:szCs w:val="20"/>
          <w:color w:val="auto"/>
        </w:rPr>
      </w:pPr>
    </w:p>
    <w:p>
      <w:pPr>
        <w:ind w:left="1060" w:hanging="531"/>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10" w:lineRule="exact"/>
        <w:rPr>
          <w:rFonts w:ascii="Arial" w:cs="Arial" w:eastAsia="Arial" w:hAnsi="Arial"/>
          <w:sz w:val="17"/>
          <w:szCs w:val="17"/>
          <w:color w:val="auto"/>
        </w:rPr>
      </w:pPr>
    </w:p>
    <w:p>
      <w:pPr>
        <w:ind w:left="1060" w:right="380" w:hanging="531"/>
        <w:spacing w:after="0" w:line="269"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rFonts w:ascii="Arial" w:cs="Arial" w:eastAsia="Arial" w:hAnsi="Arial"/>
          <w:sz w:val="16"/>
          <w:szCs w:val="16"/>
          <w:color w:val="auto"/>
        </w:rPr>
      </w:pPr>
    </w:p>
    <w:p>
      <w:pPr>
        <w:ind w:left="1060" w:hanging="531"/>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224" w:lineRule="exact"/>
        <w:rPr>
          <w:sz w:val="20"/>
          <w:szCs w:val="20"/>
          <w:color w:val="auto"/>
        </w:rPr>
      </w:pPr>
    </w:p>
    <w:p>
      <w:pPr>
        <w:ind w:left="1060" w:right="40" w:hanging="531"/>
        <w:spacing w:after="0" w:line="25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5"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9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212" w:lineRule="exact"/>
        <w:rPr>
          <w:sz w:val="20"/>
          <w:szCs w:val="20"/>
          <w:color w:val="auto"/>
        </w:rPr>
      </w:pPr>
    </w:p>
    <w:p>
      <w:pPr>
        <w:ind w:left="1060" w:hanging="531"/>
        <w:spacing w:after="0" w:line="25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Reston, Virginia. Certain legal matters related to this offering will be passed upon for the underwriters by Latham &amp; Watkins LLP.</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as of December 31, 2013 and 2014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1180" w:type="dxa"/>
            <w:vAlign w:val="bottom"/>
            <w:gridSpan w:val="3"/>
          </w:tcPr>
          <w:p>
            <w:pPr>
              <w:spacing w:after="0"/>
              <w:rPr>
                <w:sz w:val="14"/>
                <w:szCs w:val="14"/>
                <w:color w:val="auto"/>
              </w:rPr>
            </w:pPr>
          </w:p>
        </w:tc>
      </w:tr>
      <w:tr>
        <w:trPr>
          <w:trHeight w:val="164"/>
        </w:trPr>
        <w:tc>
          <w:tcPr>
            <w:tcW w:w="1160" w:type="dxa"/>
            <w:vAlign w:val="bottom"/>
          </w:tcPr>
          <w:p>
            <w:pPr>
              <w:spacing w:after="0"/>
              <w:rPr>
                <w:sz w:val="14"/>
                <w:szCs w:val="14"/>
                <w:color w:val="auto"/>
              </w:rPr>
            </w:pPr>
          </w:p>
        </w:tc>
        <w:tc>
          <w:tcPr>
            <w:tcW w:w="8640" w:type="dxa"/>
            <w:vAlign w:val="bottom"/>
            <w:gridSpan w:val="7"/>
          </w:tcPr>
          <w:p>
            <w:pPr>
              <w:spacing w:after="0" w:line="163" w:lineRule="exact"/>
              <w:rPr>
                <w:rFonts w:ascii="Arial" w:cs="Arial" w:eastAsia="Arial" w:hAnsi="Arial"/>
                <w:sz w:val="17"/>
                <w:szCs w:val="17"/>
                <w:color w:val="0000EE"/>
              </w:rPr>
            </w:pPr>
            <w:hyperlink w:anchor="page158">
              <w:r>
                <w:rPr>
                  <w:rFonts w:ascii="Arial" w:cs="Arial" w:eastAsia="Arial" w:hAnsi="Arial"/>
                  <w:sz w:val="17"/>
                  <w:szCs w:val="17"/>
                  <w:color w:val="0000EE"/>
                </w:rPr>
                <w:t>Report of Independent Registered Public Accounting Firm</w:t>
              </w:r>
            </w:hyperlink>
          </w:p>
        </w:tc>
        <w:tc>
          <w:tcPr>
            <w:tcW w:w="1640" w:type="dxa"/>
            <w:vAlign w:val="bottom"/>
            <w:gridSpan w:val="5"/>
          </w:tcPr>
          <w:p>
            <w:pPr>
              <w:ind w:left="220"/>
              <w:spacing w:after="0" w:line="163" w:lineRule="exact"/>
              <w:rPr>
                <w:rFonts w:ascii="Arial" w:cs="Arial" w:eastAsia="Arial" w:hAnsi="Arial"/>
                <w:sz w:val="17"/>
                <w:szCs w:val="17"/>
                <w:color w:val="0000EE"/>
              </w:rPr>
            </w:pPr>
            <w:hyperlink w:anchor="page158">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59">
              <w:r>
                <w:rPr>
                  <w:rFonts w:ascii="Arial" w:cs="Arial" w:eastAsia="Arial" w:hAnsi="Arial"/>
                  <w:sz w:val="17"/>
                  <w:szCs w:val="17"/>
                  <w:color w:val="0000EE"/>
                </w:rPr>
                <w:t>Balance Sheets</w:t>
              </w:r>
            </w:hyperlink>
          </w:p>
        </w:tc>
        <w:tc>
          <w:tcPr>
            <w:tcW w:w="4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0000EE"/>
            </w:tcBorders>
            <w:gridSpan w:val="2"/>
          </w:tcPr>
          <w:p>
            <w:pPr>
              <w:spacing w:after="0" w:line="176" w:lineRule="exact"/>
              <w:rPr>
                <w:rFonts w:ascii="Arial" w:cs="Arial" w:eastAsia="Arial" w:hAnsi="Arial"/>
                <w:sz w:val="17"/>
                <w:szCs w:val="17"/>
                <w:color w:val="0000EE"/>
                <w:w w:val="93"/>
              </w:rPr>
            </w:pPr>
            <w:hyperlink w:anchor="page159">
              <w:r>
                <w:rPr>
                  <w:rFonts w:ascii="Arial" w:cs="Arial" w:eastAsia="Arial" w:hAnsi="Arial"/>
                  <w:sz w:val="17"/>
                  <w:szCs w:val="17"/>
                  <w:color w:val="0000EE"/>
                  <w:w w:val="93"/>
                </w:rPr>
                <w:t>F-3</w:t>
              </w:r>
            </w:hyperlink>
          </w:p>
        </w:tc>
        <w:tc>
          <w:tcPr>
            <w:tcW w:w="11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0">
              <w:r>
                <w:rPr>
                  <w:rFonts w:ascii="Arial" w:cs="Arial" w:eastAsia="Arial" w:hAnsi="Arial"/>
                  <w:sz w:val="17"/>
                  <w:szCs w:val="17"/>
                  <w:color w:val="0000EE"/>
                </w:rPr>
                <w:t>Statements of Operations and Comprehensive Loss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0">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2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61">
              <w:r>
                <w:rPr>
                  <w:rFonts w:ascii="Arial" w:cs="Arial" w:eastAsia="Arial" w:hAnsi="Arial"/>
                  <w:sz w:val="17"/>
                  <w:szCs w:val="17"/>
                  <w:color w:val="0000EE"/>
                  <w:w w:val="99"/>
                </w:rPr>
                <w:t>Statements of Redeemable Convertible Preferred Stock and Stockholders' Deficit</w:t>
              </w:r>
            </w:hyperlink>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0000EE"/>
            </w:tcBorders>
            <w:gridSpan w:val="2"/>
          </w:tcPr>
          <w:p>
            <w:pPr>
              <w:spacing w:after="0" w:line="176" w:lineRule="exact"/>
              <w:rPr>
                <w:rFonts w:ascii="Arial" w:cs="Arial" w:eastAsia="Arial" w:hAnsi="Arial"/>
                <w:sz w:val="17"/>
                <w:szCs w:val="17"/>
                <w:color w:val="0000EE"/>
                <w:w w:val="93"/>
              </w:rPr>
            </w:pPr>
            <w:hyperlink w:anchor="page161">
              <w:r>
                <w:rPr>
                  <w:rFonts w:ascii="Arial" w:cs="Arial" w:eastAsia="Arial" w:hAnsi="Arial"/>
                  <w:sz w:val="17"/>
                  <w:szCs w:val="17"/>
                  <w:color w:val="0000EE"/>
                  <w:w w:val="93"/>
                </w:rPr>
                <w:t>F-5</w:t>
              </w:r>
            </w:hyperlink>
          </w:p>
        </w:tc>
        <w:tc>
          <w:tcPr>
            <w:tcW w:w="1160" w:type="dxa"/>
            <w:vAlign w:val="bottom"/>
            <w:gridSpan w:val="2"/>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Statements of Cash Flows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Notes to Financial Statements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F-7</w:t>
              </w:r>
            </w:hyperlink>
          </w:p>
        </w:tc>
      </w:tr>
      <w:tr>
        <w:trPr>
          <w:trHeight w:val="111"/>
        </w:trPr>
        <w:tc>
          <w:tcPr>
            <w:tcW w:w="1160" w:type="dxa"/>
            <w:vAlign w:val="bottom"/>
            <w:tcBorders>
              <w:bottom w:val="single" w:sz="8" w:color="auto"/>
            </w:tcBorders>
          </w:tcPr>
          <w:p>
            <w:pPr>
              <w:spacing w:after="0"/>
              <w:rPr>
                <w:sz w:val="9"/>
                <w:szCs w:val="9"/>
                <w:color w:val="auto"/>
              </w:rPr>
            </w:pPr>
          </w:p>
        </w:tc>
        <w:tc>
          <w:tcPr>
            <w:tcW w:w="1180" w:type="dxa"/>
            <w:vAlign w:val="bottom"/>
            <w:tcBorders>
              <w:top w:val="single" w:sz="8" w:color="0000EE"/>
              <w:bottom w:val="single" w:sz="8" w:color="auto"/>
            </w:tcBorders>
          </w:tcPr>
          <w:p>
            <w:pPr>
              <w:spacing w:after="0"/>
              <w:rPr>
                <w:sz w:val="9"/>
                <w:szCs w:val="9"/>
                <w:color w:val="auto"/>
              </w:rPr>
            </w:pPr>
          </w:p>
        </w:tc>
        <w:tc>
          <w:tcPr>
            <w:tcW w:w="800" w:type="dxa"/>
            <w:vAlign w:val="bottom"/>
            <w:tcBorders>
              <w:top w:val="single" w:sz="8" w:color="0000EE"/>
              <w:bottom w:val="single" w:sz="8" w:color="auto"/>
            </w:tcBorders>
          </w:tcPr>
          <w:p>
            <w:pPr>
              <w:spacing w:after="0"/>
              <w:rPr>
                <w:sz w:val="9"/>
                <w:szCs w:val="9"/>
                <w:color w:val="auto"/>
              </w:rPr>
            </w:pPr>
          </w:p>
        </w:tc>
        <w:tc>
          <w:tcPr>
            <w:tcW w:w="280" w:type="dxa"/>
            <w:vAlign w:val="bottom"/>
            <w:tcBorders>
              <w:top w:val="single" w:sz="8" w:color="0000EE"/>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10"/>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Aclaris Therapeutics, Inc.</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our opinion, the accompanying balance sheets and the related statements of operations and comprehensive loss, of redeemable convertible preferred stock and stockholders' deficit and of cash flows, present fairly, in all material respects, the financial position of Aclaris Therapeutics, Inc. at December 31, 2013 and 2014,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April 2, 2015, except for the last paragraph of Note 14,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to which the date is September 24, 2015</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5"/>
                <w:szCs w:val="5"/>
                <w:color w:val="auto"/>
              </w:rPr>
            </w:pPr>
          </w:p>
        </w:tc>
        <w:tc>
          <w:tcPr>
            <w:tcW w:w="204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5,373</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13,386</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16,334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7"/>
                <w:szCs w:val="17"/>
                <w:b w:val="1"/>
                <w:bCs w:val="1"/>
                <w:color w:val="auto"/>
              </w:rPr>
              <w:t>Stockholders' Equity (Deficit)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353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367</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1,451</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370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1,455</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Commitments and contingencies (Note 10)</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Redeemable convertible preferred stock (Series A and B), $0.00001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par value; 20,890,000, 34,090,000 and 34,090,000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authorized at December 31, 2013 and 2014 and June 30, 2015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(unaudited), respectively; 20,890,000, 27,341,057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27,341,057 shares issued and outstanding at December 31, 2013</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and 2014 and June 30, 2015 (unaudited), respectively; aggregate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liquidation preference of $35,882 and $37,275 at December 31,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2014 and June 30, 2015 (unaudited), respectively; no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160"/>
              <w:spacing w:after="0" w:line="194" w:lineRule="exact"/>
              <w:rPr>
                <w:sz w:val="20"/>
                <w:szCs w:val="20"/>
                <w:color w:val="auto"/>
              </w:rPr>
            </w:pPr>
            <w:r>
              <w:rPr>
                <w:rFonts w:ascii="Arial" w:cs="Arial" w:eastAsia="Arial" w:hAnsi="Arial"/>
                <w:sz w:val="17"/>
                <w:szCs w:val="17"/>
                <w:color w:val="auto"/>
              </w:rPr>
              <w:t>issued or 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23,000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36,677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38,010</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Common stock, $0.00001 par value; 41,000,000, 77,000,000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77,000,000 shares authorized at December 31, 2013 and 2014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and June 30, 2015 (unaudited), respectively; 2,730,427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issued and outstanding at December 31, 2013 and 2014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June 30, 2015 (unaudited); 10,655,346 shares issued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320"/>
              <w:spacing w:after="0" w:line="194" w:lineRule="exact"/>
              <w:rPr>
                <w:sz w:val="20"/>
                <w:szCs w:val="20"/>
                <w:color w:val="auto"/>
              </w:rPr>
            </w:pPr>
            <w:r>
              <w:rPr>
                <w:rFonts w:ascii="Arial" w:cs="Arial" w:eastAsia="Arial" w:hAnsi="Arial"/>
                <w:sz w:val="17"/>
                <w:szCs w:val="17"/>
                <w:color w:val="auto"/>
              </w:rPr>
              <w:t>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(20,749)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stockholders' equity (deficit)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(9,163)</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(20,755)</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(27,214)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10,796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liabilities, redeemable convertible preferred stock and</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shd w:val="clear" w:color="auto" w:fill="CCEEFF"/>
          </w:tcPr>
          <w:p>
            <w:pPr>
              <w:ind w:left="480"/>
              <w:spacing w:after="0" w:line="194" w:lineRule="exact"/>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32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6"/>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3,269</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(8,533)</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(5,236)</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Accretion of redeemable convertible preferred stock to</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redemption value</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(1,740)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(6.45)</w:t>
            </w:r>
          </w:p>
        </w:tc>
        <w:tc>
          <w:tcPr>
            <w:tcW w:w="220" w:type="dxa"/>
            <w:vAlign w:val="bottom"/>
            <w:shd w:val="clear" w:color="auto" w:fill="CCEEFF"/>
          </w:tcPr>
          <w:p>
            <w:pPr>
              <w:jc w:val="right"/>
              <w:ind w:right="35"/>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(6.15)</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and diluted</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1,081,347</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1,720,082</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1,675,242</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2,154,953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attributable to common</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(0.92)</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(0.49)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outstanding, basic and diluted (unaudited)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9,261,917</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10,655,346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140" w:type="dxa"/>
            <w:vAlign w:val="bottom"/>
          </w:tcPr>
          <w:p>
            <w:pPr>
              <w:spacing w:after="0"/>
              <w:rPr>
                <w:sz w:val="24"/>
                <w:szCs w:val="2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Unrealized gain (loss) on marketable securities, net of</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320"/>
              <w:spacing w:after="0" w:line="194" w:lineRule="exact"/>
              <w:rPr>
                <w:sz w:val="20"/>
                <w:szCs w:val="20"/>
                <w:color w:val="auto"/>
              </w:rPr>
            </w:pPr>
            <w:r>
              <w:rPr>
                <w:rFonts w:ascii="Arial" w:cs="Arial" w:eastAsia="Arial" w:hAnsi="Arial"/>
                <w:sz w:val="17"/>
                <w:szCs w:val="17"/>
                <w:color w:val="auto"/>
              </w:rPr>
              <w:t>tax of $0</w:t>
            </w:r>
          </w:p>
        </w:tc>
        <w:tc>
          <w:tcPr>
            <w:tcW w:w="18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other comprehensive income (loss)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(5,233)</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(8,526)</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REDEEMABLE CONVERTIBLE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7"/>
                <w:szCs w:val="17"/>
                <w:b w:val="1"/>
                <w:bCs w:val="1"/>
                <w:color w:val="auto"/>
                <w:w w:val="99"/>
              </w:rPr>
              <w:t>Series A and 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Accumulated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Redeemable</w:t>
            </w: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Compre-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4"/>
          </w:tcPr>
          <w:p>
            <w:pPr>
              <w:jc w:val="center"/>
              <w:ind w:right="100"/>
              <w:spacing w:after="0" w:line="173" w:lineRule="exact"/>
              <w:rPr>
                <w:sz w:val="20"/>
                <w:szCs w:val="20"/>
                <w:color w:val="auto"/>
              </w:rPr>
            </w:pPr>
            <w:r>
              <w:rPr>
                <w:rFonts w:ascii="Arial" w:cs="Arial" w:eastAsia="Arial" w:hAnsi="Arial"/>
                <w:sz w:val="17"/>
                <w:szCs w:val="17"/>
                <w:b w:val="1"/>
                <w:bCs w:val="1"/>
                <w:color w:val="auto"/>
              </w:rPr>
              <w:t>Convertible Preferred</w:t>
            </w: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Additional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97"/>
              </w:rPr>
              <w:t>hensive</w:t>
            </w:r>
          </w:p>
        </w:tc>
        <w:tc>
          <w:tcPr>
            <w:tcW w:w="840" w:type="dxa"/>
            <w:vAlign w:val="bottom"/>
            <w:gridSpan w:val="3"/>
          </w:tcPr>
          <w:p>
            <w:pPr>
              <w:jc w:val="center"/>
              <w:ind w:right="100"/>
              <w:spacing w:after="0" w:line="173" w:lineRule="exact"/>
              <w:rPr>
                <w:sz w:val="20"/>
                <w:szCs w:val="20"/>
                <w:color w:val="auto"/>
              </w:rPr>
            </w:pPr>
            <w:r>
              <w:rPr>
                <w:rFonts w:ascii="Arial" w:cs="Arial" w:eastAsia="Arial" w:hAnsi="Arial"/>
                <w:sz w:val="17"/>
                <w:szCs w:val="17"/>
                <w:b w:val="1"/>
                <w:bCs w:val="1"/>
                <w:color w:val="auto"/>
                <w:w w:val="99"/>
              </w:rPr>
              <w:t>Accum-</w:t>
            </w:r>
          </w:p>
        </w:tc>
        <w:tc>
          <w:tcPr>
            <w:tcW w:w="200" w:type="dxa"/>
            <w:vAlign w:val="bottom"/>
          </w:tcPr>
          <w:p>
            <w:pPr>
              <w:spacing w:after="0"/>
              <w:rPr>
                <w:sz w:val="15"/>
                <w:szCs w:val="15"/>
                <w:color w:val="auto"/>
              </w:rPr>
            </w:pPr>
          </w:p>
        </w:tc>
        <w:tc>
          <w:tcPr>
            <w:tcW w:w="2100" w:type="dxa"/>
            <w:vAlign w:val="bottom"/>
            <w:gridSpan w:val="3"/>
          </w:tcPr>
          <w:p>
            <w:pPr>
              <w:jc w:val="center"/>
              <w:ind w:right="1380"/>
              <w:spacing w:after="0" w:line="173" w:lineRule="exact"/>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Stock</w:t>
            </w:r>
          </w:p>
        </w:tc>
        <w:tc>
          <w:tcPr>
            <w:tcW w:w="16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7"/>
                <w:szCs w:val="17"/>
                <w:b w:val="1"/>
                <w:bCs w:val="1"/>
                <w:color w:val="auto"/>
              </w:rPr>
              <w:t>Par</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Income</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ulated</w:t>
            </w:r>
          </w:p>
        </w:tc>
        <w:tc>
          <w:tcPr>
            <w:tcW w:w="2300" w:type="dxa"/>
            <w:vAlign w:val="bottom"/>
            <w:gridSpan w:val="4"/>
          </w:tcPr>
          <w:p>
            <w:pPr>
              <w:jc w:val="center"/>
              <w:ind w:right="1180"/>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Shares</w:t>
            </w:r>
          </w:p>
        </w:tc>
        <w:tc>
          <w:tcPr>
            <w:tcW w:w="7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6"/>
                <w:szCs w:val="16"/>
                <w:color w:val="auto"/>
              </w:rPr>
            </w:pP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Shares</w:t>
            </w:r>
          </w:p>
        </w:tc>
        <w:tc>
          <w:tcPr>
            <w:tcW w:w="58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6"/>
                <w:szCs w:val="16"/>
                <w:color w:val="auto"/>
              </w:rPr>
            </w:pP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7"/>
              </w:rPr>
              <w:t>(Loss)</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9"/>
              </w:rPr>
              <w:t>Deficit</w:t>
            </w:r>
          </w:p>
        </w:tc>
        <w:tc>
          <w:tcPr>
            <w:tcW w:w="200" w:type="dxa"/>
            <w:vAlign w:val="bottom"/>
          </w:tcPr>
          <w:p>
            <w:pPr>
              <w:spacing w:after="0"/>
              <w:rPr>
                <w:sz w:val="16"/>
                <w:szCs w:val="16"/>
                <w:color w:val="auto"/>
              </w:rPr>
            </w:pPr>
          </w:p>
        </w:tc>
        <w:tc>
          <w:tcPr>
            <w:tcW w:w="2100" w:type="dxa"/>
            <w:vAlign w:val="bottom"/>
            <w:gridSpan w:val="3"/>
          </w:tcPr>
          <w:p>
            <w:pPr>
              <w:jc w:val="center"/>
              <w:ind w:right="1380"/>
              <w:spacing w:after="0" w:line="189" w:lineRule="exact"/>
              <w:rPr>
                <w:sz w:val="20"/>
                <w:szCs w:val="20"/>
                <w:color w:val="auto"/>
              </w:rPr>
            </w:pPr>
            <w:r>
              <w:rPr>
                <w:rFonts w:ascii="Arial" w:cs="Arial" w:eastAsia="Arial" w:hAnsi="Arial"/>
                <w:sz w:val="17"/>
                <w:szCs w:val="17"/>
                <w:b w:val="1"/>
                <w:bCs w:val="1"/>
                <w:color w:val="auto"/>
                <w:w w:val="99"/>
              </w:rPr>
              <w:t>Deficit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$ 21,260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2,730,427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1,740</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23,000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2,730,427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Issuance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Series B</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and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purchased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put option,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net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issuance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costs of $60</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6,451,057</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11,623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27</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(2,054)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36,677</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2,730,427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(20,749)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85</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(85)</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(1,248)</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(1,333)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June 30, 2015</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$ 38,010</w:t>
            </w:r>
          </w:p>
        </w:tc>
        <w:tc>
          <w:tcPr>
            <w:tcW w:w="16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2,730,427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15"/>
              <w:spacing w:after="0"/>
              <w:rPr>
                <w:sz w:val="20"/>
                <w:szCs w:val="20"/>
                <w:color w:val="auto"/>
              </w:rPr>
            </w:pPr>
            <w:r>
              <w:rPr>
                <w:rFonts w:ascii="Arial" w:cs="Arial" w:eastAsia="Arial" w:hAnsi="Arial"/>
                <w:sz w:val="17"/>
                <w:szCs w:val="17"/>
                <w:color w:val="auto"/>
              </w:rPr>
              <w:t>(27,214) $</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(27,214)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3" w:right="219" w:bottom="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9019"/>
          </w:cols>
          <w:pgMar w:left="1440" w:top="143"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type w:val="continuous"/>
        </w:sectPr>
      </w:pPr>
    </w:p>
    <w:bookmarkStart w:id="162" w:name="page163"/>
    <w:bookmarkEnd w:id="1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78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78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6"/>
          </w:tcPr>
          <w:p>
            <w:pPr>
              <w:jc w:val="center"/>
              <w:ind w:right="146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(5,217)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to net cash used in operating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Deferred rent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(492)</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292</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279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(4,920)</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(7,636)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(3,288)</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Purchases of 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(5,035)</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92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sales and maturities of 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investing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(4,535)</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(1,779)</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3,045</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5,655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Proceeds from issuance of redeemable convertible preferred stock,</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net of issuance costs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92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of initial public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(895)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1,169</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(243)</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19,043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10,757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9,588</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10,757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9,345</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9,853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b w:val="1"/>
                <w:bCs w:val="1"/>
                <w:color w:val="auto"/>
              </w:rPr>
              <w:t>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and equipment purchases included in accounts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payable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Accretion of redeemable convertible preferred stock to redemption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value</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1,740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2,054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914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1,333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Fair value of preferred stock purchased put option on date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issuance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Deferred offering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Aclaris Therapeutics, Inc. (the "Company") was incorporated under the laws of the State of Delaware in 2012. The Company is a clinical-stage specialty pharmaceutical company focused on identifying, developing and commercializing innovative and differentiated topical drugs to address significant unmet needs in dermatology. The Company's lead drug candidate, A-101, is a proprietary high-concentration hydrogen peroxide topical solution that the Company is developing as a prescription treatment for seborrheic keratosis ("SK"), a common non-malignant skin tumor. The Company has completed three clinical trials of A-101 in patients with SK.</w:t>
      </w:r>
    </w:p>
    <w:p>
      <w:pPr>
        <w:spacing w:after="0" w:line="19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having no commercial manufacturing experience, marketing or sales capability or experience;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$20,749 and $27,214 as of December 31, 2014 and June 30, 2015 (unaudited), respectively. As of December 31, 2014, the Company had cash, cash equivalents and marketable securities of $16,648. As of April 2, 2015, the Company expected that its cash, cash equivalents and marketable securities at December 31, 2014 would be sufficient to fund its operating expenses and capital expenditure requirements through at least December 31, 2015. As of June 30, 2015 (unaudited), the Company had cash and cash equivalents of $9,853. The Company expects that its cash and cash equivalents as of June 30, 2015, together with the funding available to the Company upon its exercise of a purchased put option (see Note 6), should be sufficient to fund its operations through at least June 30, 2016 (unaudited).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205"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The Company is seeking to complete an initial public offering of its common stock, which would provide additional capital to fund its operations. Upon the closing of a qualified public offering on specified terms, all of the Company's outstanding redeemable convertible preferred stock will convert into shares of common stock. In the event the Company does not complete an initial public offering, the Company expects to seek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 (Continued)</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202"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and the valuation of common stock, stock-based awards and a purchased put option.</w:t>
      </w:r>
    </w:p>
    <w:p>
      <w:pPr>
        <w:spacing w:after="0" w:line="198"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Estimates are periodically reviewed in light of changes in circumstances, facts and experience. Actual results could differ from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accompanying balance sheet as of June 30, 2015, the statements of operations and comprehensive loss and of cash flows for the six months ended June 30, 2014 and 2015, and the statement of redeemable convertible preferred stock and stockholders' deficit for the six months ended June 30, 2015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accompanying unaudited pro forma balance sheet as of June 30, 2015 has been prepared to give effect to the conversion of all outstanding shares of redeemable convertible preferred stock into 7,924,919 shares of common stock as if the proposed initial public offering had occurred on June 30, 2015.</w:t>
      </w:r>
    </w:p>
    <w:p>
      <w:pPr>
        <w:spacing w:after="0" w:line="19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the accompanying statements of operations, unaudited pro forma basic and diluted net loss per share attributable to common stockholders for the year ended December 31, 2014 and the six months ended June 30, 2015 have been prepared to give effect to the conversion of all outstanding shares of redeemable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convertible preferred stock into shares of common stock and the immediate vesting of all shares of unvested restricted common stock (see Note 7) as if the proposed initial public offering had occurred on the later of January 1, 2014 or the issuance date of the redeemable convertible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Research and development costs are expensed as incurred. Research and development expenses include salaries, stock-based compensation and benefits of employees, fees paid under a third-party assignment agreement and other operational costs related to the Company's research and development activities, including allocated facility-related expenses and external costs of outside vendors engaged to conduct both preclinical studies and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3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its studies and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The Company measures all stock options and other stock-based awards granted to employees and directors based on the fair value on the date of grant and recognizes compensation expense of those awards, net of estimated forfeitures, over the requisite service period, which is generally the vesting period of the respective award. Generally, the Company issues stock options and restricted stock awards with only service-based vesting conditions and records the expense for these awards using the straight-line method.</w:t>
      </w:r>
    </w:p>
    <w:p>
      <w:pPr>
        <w:spacing w:after="0" w:line="19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98"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9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0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fair value of each restricted stock award is measured as the aggregate difference between the purchase price per share of the award, if any, and the fair value per share of the Company's common stock on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Accretion of Redeemable Convertible Preferred Stock</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Accretion of redeemable convertible preferred stock includes the accretion of accruing dividends on and issuance costs of the Company's Series A and Series B redeemable convertible preferred stock. The carrying values of the Series A and Series B redeemable convertible preferred stock are being accreted to their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respective redemption values, using the effective interest method, from the date of issuance to the earliest date the holders can demand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Comprehensive loss is comprised of net loss and unrealized gains (losses) on marketable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as its redeemable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206"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which consist of money market accounts, are stated at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3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Marketable securities with original maturities of greater than three months and remaining maturities of less than one year from the balance sheet date are classified as short term. Marketable securities with remaining maturities of greater than one year from the balance sheet date are classified as long term.</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classifies all of its marketable securities as available-for-sale securities. The Company's marketable securities are measured and reported at fair value using quoted prices in markets that are not active for identical or similar securities. Unrealized gains and losses are reported as a separate component of stockholders' equity (deficit). The cost of securities sold is determined on a specific identification basis, and realized gains and losses are included in other income (expense) within the statement of operations and comprehensive loss. If any adjustment to fair value reflects a decline in the value of the investment, the Company considers available evidence to evaluate the extent to which the decline is "other than temporary"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and reduces the investment to fair value through a charge to the statement of operations and comprehensive loss.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3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12" w:lineRule="exact"/>
        <w:rPr>
          <w:sz w:val="20"/>
          <w:szCs w:val="20"/>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24" w:lineRule="exact"/>
        <w:rPr>
          <w:rFonts w:ascii="Arial" w:cs="Arial" w:eastAsia="Arial" w:hAnsi="Arial"/>
          <w:sz w:val="17"/>
          <w:szCs w:val="17"/>
          <w:color w:val="auto"/>
        </w:rPr>
      </w:pPr>
    </w:p>
    <w:p>
      <w:pPr>
        <w:ind w:left="1060" w:right="220" w:hanging="531"/>
        <w:spacing w:after="0" w:line="246"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8"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of Significant Suppliers</w:t>
      </w:r>
    </w:p>
    <w:p>
      <w:pPr>
        <w:spacing w:after="0" w:line="23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and marketable securities. The Company holds all cash, cash equivalents and marketable securities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98" w:lineRule="exact"/>
        <w:rPr>
          <w:sz w:val="20"/>
          <w:szCs w:val="20"/>
          <w:color w:val="auto"/>
        </w:rPr>
      </w:pPr>
    </w:p>
    <w:p>
      <w:pPr>
        <w:jc w:val="both"/>
        <w:ind w:right="720"/>
        <w:spacing w:after="0" w:line="246"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active pharmaceutical ingredients and other components.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offering. As of June 30, 2015 (unaudited), the Company had recorded $1,128 of deferred offering costs in contemplation of a probable 2015 equity financing. Should the equity financing no longer be considered probable of being consummated, all deferred offering costs will be charged to operating expenses in the statement of operations. The Company did not record any deferred offering costs as of December 31, 2013 or 2014.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Computer equipment is depreciated over three years. Manufacturing equipment is depreciated over five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identifying, developing and commercializing innovative and differentiated topical drugs to address significant unmet needs in dermatology. No revenue has been generated since inception, and all tangible assets are held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June 2014, the Financial Accounting Standards Board ("FASB") issued Accounting Standards Update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The Company elected to early adopt this guidance and, therefore, has not presented inception-to-date disclosures in its financial statements.</w:t>
      </w:r>
    </w:p>
    <w:p>
      <w:pPr>
        <w:spacing w:after="0" w:line="17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The Company is currently evaluating the potential impact of the adoption of this standard, but believes its adoption will have no impact on its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following tables present information about the Company's assets and liabilities measured at fair value on a recurring basis and indicate the level of the fair value hierarchy utilized to determine such fair values: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2013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9,465</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9,465</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9,465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14,003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2014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10,012</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10,012</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10,012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15,903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9"/>
              </w:rPr>
              <w:t>Fair Value Measurements as of June 30, 2015 Using:</w:t>
            </w:r>
          </w:p>
        </w:tc>
      </w:tr>
      <w:tr>
        <w:trPr>
          <w:trHeight w:val="150"/>
        </w:trPr>
        <w:tc>
          <w:tcPr>
            <w:tcW w:w="4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right="500"/>
              <w:spacing w:after="0" w:line="151" w:lineRule="exact"/>
              <w:rPr>
                <w:sz w:val="20"/>
                <w:szCs w:val="20"/>
                <w:color w:val="auto"/>
              </w:rPr>
            </w:pPr>
            <w:r>
              <w:rPr>
                <w:rFonts w:ascii="Arial" w:cs="Arial" w:eastAsia="Arial" w:hAnsi="Arial"/>
                <w:sz w:val="14"/>
                <w:szCs w:val="14"/>
                <w:b w:val="1"/>
                <w:bCs w:val="1"/>
                <w:color w:val="auto"/>
                <w:w w:val="99"/>
              </w:rPr>
              <w:t>(unaudited)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38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2013 and 2014 and June 30, 2015 (unaudited), the Company's cash equivalents, which were invested in money market funds, were valued based on Level 1 inputs. In determining the fair value of its corporate debt securities and U.S. government agency debt securities as of December 31, 2013 and 2014, the Company relied on quoted prices for identical securities in markets that are not active, a Level 2 input. These quoted prices were obtained by the Company with the assistance of a third-party pricing service based on available trade, bid and other observable market data for identical securities. Quarterly, the Company compares the quoted prices obtained from the third-party pricing service to other available independent pricing information to validate the reasonableness of the quoted prices provided. The Company evaluates whether adjustments to third-party pricing is necessary and, historically, the Company has not made adjustments to quoted prices obtained from the third-party pricing service. During the years ended December 31, 2013 and 2014 and the six months ended June 30, 2015 (unaudited), there were no transfers between Level 1, Level 2 and Level 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and 2014, the fair value of the Company's available-for-sale marketable securities by type of security was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5,096</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5,090</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801</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5,897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of December 31, 2013 and 2014, the Company's corporate debt securities had credit ratings of A and above and remaining maturities of less than 10 months and less than 13 months, respectively. The Company had no marketable securities as of June 30, 2015 (unaudited).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7"/>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Depreciation expense was $11 and $12 for the years ended December 31, 2013 and 2014, respectively, and $6 and $25 for the six months ended June 30, 2014 and 2015 (unaudited), respectively. Construction in progress as of December 31, 2014 consisted of manufacturing equipment, which was placed into service in 2015.</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8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payroll-related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Clinical trial expenses</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issued Series A and Series B redeemable convertible preferred stock (collectively, the "Redeemable Preferred Stock"). The Redeemable Preferred Stock is classified outside of stockholders' equity (deficit) because the shares contain redemption features that are not solely within the control of the Company. As of December 31, 2013 and 2014 and June 30, 2015 (unaudited), the Company's certificate of incorporation, as amended and restated, authorized the Company to issue 20,890,000 shares, 34,090,000 shares and 34,090,000 shares, respectively, of $0.00001 par value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2014, the Company entered into a stock purchase agreement pursuant to which the Company agreed to sell to the investors an initial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(the "First Tranche") of 6,451,057 shares of Series B redeemable convertible preferred stock at $1.65 per share for gross proceeds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$10,644. Per the terms of that stock purchase agreement, upon the successful attainment of two specified milestones, the Company may call a second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tranche of 6,451,057 shares of Series B redeemable convertible preferred stock at $1.65 per share (the "purchased put option"). The Company has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right, but not the obligation, to exercise its purchased put option after successful attainment of the specified milestones as confirmed by a vote of five-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sixths of the members of the Company's board of directors and 60% of voting stockholders of the Company. The two milestones relate to (i)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achievement of the primary efficacy endpoint and demonstrated safety of a specified Phase 2b clinical trial of A-101 in patients with SK, and</w:t>
      </w:r>
    </w:p>
    <w:p>
      <w:pPr>
        <w:spacing w:after="0" w:line="1" w:lineRule="exact"/>
        <w:rPr>
          <w:sz w:val="20"/>
          <w:szCs w:val="20"/>
          <w:color w:val="auto"/>
        </w:rPr>
      </w:pPr>
    </w:p>
    <w:p>
      <w:pPr>
        <w:ind w:right="100" w:firstLine="5"/>
        <w:spacing w:after="0" w:line="245" w:lineRule="auto"/>
        <w:tabs>
          <w:tab w:leader="none" w:pos="23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occurrence of an end-of-Phase 2 meeting with the U.S. Food and Drug Administration ("FDA"), as a result of which the FDA has not raised any objection to the Company proceeding to a Phase 3 clinical trial of A-101 in patients with SK. Upon the closing of a qualified initial public offering, the Company will amend its certificate of incorporation to eliminate all authorized shares of Series A and Series B redeemable preferred stock, which will eliminate the Company's purchased put option.</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initial issuance of Series B redeemable convertible preferred stock in September 2014, the Company recorded the First Tranche transaction, net of issuance costs of $60, and the $1,039 issuance-date fair value of the purchased put option. The purchased put option was recorded as a charge to accumulated deficit within stockholders' deficit and as an increase to the carrying value of Series B redeemable convertible preferred stock based on the Company's conclusion that the purchased put option met the equity classification criteria at time of issuance as the purchased put option (i) is a freestanding financial instrument that does not require the Company to issue shares that are potentially redeemable and (ii) requires gross physical settlement in all circumstances.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fair value of the purchased put option was determined on the date of its issuance using the Black-Scholes option-pricing model with the following assumptions and inputs: risk-free interest rate of 0.08%, expected term of nine months, expected volatility of 80.0%, no expected dividends and fair value of underlying instruments of $1.65. The fair value calculation also included an estimate of a 60% probability of occurrence of the successful attainment of the specified milestones that trigger the Company's ability to exercise the purchased put option, as well as an estimate of a 60% probability of the Company exercising the purchased put option, if it became exercisable.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Redeemable Preferred Stock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2013</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23,000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23,169</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6,055,060</w:t>
            </w:r>
          </w:p>
        </w:tc>
        <w:tc>
          <w:tcPr>
            <w:tcW w:w="10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20,890,000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23,000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23,169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6,055,060</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2014</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24,879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25,023</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6,055,060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11,798</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10,859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1,869,859</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36,677</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35,882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7,924,919</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485"/>
              <w:spacing w:after="0"/>
              <w:rPr>
                <w:sz w:val="20"/>
                <w:szCs w:val="20"/>
                <w:color w:val="auto"/>
              </w:rPr>
            </w:pPr>
            <w:r>
              <w:rPr>
                <w:rFonts w:ascii="Arial" w:cs="Arial" w:eastAsia="Arial" w:hAnsi="Arial"/>
                <w:sz w:val="14"/>
                <w:szCs w:val="14"/>
                <w:b w:val="1"/>
                <w:bCs w:val="1"/>
                <w:color w:val="auto"/>
              </w:rPr>
              <w:t>June 30, 2015 (unaudited)</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25,860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25,992</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6,055,060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12,150</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11,283</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1,869,859</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38,010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37,275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7,924,919</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gridSpan w:val="2"/>
          </w:tcPr>
          <w:p>
            <w:pPr>
              <w:ind w:left="480"/>
              <w:spacing w:after="0"/>
              <w:rPr>
                <w:sz w:val="20"/>
                <w:szCs w:val="20"/>
                <w:color w:val="auto"/>
              </w:rPr>
            </w:pPr>
            <w:r>
              <w:rPr>
                <w:rFonts w:ascii="Arial" w:cs="Arial" w:eastAsia="Arial" w:hAnsi="Arial"/>
                <w:sz w:val="17"/>
                <w:szCs w:val="17"/>
                <w:color w:val="auto"/>
              </w:rPr>
              <w:t>F-17</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Redeemable Preferred Stock have the following rights and preferences: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 xml:space="preserve">The holders of Redeemable Preferred Stock are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cumulative dividends, in cash, at the rate of 8% per year on the applicable Original Issue Price (as defined below) and accrued but unpaid dividends. Dividends accrue on a daily basis, whether or not earned or declared, irrespective of the availability of profits or surplus and compound annually on the anniversary of the date of original issuance. Dividends on the Redeemable Preferred Stock are payable upon redemption of the Redeemable Preferred Stock or upon liquidation. The Original Issue Price for Series A and Series B redeemable convertible preferred stock is $1.00 and $1.65, respectively, per share, subject to appropriate adjustment in the event of any stock dividend, stock split, combination or recapitalization affecting the Redeemable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In the event of any liquidation dissolution or winding up of the Company, either voluntary or involuntary, or in the event of Deemed Liquidation Event (as defined below), holders of Redeemable Preferred Stock are entitled to receive, in preference to all other stockholders, and to the extent available, an amount equal to the Original Issue Price, adjusted for any stock dividends, stock splits or recapitalizations, plus any accruing dividend accrued but unpaid, whether or not earned or declared. In the event that proceeds are not sufficient to permit payment in full to these holders, the proceeds will be ratably distributed among the holders of Redeemable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full preferential amount each such holder is otherwise entitled to receive.</w:t>
      </w:r>
    </w:p>
    <w:p>
      <w:pPr>
        <w:spacing w:after="0" w:line="202"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After payments have been made in full to the holders of Redeemable Preferred Stock, then, to the extent available, holders of the common stock and Redeemable Preferred Stock are entitled to participate in the distribution of the remaining assets, pro rata based on the number of shares of common stock held by each (on an as-converted to common basis).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Unless the holders of at least 60% of the then outstanding shares of the Redeemable Preferred Stock, voting together as a single class on an as-converted basis,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23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Each share of Redeemable Preferred Stock is convertible into common stock at the option of the stockholder at any time after the date of issuance. Each share of the Redeemable Preferred Stock will be converted into shares of common stock, at the applicable conversion ratio of each series of Redeemable Preferred Stock then in effect, upon the earlier of (i) a qualified public offering with net proceeds of not less than $50,000 and a price of not less than $17.08 per share, subject to appropriate adjustment for any stock dividend, stock split, combination or other similar recapitalization, and</w:t>
      </w:r>
    </w:p>
    <w:p>
      <w:pPr>
        <w:spacing w:after="0" w:line="1" w:lineRule="exact"/>
        <w:rPr>
          <w:sz w:val="20"/>
          <w:szCs w:val="20"/>
          <w:color w:val="auto"/>
        </w:rPr>
      </w:pPr>
    </w:p>
    <w:p>
      <w:pPr>
        <w:ind w:right="660" w:firstLine="5"/>
        <w:spacing w:after="0" w:line="252" w:lineRule="auto"/>
        <w:tabs>
          <w:tab w:leader="none" w:pos="23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date specified by written consent or agreement of the holders of 60% of the then-outstanding shares of Series A redeemable convertible preferred stock and the holders of 60% of the then-outstanding shares of Series B redeemable convertible preferred stock.</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conversion ratio of each series of Redeemable Preferred Stock is determined by dividing the Original Issue Price of each series of preferred stock by the Conversion Price of each series. The Conversion Price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each series is $3.45 for Series A and $5.6925 for Series B and is subject to adjustment as set forth in the Company's certificate of incorporation, as amended and restated. As of December 31, 2014 and June 30, 2015 (unaudited), all outstanding shares of Series A and Series B redeemable convertible preferred stock were convertible into common stock on a 3.45-for-one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A redeemable convertible preferred stock, voting together as a single class, the shares of Series A redeemable convertible preferred stock outstanding shall be redeemed at any time on or after September 30, 2019, in three annual installments commencing sixty days after receipt of the required vote, at the Original Issue Price per share of Series A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B redeemable convertible preferred stock, voting together as a single class, the shares of Series B redeemable convertible preferred stock outstanding shall be redeemed at any time on or after September 30, 2019, in three annual installments commencing sixty days after receipt of the required vote, at the Original Issue Price per share of Series B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The Company shall redeem the shares on a pro rata basis in accordance with the number of shares of Series A or Series B redeemable convertible preferred stock held by each stockholder. No shares of Series A redeemable convertible preferred stock shall be redeemed so long as any shares of Series B redeemable convertible preferred stock remain issued and outstanding.</w:t>
      </w:r>
    </w:p>
    <w:p>
      <w:pPr>
        <w:spacing w:after="0" w:line="199"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carrying values of the Series A and Series B redeemable convertible preferred stock are being accreted to their redemption values through September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Redeemable Preferred Stock are entitled to vote, together with the holders of common stock, on all matters submitted to stockholders for a vote. Holders of Redeemable Preferred Stock have the right to vote the number of shares equal to the number of shares of common stock into which such Redeemable Preferred Stock could convert on the record date for determination of stockholders entitled to vote. The holders of the majority of Redeemable Preferred Stock, voting separately as a class, are entitled to elect three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2013 and 2014 and June 30, 2015 (unaudited), the Company's certificate of incorporation, as amended and restated, authorized the Company to issue 41,000,000 shares, 77,000,000 shares and 77,000,000 shares, respectively, of $0.00001 par value common stock.</w:t>
      </w:r>
    </w:p>
    <w:p>
      <w:pPr>
        <w:spacing w:after="0" w:line="19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would receive if each preferred share were converted into common stock. The Company may not pay dividends to common stockholders until all dividends accrued or declared but unpaid on the Redeemable Preferred Stock have been paid in full. No dividends had been declared through June 30, 2015 (unaudited).</w:t>
      </w:r>
    </w:p>
    <w:p>
      <w:pPr>
        <w:spacing w:after="0" w:line="19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As of December 31, 2013 and 2014 and June 30, 2015 (unaudited), the Company had reserved 6,223,175 shares, 8,425,181 shares and 8,425,181 shares, respectively, for the conversion of the outstanding shares of Series A and Series B redeemable convertible stock (see Note 6) and the exercise of outstanding stock options and the number of shares remaining available for future grant under the Company's 2012 Plan (see Note 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Company has granted restricted common stock with time-based vesting conditions. Unvested shares of restricted common stock may not be sold or transferred by the holder. These restrictions lapse according to the time-based vesting conditions of each award. Upon a qualified public offering or a change in control of the Company, all unvested shares of restricted common stock vest immediately.</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July 2012, the Company issued 2,730,427 shares of common stock to its founders in connection with the Company's formation, of which 1,918,834 shares were subject to vesting pursuant to restricted stock agreements, with 25% of such shares vesting in July 2013 and the remaining 75% vesting in equal monthly installments over a three-year period thereafter. The estimated grant-date fair value of these restricted common shares was $0.00001 per share, equal to the par value of each share. As of December 31, 2013 and 2014 and June 30, 2015 (unaudited), 1,239,247 shares, 759,538 shares and 519,684 shares, respectively, were subject to repurchase.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Company's restricted stock activity since January 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Weighted</w:t>
            </w:r>
          </w:p>
        </w:tc>
      </w:tr>
      <w:tr>
        <w:trPr>
          <w:trHeight w:val="157"/>
        </w:trPr>
        <w:tc>
          <w:tcPr>
            <w:tcW w:w="6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Average Grant</w:t>
            </w:r>
          </w:p>
        </w:tc>
      </w:tr>
      <w:tr>
        <w:trPr>
          <w:trHeight w:val="157"/>
        </w:trPr>
        <w:tc>
          <w:tcPr>
            <w:tcW w:w="6860" w:type="dxa"/>
            <w:vAlign w:val="bottom"/>
          </w:tcPr>
          <w:p>
            <w:pPr>
              <w:spacing w:after="0"/>
              <w:rPr>
                <w:sz w:val="13"/>
                <w:szCs w:val="13"/>
                <w:color w:val="auto"/>
              </w:rPr>
            </w:pPr>
          </w:p>
        </w:tc>
        <w:tc>
          <w:tcPr>
            <w:tcW w:w="10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Date Fair Value</w:t>
            </w:r>
          </w:p>
        </w:tc>
      </w:tr>
      <w:tr>
        <w:trPr>
          <w:trHeight w:val="169"/>
        </w:trPr>
        <w:tc>
          <w:tcPr>
            <w:tcW w:w="6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r>
      <w:tr>
        <w:trPr>
          <w:trHeight w:val="190"/>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2012</w:t>
            </w: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1,918,834</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60" w:type="dxa"/>
            <w:vAlign w:val="bottom"/>
          </w:tcPr>
          <w:p>
            <w:pPr>
              <w:ind w:left="160"/>
              <w:spacing w:after="0"/>
              <w:rPr>
                <w:sz w:val="20"/>
                <w:szCs w:val="20"/>
                <w:color w:val="auto"/>
              </w:rPr>
            </w:pPr>
            <w:r>
              <w:rPr>
                <w:rFonts w:ascii="Arial" w:cs="Arial" w:eastAsia="Arial" w:hAnsi="Arial"/>
                <w:sz w:val="17"/>
                <w:szCs w:val="17"/>
                <w:color w:val="auto"/>
              </w:rPr>
              <w:t>Vested</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(679,587)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2013</w:t>
            </w: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1,239,247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60" w:type="dxa"/>
            <w:vAlign w:val="bottom"/>
          </w:tcPr>
          <w:p>
            <w:pPr>
              <w:ind w:left="160"/>
              <w:spacing w:after="0"/>
              <w:rPr>
                <w:sz w:val="20"/>
                <w:szCs w:val="20"/>
                <w:color w:val="auto"/>
              </w:rPr>
            </w:pPr>
            <w:r>
              <w:rPr>
                <w:rFonts w:ascii="Arial" w:cs="Arial" w:eastAsia="Arial" w:hAnsi="Arial"/>
                <w:sz w:val="17"/>
                <w:szCs w:val="17"/>
                <w:color w:val="auto"/>
              </w:rPr>
              <w:t>Vested</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(479,709)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2014</w:t>
            </w: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759,538</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60" w:type="dxa"/>
            <w:vAlign w:val="bottom"/>
          </w:tcPr>
          <w:p>
            <w:pPr>
              <w:ind w:left="160"/>
              <w:spacing w:after="0"/>
              <w:rPr>
                <w:sz w:val="20"/>
                <w:szCs w:val="20"/>
                <w:color w:val="auto"/>
              </w:rPr>
            </w:pPr>
            <w:r>
              <w:rPr>
                <w:rFonts w:ascii="Arial" w:cs="Arial" w:eastAsia="Arial" w:hAnsi="Arial"/>
                <w:sz w:val="17"/>
                <w:szCs w:val="17"/>
                <w:color w:val="auto"/>
              </w:rPr>
              <w:t>Vested</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(239,854)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June 30, 2015 (unaudited)</w:t>
            </w: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519,684</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20"/>
        </w:trPr>
        <w:tc>
          <w:tcPr>
            <w:tcW w:w="6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 aggregate intrinsic value of restricted stock awards that vested during the years ended December 31, 2013 and 2014 and the six months ended June 30, 2014 and 2015 (unaudited) was $281, $488, $99 and $935,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Company's 2012 Equity Compensation Plan, as amended and restated,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options may not be greater than ten years. The Company generally grants stock-based awards with service conditions only ("service-based" awards).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Stock options granted under the 2012 Plan generally vest over four years and expire after ten years.</w:t>
      </w:r>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total number of shares of common stock that may be issued under the 2012 Plan was 168,115 shares as of December 31, 2013, all of which shares remained available for future grant at December 31, 2013. On September 30, 2014, the Company effected an increase in the number of shares of common stock reserved for issuance under the 2012 Plan to 500,262 shares. As of December 31, 2014 and June 30, 2015 (unaudited), no shares remained available for grant under the 2012 Plan.</w:t>
      </w:r>
    </w:p>
    <w:p>
      <w:pPr>
        <w:spacing w:after="0" w:line="198"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231" w:lineRule="exact"/>
        <w:rPr>
          <w:sz w:val="20"/>
          <w:szCs w:val="20"/>
          <w:color w:val="auto"/>
        </w:rPr>
      </w:pPr>
    </w:p>
    <w:p>
      <w:pPr>
        <w:ind w:right="800"/>
        <w:spacing w:after="0" w:line="252" w:lineRule="auto"/>
        <w:rPr>
          <w:sz w:val="20"/>
          <w:szCs w:val="20"/>
          <w:color w:val="auto"/>
        </w:rPr>
      </w:pPr>
      <w:r>
        <w:rPr>
          <w:rFonts w:ascii="Arial" w:cs="Arial" w:eastAsia="Arial" w:hAnsi="Arial"/>
          <w:sz w:val="17"/>
          <w:szCs w:val="17"/>
          <w:color w:val="auto"/>
        </w:rPr>
        <w:t>The assumptions that the Company used to determine the fair value of the stock options granted to employees and directors were as follows, presented on a weighted average basis: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Six Months Ended</w:t>
            </w:r>
          </w:p>
        </w:tc>
      </w:tr>
      <w:tr>
        <w:trPr>
          <w:trHeight w:val="169"/>
        </w:trPr>
        <w:tc>
          <w:tcPr>
            <w:tcW w:w="5320" w:type="dxa"/>
            <w:vAlign w:val="bottom"/>
          </w:tcPr>
          <w:p>
            <w:pPr>
              <w:spacing w:after="0"/>
              <w:rPr>
                <w:sz w:val="14"/>
                <w:szCs w:val="1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 2014</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June 30, 2014</w:t>
            </w:r>
          </w:p>
        </w:tc>
      </w:tr>
      <w:tr>
        <w:trPr>
          <w:trHeight w:val="150"/>
        </w:trPr>
        <w:tc>
          <w:tcPr>
            <w:tcW w:w="53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161"/>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gridSpan w:val="2"/>
          </w:tcPr>
          <w:p>
            <w:pPr>
              <w:spacing w:after="0"/>
              <w:rPr>
                <w:sz w:val="13"/>
                <w:szCs w:val="13"/>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7"/>
                <w:szCs w:val="17"/>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20" w:type="dxa"/>
            <w:vAlign w:val="bottom"/>
          </w:tcPr>
          <w:p>
            <w:pPr>
              <w:spacing w:after="0"/>
              <w:rPr>
                <w:sz w:val="17"/>
                <w:szCs w:val="17"/>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0%</w:t>
            </w:r>
          </w:p>
        </w:tc>
        <w:tc>
          <w:tcPr>
            <w:tcW w:w="2080" w:type="dxa"/>
            <w:vAlign w:val="bottom"/>
            <w:gridSpan w:val="3"/>
          </w:tcPr>
          <w:p>
            <w:pPr>
              <w:jc w:val="right"/>
              <w:spacing w:after="0"/>
              <w:rPr>
                <w:sz w:val="20"/>
                <w:szCs w:val="20"/>
                <w:color w:val="auto"/>
              </w:rPr>
            </w:pPr>
            <w:r>
              <w:rPr>
                <w:rFonts w:ascii="Arial" w:cs="Arial" w:eastAsia="Arial" w:hAnsi="Arial"/>
                <w:sz w:val="17"/>
                <w:szCs w:val="17"/>
                <w:color w:val="auto"/>
              </w:rPr>
              <w:t>0%</w:t>
            </w:r>
          </w:p>
        </w:tc>
      </w:tr>
    </w:tbl>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For the year ended December 31, 2014 and the six months ended June 30, 2014 (unaudited), the Company applied an expected forfeiture rate of 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There were no stock options granted, exercised, forfeited or canceled during year ended December 31, 2013 or the six months ended June 30, 2015 (unaudited). The following table summarizes stock option activity under the 2012 Plan from January 1, 2014 through June 30, 2015 (unaudited):</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Weighted</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Remaining</w:t>
            </w:r>
          </w:p>
        </w:tc>
        <w:tc>
          <w:tcPr>
            <w:tcW w:w="8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gridSpan w:val="2"/>
          </w:tcPr>
          <w:p>
            <w:pPr>
              <w:jc w:val="right"/>
              <w:ind w:right="280"/>
              <w:spacing w:after="0" w:line="157" w:lineRule="exact"/>
              <w:rPr>
                <w:sz w:val="20"/>
                <w:szCs w:val="20"/>
                <w:color w:val="auto"/>
              </w:rPr>
            </w:pPr>
            <w:r>
              <w:rPr>
                <w:rFonts w:ascii="Arial" w:cs="Arial" w:eastAsia="Arial" w:hAnsi="Arial"/>
                <w:sz w:val="14"/>
                <w:szCs w:val="14"/>
                <w:b w:val="1"/>
                <w:bCs w:val="1"/>
                <w:color w:val="auto"/>
              </w:rPr>
              <w:t>Number</w:t>
            </w:r>
          </w:p>
        </w:tc>
        <w:tc>
          <w:tcPr>
            <w:tcW w:w="8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3"/>
                <w:szCs w:val="13"/>
                <w:color w:val="auto"/>
              </w:rPr>
            </w:pPr>
          </w:p>
        </w:tc>
        <w:tc>
          <w:tcPr>
            <w:tcW w:w="7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50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500,262</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December 31, 2014</w:t>
            </w:r>
          </w:p>
        </w:tc>
        <w:tc>
          <w:tcPr>
            <w:tcW w:w="9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500,262</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9.77</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97"/>
        </w:trPr>
        <w:tc>
          <w:tcPr>
            <w:tcW w:w="550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June 30, 2015 (unaudited)</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500,262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9.27</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2,376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December 31, 2014</w:t>
            </w: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1.22</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9.77</w:t>
            </w: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line="20" w:lineRule="exact"/>
              <w:rPr>
                <w:sz w:val="1"/>
                <w:szCs w:val="1"/>
                <w:color w:val="auto"/>
              </w:rPr>
            </w:pPr>
          </w:p>
        </w:tc>
      </w:tr>
      <w:tr>
        <w:trPr>
          <w:trHeight w:val="176"/>
        </w:trPr>
        <w:tc>
          <w:tcPr>
            <w:tcW w:w="5500" w:type="dxa"/>
            <w:vAlign w:val="bottom"/>
            <w:gridSpan w:val="2"/>
            <w:vMerge w:val="continue"/>
          </w:tcPr>
          <w:p>
            <w:pPr>
              <w:spacing w:after="0"/>
              <w:rPr>
                <w:sz w:val="15"/>
                <w:szCs w:val="15"/>
                <w:color w:val="auto"/>
              </w:rPr>
            </w:pPr>
          </w:p>
        </w:tc>
        <w:tc>
          <w:tcPr>
            <w:tcW w:w="920" w:type="dxa"/>
            <w:vAlign w:val="bottom"/>
            <w:gridSpan w:val="2"/>
          </w:tcPr>
          <w:p>
            <w:pPr>
              <w:jc w:val="right"/>
              <w:ind w:right="180"/>
              <w:spacing w:after="0" w:line="176" w:lineRule="exact"/>
              <w:rPr>
                <w:sz w:val="20"/>
                <w:szCs w:val="20"/>
                <w:color w:val="auto"/>
              </w:rPr>
            </w:pPr>
            <w:r>
              <w:rPr>
                <w:rFonts w:ascii="Arial" w:cs="Arial" w:eastAsia="Arial" w:hAnsi="Arial"/>
                <w:sz w:val="17"/>
                <w:szCs w:val="17"/>
                <w:color w:val="auto"/>
              </w:rPr>
              <w:t>500,262</w:t>
            </w:r>
          </w:p>
        </w:tc>
        <w:tc>
          <w:tcPr>
            <w:tcW w:w="1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December 31, 2014</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June 30, 2015 (unaudited)</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1.22</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9.27</w:t>
            </w: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2,376</w:t>
            </w:r>
          </w:p>
        </w:tc>
        <w:tc>
          <w:tcPr>
            <w:tcW w:w="0" w:type="dxa"/>
            <w:vAlign w:val="bottom"/>
          </w:tcPr>
          <w:p>
            <w:pPr>
              <w:spacing w:after="0" w:line="20" w:lineRule="exact"/>
              <w:rPr>
                <w:sz w:val="1"/>
                <w:szCs w:val="1"/>
                <w:color w:val="auto"/>
              </w:rPr>
            </w:pPr>
          </w:p>
        </w:tc>
      </w:tr>
      <w:tr>
        <w:trPr>
          <w:trHeight w:val="176"/>
        </w:trPr>
        <w:tc>
          <w:tcPr>
            <w:tcW w:w="5500" w:type="dxa"/>
            <w:vAlign w:val="bottom"/>
            <w:gridSpan w:val="2"/>
            <w:vMerge w:val="continue"/>
          </w:tcPr>
          <w:p>
            <w:pPr>
              <w:spacing w:after="0"/>
              <w:rPr>
                <w:sz w:val="15"/>
                <w:szCs w:val="15"/>
                <w:color w:val="auto"/>
              </w:rPr>
            </w:pPr>
          </w:p>
        </w:tc>
        <w:tc>
          <w:tcPr>
            <w:tcW w:w="920" w:type="dxa"/>
            <w:vAlign w:val="bottom"/>
            <w:gridSpan w:val="2"/>
          </w:tcPr>
          <w:p>
            <w:pPr>
              <w:jc w:val="right"/>
              <w:ind w:right="180"/>
              <w:spacing w:after="0" w:line="176" w:lineRule="exact"/>
              <w:rPr>
                <w:sz w:val="20"/>
                <w:szCs w:val="20"/>
                <w:color w:val="auto"/>
              </w:rPr>
            </w:pPr>
            <w:r>
              <w:rPr>
                <w:rFonts w:ascii="Arial" w:cs="Arial" w:eastAsia="Arial" w:hAnsi="Arial"/>
                <w:sz w:val="17"/>
                <w:szCs w:val="17"/>
                <w:color w:val="auto"/>
              </w:rPr>
              <w:t>500,262</w:t>
            </w:r>
          </w:p>
        </w:tc>
        <w:tc>
          <w:tcPr>
            <w:tcW w:w="1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June 30, 2015 (unaudited)</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18,478</w:t>
            </w:r>
            <w:r>
              <w:rPr>
                <w:rFonts w:ascii="Arial" w:cs="Arial" w:eastAsia="Arial" w:hAnsi="Arial"/>
                <w:sz w:val="20"/>
                <w:szCs w:val="20"/>
                <w:color w:val="auto"/>
                <w:vertAlign w:val="superscript"/>
              </w:rPr>
              <w:t>(1)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0.41</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All options granted to date under the 2012 Plan are exercisable immediately, subject to a repurchase right in the Company's favor that lapses as the option vests. This amount reflects the number of shares under options that were vested, as opposed to exercisable, as of December 31, 2014 or June 30, 2015 (unaudited).</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weighted average grant-date fair value of stock options granted during the year ended December 31, 2014 was $1.38 per share. The weighted average grant-date fair value of stock options granted during the six months ended June 30, 2014 (unaudited) was $0.36 per share.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The Company recorded no stock-based compensation expense for the year ended December 31, 2013. For the year ended December 31, 2014 and the six months ended June 30, 2014 and 2015 (unaudited), the Company recorded stock-based compensation in the following expense categories of its statements of operations and comprehensive loss: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0"/>
        </w:trPr>
        <w:tc>
          <w:tcPr>
            <w:tcW w:w="5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1"/>
              <w:spacing w:after="0" w:line="151" w:lineRule="exact"/>
              <w:rPr>
                <w:sz w:val="20"/>
                <w:szCs w:val="20"/>
                <w:color w:val="auto"/>
              </w:rPr>
            </w:pPr>
            <w:r>
              <w:rPr>
                <w:rFonts w:ascii="Arial" w:cs="Arial" w:eastAsia="Arial" w:hAnsi="Arial"/>
                <w:sz w:val="14"/>
                <w:szCs w:val="14"/>
                <w:b w:val="1"/>
                <w:bCs w:val="1"/>
                <w:color w:val="auto"/>
                <w:w w:val="99"/>
              </w:rPr>
              <w:t>December 31, 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4"/>
              <w:spacing w:after="0" w:line="151"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1"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3"/>
                <w:szCs w:val="13"/>
                <w:color w:val="auto"/>
              </w:rPr>
            </w:pPr>
          </w:p>
        </w:tc>
      </w:tr>
      <w:tr>
        <w:trPr>
          <w:trHeight w:val="150"/>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60"/>
              <w:spacing w:after="0" w:line="151" w:lineRule="exact"/>
              <w:rPr>
                <w:sz w:val="20"/>
                <w:szCs w:val="20"/>
                <w:color w:val="auto"/>
              </w:rPr>
            </w:pPr>
            <w:r>
              <w:rPr>
                <w:rFonts w:ascii="Arial" w:cs="Arial" w:eastAsia="Arial" w:hAnsi="Arial"/>
                <w:sz w:val="14"/>
                <w:szCs w:val="14"/>
                <w:b w:val="1"/>
                <w:bCs w:val="1"/>
                <w:color w:val="auto"/>
                <w:w w:val="99"/>
              </w:rPr>
              <w:t>(unaudited)</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r>
      <w:tr>
        <w:trPr>
          <w:trHeight w:val="197"/>
        </w:trPr>
        <w:tc>
          <w:tcPr>
            <w:tcW w:w="56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20"/>
        <w:spacing w:after="0" w:line="252" w:lineRule="auto"/>
        <w:rPr>
          <w:sz w:val="20"/>
          <w:szCs w:val="20"/>
          <w:color w:val="auto"/>
        </w:rPr>
      </w:pPr>
      <w:r>
        <w:rPr>
          <w:rFonts w:ascii="Arial" w:cs="Arial" w:eastAsia="Arial" w:hAnsi="Arial"/>
          <w:sz w:val="17"/>
          <w:szCs w:val="17"/>
          <w:color w:val="auto"/>
        </w:rPr>
        <w:t>As of December 31, 2014 and June 30, 2015 (unaudited), the Company had an aggregate of $670 and $576 of unrecognized stock-based compensation cost, which is expected to be recognized over weighted average periods of 3.78 years and 3.28 years,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330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gridSpan w:val="6"/>
          </w:tcPr>
          <w:p>
            <w:pPr>
              <w:jc w:val="center"/>
              <w:ind w:right="138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(5,217)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redemption value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7"/>
                <w:szCs w:val="17"/>
                <w:color w:val="auto"/>
              </w:rPr>
              <w:t>Weighted average shares of common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tcPr>
          <w:p>
            <w:pPr>
              <w:ind w:left="320"/>
              <w:spacing w:after="0" w:line="194" w:lineRule="exact"/>
              <w:rPr>
                <w:sz w:val="20"/>
                <w:szCs w:val="20"/>
                <w:color w:val="auto"/>
              </w:rPr>
            </w:pPr>
            <w:r>
              <w:rPr>
                <w:rFonts w:ascii="Arial" w:cs="Arial" w:eastAsia="Arial" w:hAnsi="Arial"/>
                <w:sz w:val="17"/>
                <w:szCs w:val="17"/>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2,730,427</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2,730,427</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2,730,427</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2,730,427</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Weighted average shares of unvested restricted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common stock outstanding</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(1,649,080)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(1,010,345)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(1,055,185)</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(575,474)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360" w:type="dxa"/>
            <w:vAlign w:val="bottom"/>
          </w:tcPr>
          <w:p>
            <w:pPr>
              <w:ind w:left="320"/>
              <w:spacing w:after="0" w:line="193" w:lineRule="exact"/>
              <w:rPr>
                <w:sz w:val="20"/>
                <w:szCs w:val="20"/>
                <w:color w:val="auto"/>
              </w:rPr>
            </w:pPr>
            <w:r>
              <w:rPr>
                <w:rFonts w:ascii="Arial" w:cs="Arial" w:eastAsia="Arial" w:hAnsi="Arial"/>
                <w:sz w:val="17"/>
                <w:szCs w:val="17"/>
                <w:color w:val="auto"/>
              </w:rPr>
              <w:t>Weighted average common shares outstanding used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360" w:type="dxa"/>
            <w:vAlign w:val="bottom"/>
          </w:tcPr>
          <w:p>
            <w:pPr>
              <w:ind w:left="480"/>
              <w:spacing w:after="0"/>
              <w:rPr>
                <w:sz w:val="20"/>
                <w:szCs w:val="20"/>
                <w:color w:val="auto"/>
              </w:rPr>
            </w:pPr>
            <w:r>
              <w:rPr>
                <w:rFonts w:ascii="Arial" w:cs="Arial" w:eastAsia="Arial" w:hAnsi="Arial"/>
                <w:sz w:val="17"/>
                <w:szCs w:val="17"/>
                <w:color w:val="auto"/>
              </w:rPr>
              <w:t>in calculating net loss per share attributable to</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tcPr>
          <w:p>
            <w:pPr>
              <w:ind w:left="480"/>
              <w:spacing w:after="0" w:line="194" w:lineRule="exact"/>
              <w:rPr>
                <w:sz w:val="20"/>
                <w:szCs w:val="20"/>
                <w:color w:val="auto"/>
              </w:rPr>
            </w:pPr>
            <w:r>
              <w:rPr>
                <w:rFonts w:ascii="Arial" w:cs="Arial" w:eastAsia="Arial" w:hAnsi="Arial"/>
                <w:sz w:val="17"/>
                <w:szCs w:val="17"/>
                <w:color w:val="auto"/>
              </w:rPr>
              <w:t>common stockholders, basic and diluted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1,081,347</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1,720,082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1,675,242</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2,154,953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3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3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(6.45)</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(6.15)</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00" w:type="dxa"/>
            <w:vAlign w:val="bottom"/>
            <w:gridSpan w:val="4"/>
          </w:tcPr>
          <w:p>
            <w:pPr>
              <w:jc w:val="right"/>
              <w:ind w:right="920"/>
              <w:spacing w:after="0"/>
              <w:rPr>
                <w:sz w:val="20"/>
                <w:szCs w:val="20"/>
                <w:color w:val="auto"/>
              </w:rPr>
            </w:pPr>
            <w:r>
              <w:rPr>
                <w:rFonts w:ascii="Arial" w:cs="Arial" w:eastAsia="Arial" w:hAnsi="Arial"/>
                <w:sz w:val="17"/>
                <w:szCs w:val="17"/>
                <w:color w:val="auto"/>
              </w:rPr>
              <w:t>F-23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3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Company's potential dilutive securities, which include stock options, unvested restricted common stock and redeemable convertible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20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50"/>
        </w:trPr>
        <w:tc>
          <w:tcPr>
            <w:tcW w:w="50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80"/>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81"/>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r>
      <w:tr>
        <w:trPr>
          <w:trHeight w:val="150"/>
        </w:trPr>
        <w:tc>
          <w:tcPr>
            <w:tcW w:w="5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4"/>
          </w:tcPr>
          <w:p>
            <w:pPr>
              <w:jc w:val="center"/>
              <w:ind w:right="120"/>
              <w:spacing w:after="0" w:line="151" w:lineRule="exact"/>
              <w:rPr>
                <w:sz w:val="20"/>
                <w:szCs w:val="20"/>
                <w:color w:val="auto"/>
              </w:rPr>
            </w:pPr>
            <w:r>
              <w:rPr>
                <w:rFonts w:ascii="Arial" w:cs="Arial" w:eastAsia="Arial" w:hAnsi="Arial"/>
                <w:sz w:val="14"/>
                <w:szCs w:val="14"/>
                <w:b w:val="1"/>
                <w:bCs w:val="1"/>
                <w:color w:val="auto"/>
                <w:w w:val="99"/>
              </w:rPr>
              <w:t>(unaudited)</w:t>
            </w: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500,262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52,173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500,262</w:t>
            </w:r>
          </w:p>
        </w:tc>
      </w:tr>
      <w:tr>
        <w:trPr>
          <w:trHeight w:val="197"/>
        </w:trPr>
        <w:tc>
          <w:tcPr>
            <w:tcW w:w="504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1,239,247</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759,538</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999,393</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519,684</w:t>
            </w: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 (as converted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4"/>
        </w:trPr>
        <w:tc>
          <w:tcPr>
            <w:tcW w:w="50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common stock)</w:t>
            </w: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6,055,060</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7,924,919</w:t>
            </w:r>
          </w:p>
        </w:tc>
        <w:tc>
          <w:tcPr>
            <w:tcW w:w="10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6,055,060</w:t>
            </w:r>
          </w:p>
        </w:tc>
        <w:tc>
          <w:tcPr>
            <w:tcW w:w="10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7,924,919</w:t>
            </w:r>
          </w:p>
        </w:tc>
      </w:tr>
      <w:tr>
        <w:trPr>
          <w:trHeight w:val="20"/>
        </w:trPr>
        <w:tc>
          <w:tcPr>
            <w:tcW w:w="5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7,294,307</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9,184,719</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7,106,626</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8,944,865</w:t>
            </w:r>
          </w:p>
        </w:tc>
      </w:tr>
      <w:tr>
        <w:trPr>
          <w:trHeight w:val="20"/>
        </w:trPr>
        <w:tc>
          <w:tcPr>
            <w:tcW w:w="5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2014 and the six months ended June 30, 2015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of redeemable convertible preferred stock to redemption value because the calculation assumes that the conversion of redeemable convertible preferred stock into common stock had occurred on the later of January 1, 2014 or the issuance date of the redeemable convertible preferred stock.</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year ended December 31, 2014 and the six months ended June 30, 2015 give effect to the conversion upon a qualified initial public offering of all outstanding shares of Redeemable Preferred Stock as of December 31, 2014 and June 30, 2015 into 7,924,919 shares of common stock and the immediate vesting upon a qualified initial public offering of all shares of unvested restricted common stock (see Note 7) as if the initial public offering had occurred on the later of January 1, 2014 or the issuance date of the Redeemable Preferred Stock.</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5"/>
          </w:tcPr>
          <w:p>
            <w:pPr>
              <w:jc w:val="right"/>
              <w:ind w:right="1140"/>
              <w:spacing w:after="0" w:line="151"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(10,571)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(6,550)</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7"/>
                <w:szCs w:val="17"/>
                <w:color w:val="auto"/>
              </w:rPr>
              <w:t>Pro forma net loss attributable to common stockholders</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200" w:type="dxa"/>
            <w:vAlign w:val="bottom"/>
          </w:tcPr>
          <w:p>
            <w:pPr>
              <w:jc w:val="right"/>
              <w:ind w:right="19"/>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 basic and diluted</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1,720,082</w:t>
            </w: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2,154,953</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 forma adjustment for assumed vesting of all shares of unvested restricted</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common stock upon the closing of the proposed initial public offering</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1,010,345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575,474</w:t>
            </w:r>
          </w:p>
        </w:tc>
        <w:tc>
          <w:tcPr>
            <w:tcW w:w="0" w:type="dxa"/>
            <w:vAlign w:val="bottom"/>
          </w:tcPr>
          <w:p>
            <w:pPr>
              <w:spacing w:after="0"/>
              <w:rPr>
                <w:sz w:val="1"/>
                <w:szCs w:val="1"/>
                <w:color w:val="auto"/>
              </w:rPr>
            </w:pPr>
          </w:p>
        </w:tc>
      </w:tr>
      <w:tr>
        <w:trPr>
          <w:trHeight w:val="200"/>
        </w:trPr>
        <w:tc>
          <w:tcPr>
            <w:tcW w:w="6220" w:type="dxa"/>
            <w:vAlign w:val="bottom"/>
          </w:tcPr>
          <w:p>
            <w:pPr>
              <w:ind w:left="160"/>
              <w:spacing w:after="0"/>
              <w:rPr>
                <w:sz w:val="20"/>
                <w:szCs w:val="20"/>
                <w:color w:val="auto"/>
              </w:rPr>
            </w:pPr>
            <w:r>
              <w:rPr>
                <w:rFonts w:ascii="Arial" w:cs="Arial" w:eastAsia="Arial" w:hAnsi="Arial"/>
                <w:sz w:val="17"/>
                <w:szCs w:val="17"/>
                <w:color w:val="auto"/>
              </w:rPr>
              <w:t>Pro forma adjustment for assumed conversion of all outstanding shares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320"/>
              <w:spacing w:after="0"/>
              <w:rPr>
                <w:sz w:val="20"/>
                <w:szCs w:val="20"/>
                <w:color w:val="auto"/>
              </w:rPr>
            </w:pPr>
            <w:r>
              <w:rPr>
                <w:rFonts w:ascii="Arial" w:cs="Arial" w:eastAsia="Arial" w:hAnsi="Arial"/>
                <w:sz w:val="17"/>
                <w:szCs w:val="17"/>
                <w:color w:val="auto"/>
              </w:rPr>
              <w:t>redeemable convertible preferred stock upon the closing of the proposed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20" w:type="dxa"/>
            <w:vAlign w:val="bottom"/>
          </w:tcPr>
          <w:p>
            <w:pPr>
              <w:ind w:left="320"/>
              <w:spacing w:after="0" w:line="194" w:lineRule="exact"/>
              <w:rPr>
                <w:sz w:val="20"/>
                <w:szCs w:val="20"/>
                <w:color w:val="auto"/>
              </w:rPr>
            </w:pPr>
            <w:r>
              <w:rPr>
                <w:rFonts w:ascii="Arial" w:cs="Arial" w:eastAsia="Arial" w:hAnsi="Arial"/>
                <w:sz w:val="17"/>
                <w:szCs w:val="17"/>
                <w:color w:val="auto"/>
              </w:rPr>
              <w:t>initial public offering</w:t>
            </w:r>
          </w:p>
        </w:tc>
        <w:tc>
          <w:tcPr>
            <w:tcW w:w="200" w:type="dxa"/>
            <w:vAlign w:val="bottom"/>
          </w:tcPr>
          <w:p>
            <w:pPr>
              <w:spacing w:after="0"/>
              <w:rPr>
                <w:sz w:val="16"/>
                <w:szCs w:val="16"/>
                <w:color w:val="auto"/>
              </w:rPr>
            </w:pPr>
          </w:p>
        </w:tc>
        <w:tc>
          <w:tcPr>
            <w:tcW w:w="13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6,531,490</w:t>
            </w:r>
          </w:p>
        </w:tc>
        <w:tc>
          <w:tcPr>
            <w:tcW w:w="140" w:type="dxa"/>
            <w:vAlign w:val="bottom"/>
          </w:tcPr>
          <w:p>
            <w:pPr>
              <w:spacing w:after="0"/>
              <w:rPr>
                <w:sz w:val="16"/>
                <w:szCs w:val="16"/>
                <w:color w:val="auto"/>
              </w:rPr>
            </w:pPr>
          </w:p>
        </w:tc>
        <w:tc>
          <w:tcPr>
            <w:tcW w:w="12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7,924,919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Pro forma weighted average common shares outstanding, basic and diluted</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9,261,917</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10,655,346</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 stockholders, basic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20" w:type="dxa"/>
            <w:vAlign w:val="bottom"/>
          </w:tcPr>
          <w:p>
            <w:pPr>
              <w:ind w:left="160"/>
              <w:spacing w:after="0" w:line="194" w:lineRule="exact"/>
              <w:rPr>
                <w:sz w:val="20"/>
                <w:szCs w:val="20"/>
                <w:color w:val="auto"/>
              </w:rPr>
            </w:pPr>
            <w:r>
              <w:rPr>
                <w:rFonts w:ascii="Arial" w:cs="Arial" w:eastAsia="Arial" w:hAnsi="Arial"/>
                <w:sz w:val="17"/>
                <w:szCs w:val="17"/>
                <w:color w:val="auto"/>
              </w:rPr>
              <w:t>diluted</w:t>
            </w:r>
          </w:p>
        </w:tc>
        <w:tc>
          <w:tcPr>
            <w:tcW w:w="200" w:type="dxa"/>
            <w:vAlign w:val="bottom"/>
          </w:tcPr>
          <w:p>
            <w:pPr>
              <w:jc w:val="right"/>
              <w:ind w:right="19"/>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(0.92)</w:t>
            </w:r>
          </w:p>
        </w:tc>
        <w:tc>
          <w:tcPr>
            <w:tcW w:w="1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Agreement and Finder's Services Agreement</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August 2012, the Company entered into an assignment agreement with the Miller Estate under which it acquired intellectual property. The initial consideration paid by the Company during the year ended December 31, 2012 was $405. In November 2013, upon the achievement of a clinical milestone, the Company made a milestone payment of $200. These two payments were recorded as research and development expense during the years ended December 31, 2012 and 2013, respectively. In addition, the Company is obligated to pay royalties on sales of A-101 or related products at rates ranging in low single-digit percentages of net sales, as defined in the agreement. No royalty payments were made during the years ended December 31, 2013 or 2014 or the six months ended June 30, 2015 (unaudited) pursuant to the agreement.</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August 2012, the Company entered into a finder's services agreement with KPT Consulting, LLC ("KPT") to provide certain business development consulting services to the Company in connection with the intellectual property acquired by the Company under the assignment agreement. The initial consideration paid by the Company during the year ended December 31, 2012 was $200. In November 2013, upon the achievement of a milestone specified in the agreement, the Company paid an additional $200. These two payments were recorded as general and administrative expense during the years ended December 31, 2012 and 2013, respectively.</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Under the finder's services agreement, the Company is obligated to make additional future milestone payments to KPT of up to $1,300 upon the achievement of specified pre-commercialization milestones, such as clinical trials and regulatory approvals, as well as milestone payments of up to $4,500 upon the achievement of specified commercial milestones. In addition, the Company is obligated to pay royalties on sales of A-101 or related products at a low single-digit percentage of net sales, as defined in the agreement. No royalty payments were made during the years ended December 31, 2013 or 2014 or the six months ended June 30, 2015 (unaudited) pursuant to the agreement.</w:t>
      </w:r>
    </w:p>
    <w:p>
      <w:pPr>
        <w:spacing w:after="0" w:line="199"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Both agreements will terminate upon the expiration of the last pending, viable patent claim of the patents acquired under the assignment agreement, but no sooner than 15 years from the effective date of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September 2012, the Company entered into a sublease agreement for its office space with related parties (see Note 12), which, as amended, has a term ending on November 30, 2016. Rent expense under operating leases was $71 and $66 for the years ended December 31, 2013 and 2014, respectively, and $33 and $52 for the six months ended June 30, 2014 and 2015 (unaudited), respectively. The Company recognizes rent expense on a straight-line basis over the lease period and has accrued for rent expense incurred but not yet paid. As part of the most recent amendment to the sublease agreement on December 2, 2014, the Company increased the amount of office space to be leased and, accordingly, agreed to new monthly lease terms commencing in January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future minimum lease payments under the sublease were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0"/>
        </w:trPr>
        <w:tc>
          <w:tcPr>
            <w:tcW w:w="16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2015</w:t>
            </w:r>
          </w:p>
        </w:tc>
        <w:tc>
          <w:tcPr>
            <w:tcW w:w="63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104</w:t>
            </w:r>
          </w:p>
        </w:tc>
      </w:tr>
      <w:tr>
        <w:trPr>
          <w:trHeight w:val="197"/>
        </w:trPr>
        <w:tc>
          <w:tcPr>
            <w:tcW w:w="1680" w:type="dxa"/>
            <w:vAlign w:val="bottom"/>
          </w:tcPr>
          <w:p>
            <w:pPr>
              <w:ind w:left="20"/>
              <w:spacing w:after="0"/>
              <w:rPr>
                <w:sz w:val="20"/>
                <w:szCs w:val="20"/>
                <w:color w:val="auto"/>
              </w:rPr>
            </w:pPr>
            <w:r>
              <w:rPr>
                <w:rFonts w:ascii="Arial" w:cs="Arial" w:eastAsia="Arial" w:hAnsi="Arial"/>
                <w:sz w:val="17"/>
                <w:szCs w:val="17"/>
                <w:color w:val="auto"/>
              </w:rPr>
              <w:t>2016</w:t>
            </w:r>
          </w:p>
        </w:tc>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17"/>
                <w:szCs w:val="17"/>
                <w:color w:val="auto"/>
              </w:rPr>
            </w:pPr>
          </w:p>
        </w:tc>
      </w:tr>
      <w:tr>
        <w:trPr>
          <w:trHeight w:val="190"/>
        </w:trPr>
        <w:tc>
          <w:tcPr>
            <w:tcW w:w="80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201</w:t>
            </w: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2013 or 2014 or June 30, 2015 (unaudited).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Agreement</w:t>
      </w:r>
    </w:p>
    <w:p>
      <w:pPr>
        <w:spacing w:after="0" w:line="23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In January 2015, the Company executed a clinical and commercial supply agreement with a third party for the manufacture and assembly of certain components for the product applicator that the Company intends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to use to dispense A-101 in Phase 3 clinical trials and for the commercial drug product. The agreement has a term of three years and automatically renews for consecutive one-year terms. If the agreement is terminated by the Company without cause or by the third party for cause prior to the FDA's approval of A-101, the Company will owe a termination fee equal to $375. If the agreement is terminated by the Company without cause or by the third party for cause after the FDA approval of A-101, the Company will owe a termination fee equal to $275. The Company's obligation to pay the termination fee expires after the third anniversary date of the FDA's approval of A-101.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recorded no income tax benefits for the net operating losses incurred in each year, due to its uncertainty of realizing a benefit from those items.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tcPr>
          <w:p>
            <w:pPr>
              <w:jc w:val="center"/>
              <w:ind w:right="16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tcPr>
          <w:p>
            <w:pPr>
              <w:jc w:val="center"/>
              <w:ind w:right="1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9"/>
              <w:spacing w:after="0" w:line="151"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7"/>
              <w:spacing w:after="0" w:line="151"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Federal statutory income tax rate</w:t>
            </w:r>
          </w:p>
        </w:tc>
        <w:tc>
          <w:tcPr>
            <w:tcW w:w="780" w:type="dxa"/>
            <w:vAlign w:val="bottom"/>
            <w:gridSpan w:val="3"/>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(34.0)%</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Research and development tax credits</w:t>
            </w:r>
          </w:p>
        </w:tc>
        <w:tc>
          <w:tcPr>
            <w:tcW w:w="120" w:type="dxa"/>
            <w:vAlign w:val="bottom"/>
          </w:tcPr>
          <w:p>
            <w:pPr>
              <w:spacing w:after="0"/>
              <w:rPr>
                <w:sz w:val="17"/>
                <w:szCs w:val="17"/>
                <w:color w:val="auto"/>
              </w:rPr>
            </w:pPr>
          </w:p>
        </w:tc>
        <w:tc>
          <w:tcPr>
            <w:tcW w:w="660" w:type="dxa"/>
            <w:vAlign w:val="bottom"/>
            <w:gridSpan w:val="2"/>
          </w:tcPr>
          <w:p>
            <w:pPr>
              <w:jc w:val="right"/>
              <w:ind w:right="155"/>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Change in deferred tax asset valuation allowance</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42.2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55"/>
              <w:spacing w:after="0"/>
              <w:rPr>
                <w:sz w:val="20"/>
                <w:szCs w:val="20"/>
                <w:color w:val="auto"/>
              </w:rPr>
            </w:pPr>
            <w:r>
              <w:rPr>
                <w:rFonts w:ascii="Arial" w:cs="Arial" w:eastAsia="Arial" w:hAnsi="Arial"/>
                <w:sz w:val="17"/>
                <w:szCs w:val="17"/>
                <w:color w:val="auto"/>
              </w:rPr>
              <w:t>41.6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Effective income tax rate</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0.0%</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 as of December 31, 2013 and 2014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8"/>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5"/>
              <w:spacing w:after="0" w:line="151"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5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2,289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5,606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Research and development tax credit carryforwards</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Capitalized research and development expenses</w:t>
            </w: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620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deferred tax assets</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2,903</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6,444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Pr>
          <w:p>
            <w:pPr>
              <w:ind w:left="20"/>
              <w:spacing w:after="0" w:line="189" w:lineRule="exact"/>
              <w:rPr>
                <w:sz w:val="20"/>
                <w:szCs w:val="20"/>
                <w:color w:val="auto"/>
              </w:rPr>
            </w:pPr>
            <w:r>
              <w:rPr>
                <w:rFonts w:ascii="Arial" w:cs="Arial" w:eastAsia="Arial" w:hAnsi="Arial"/>
                <w:sz w:val="17"/>
                <w:szCs w:val="17"/>
                <w:color w:val="auto"/>
              </w:rPr>
              <w:t>Deferred tax liabilities:</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Total deferred tax liabilities</w:t>
            </w: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3"/>
          </w:tcPr>
          <w:p>
            <w:pPr>
              <w:jc w:val="right"/>
              <w:ind w:righ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(2,899)</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Net deferred tax assets</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tcPr>
          <w:p>
            <w:pPr>
              <w:spacing w:after="0"/>
              <w:rPr>
                <w:sz w:val="16"/>
                <w:szCs w:val="16"/>
                <w:color w:val="auto"/>
              </w:rPr>
            </w:pPr>
          </w:p>
        </w:tc>
        <w:tc>
          <w:tcPr>
            <w:tcW w:w="5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6"/>
                <w:szCs w:val="16"/>
                <w:color w:val="auto"/>
              </w:rPr>
            </w:pPr>
          </w:p>
        </w:tc>
        <w:tc>
          <w:tcPr>
            <w:tcW w:w="1540" w:type="dxa"/>
            <w:vAlign w:val="bottom"/>
            <w:gridSpan w:val="3"/>
          </w:tcPr>
          <w:p>
            <w:pPr>
              <w:jc w:val="right"/>
              <w:ind w:righ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4400"/>
              <w:spacing w:after="0"/>
              <w:rPr>
                <w:sz w:val="20"/>
                <w:szCs w:val="20"/>
                <w:color w:val="auto"/>
              </w:rPr>
            </w:pPr>
            <w:r>
              <w:rPr>
                <w:rFonts w:ascii="Arial" w:cs="Arial" w:eastAsia="Arial" w:hAnsi="Arial"/>
                <w:sz w:val="17"/>
                <w:szCs w:val="17"/>
                <w:color w:val="auto"/>
              </w:rPr>
              <w:t>F-27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72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2014, the Company had federal and state net operating loss carryforwards of $13,810 and $13,810, respectively, both of which begin to expire in 2032. As of December 31, 2014, the Company also had federal research and development tax credit carryforwards of $203, which begin to expire in 2032, and the Company had no state research and development tax credit carryforwards. During the six months ended June 30, 2015 (unaudited), gross deferred assets increased by approximately $2,100 due to the operating loss incurred by the Company during the period.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2013 and 2014 and June 30, 2015 (unaudited). Management reevaluates the positive and negative evidence at each reporting period.</w:t>
      </w:r>
    </w:p>
    <w:p>
      <w:pPr>
        <w:spacing w:after="0" w:line="199"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Changes in the valuation allowance for deferred tax assets during the years ended December 31, 2013 and 2014 related primarily to the increases in net operating loss carryforwards and research and development tax credit carryforwards and were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 at beginning of year</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(690)</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97"/>
        </w:trPr>
        <w:tc>
          <w:tcPr>
            <w:tcW w:w="7260" w:type="dxa"/>
            <w:vAlign w:val="bottom"/>
          </w:tcPr>
          <w:p>
            <w:pPr>
              <w:ind w:left="160"/>
              <w:spacing w:after="0"/>
              <w:rPr>
                <w:sz w:val="20"/>
                <w:szCs w:val="20"/>
                <w:color w:val="auto"/>
              </w:rPr>
            </w:pPr>
            <w:r>
              <w:rPr>
                <w:rFonts w:ascii="Arial" w:cs="Arial" w:eastAsia="Arial" w:hAnsi="Arial"/>
                <w:sz w:val="17"/>
                <w:szCs w:val="17"/>
                <w:color w:val="auto"/>
              </w:rPr>
              <w:t>Decreases recorded as benefit to income tax provision</w:t>
            </w: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Increases recorded to income tax provision</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(2,209)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7"/>
                <w:szCs w:val="17"/>
                <w:color w:val="auto"/>
              </w:rPr>
              <w:t>Valuation allowance as of end of year</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60" w:type="dxa"/>
            <w:vAlign w:val="bottom"/>
            <w:vMerge w:val="continue"/>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has not recorded any amounts for unrecognized tax benefits as of December 31, 2013 or 2014.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All open years may be examined to the extent that tax credit or net operating loss carryforwards are used in future periods. The Company's policy is to record interest and penalties related to income taxes as part of its income tax provision.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3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In September 2012, the Company entered into a sublease agreement for its leased office space in Malvern, Pennsylvania with Ceptaris Therapeutics ("Ceptaris"), a company that was acquired in September 2013. Upon the acquisition, the Company terminated the sublease agreement with Ceptaris and entered into a direct sublease agreement with NeXeption, Inc. ("NeXeption") for the leased space. A member of the Company's board of directors was an executive officer of Ceptaris and is a current executive officer of NeXeption. Total payments made during the years ended December 31, 2013 and 2014 and the six months ended June 30, 2014 and 2015 (unaudited) under these sublease agreements were $68, $66, $33 and $52, respectively (see Note 10).</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November 2012, the Company entered into a services agreement with Ceptaris under which Ceptaris provided certain professional services, administrative support and office services to the Company. In September 2013, Ceptaris terminated the agreement in accordance with its terms. In September 2013, the Company entered into a second services agreement with Ceptaris under which Ceptaris provided certain pharmaceutical development and management services to the Company. In December 2013, Ceptaris terminated the agreement in accordance with its terms, effective February 4, 2014. Total payments made to Ceptaris in connection with these agreements during the years ended December 31, 2013 and 2014 and the six months ended June 30, 2014 and 2015 (unaudited) were $166, $10, $10 and $0, respectively. As of December 31, 2013, there was $8 included in accounts payable to Ceptaris.</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2014, the Company entered into a services agreement with NST, LLC ("NST") under which NST provides certain pharmaceutical development, management and other administrative services to the Company. Certain officers of the Company are also founding partners of NST. Under the same agreement, the Company also provides services to NST and is reimbursed for those services. The Company may offset any payments owed by the Company to NST against payments that are owed by NST to the Company for the provision of NST personnel, including consultants, to the Company. During the year ended December 31, 2014 and six months ended June 30, 2014 and 2015 (unaudited), gross expenses incurred by the Company under the services agreement totaled $467, $239 and $253, respectively, and gross expenses charged to NST by the Company totaled $413, $207 and $244, respectively. For the year ended December 31, 2014 and six months ended June 30, 2014 and 2015 (unaudited), the Company recorded $309, $159 and $136, respectively, of general and administrative expenses and $255, $127 and $127, respectively, as a reduction of research and development expenses related to these transactions. During the year ended December 31, 2014 and six months ended June 30, 2014 and 2015 (unaudited), payments made to NST by the Company totaled $131, $32 and $16, respectively, and receipts received from NST by the Company totaled $77, $0 and $0, respectively. Related to this agreement, no amounts were due to or due from NST at December 31, 2014, and $7 was due from NST to the Company at June 30, 2015 (unaudited).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to match 100% of employee contributions to the 401(k) Plan up to 4% of the employee's earnings, subject to certain limitations. Company contributions under the 401(k) Plan were $51 and $60 for the year ended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and 2014, respectively, and $32 and $42 for the six months ended June 30, 2014 and 2015 (unaudited),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31"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color w:val="auto"/>
        </w:rPr>
        <w:t>For its financial statements as of December 31, 2014 and for the year then ended, the Company evaluated subsequent events through April 2, 2015, the date on which those financial statements were issued, and, with respect to the reverse stock split described below, through September 24, 2015.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On September 24, 2015, the Company effected a one-for-3.45 reverse stock split of its issued and outstanding shares of common stock and a proportional adjustment to the existing conversion ratios for each series of the Company's convertible preferred stock (see Notes 6 and 15). Accordingly, all share and per share amounts for all periods presented in these financial statements and notes thereto have been adjusted retroactively, where applicable, to reflect this reverse stock split and adjustment of the preferred stock conversion ratios.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w:t>
      </w:r>
    </w:p>
    <w:p>
      <w:pPr>
        <w:spacing w:after="0" w:line="231"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For its interim financial statements as of June 30, 2015 and for the six months then ended, the Company evaluated subsequent events through August 17, 2015, the date on which those financial statements were issued, and, with respect to the reverse stock split described above, through September 24, 2015.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Lease for Office Space</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On August 14, 2015, the Company amended its operating lease agreement for office space (see Note 10) to increase the square footage of the space and to extend the term of the lease to November 2019. Minimum lease payments due under the amended lease are $128 during the year ending December 31, 2015, $193 during the year ending December 31, 2016, $198 during of the year ending December 31, 2017, $202 during the year ending December 31, 2018 and $189 during the year ending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C Convertible Preferred Stock</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On August 28, 2015, the Company issued 12,944,984 shares of Series C convertible preferred stock ("Series C preferred stock") at a price of $3.09 per share for gross proceeds of $40,000. The rights and preferences of the Series C preferred stock are similar to those of the Series A and Series B preferred stock, except that (1) the Original Issue Price for Series C preferred stock is $3.09 per share, (2) the holders of the Series C preferred stock do not have redemption rights, and (3) the holders of the Series C preferred stock have specified protective rights not held by the holders of the Series A and Series B preferred stock.</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connection with the closing of the Series C preferred stock financing, the redemption rights of the Series A and Series B preferred stock were removed at that time. As a result of the removal of the redemption rights, as of August 25, 2015, the Company ceased the periodic recording of adjustments to accrete the carrying values of Series A and Series B preferred stock to their respective redemption values through September 30, 2019, which had been the first required redemption date. Also in connection with the closing, the terms of a qualified public offering requiring the conversion of all shares of the Company's convertible preferred stock into common stock were changed to be net proceeds of not less than $40,000 and a price of not less than $12.80 per share, subject to appropriate adjustment for any stock dividend, stock split, combination or other similar recapitalization.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 (Continued)</w:t>
      </w:r>
    </w:p>
    <w:p>
      <w:pPr>
        <w:spacing w:after="0" w:line="231"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Also in connection with the closing of the Series C preferred stock financing, the Series B preferred stock purchase agreement was amended to terminate the Company's purchased put option (see Note 6) with respect to a second tranche of Series B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Authorized Shares of Common Stock and Preferred Stock</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On August 25, 2015, the Company effected an increase in the number of authorized shares of its common stock from 77,000,000 shares to 110,000,000 shares and an increase in the number of authorized shares of its preferred stock from 34,090,000 shares to 40,286,041 shares, of which 12,944,984 shares were designated as Series C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Shares Reserved for Issuance under the 2012 Plan</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On August 25, 2015, the Company effected an increase in the number of shares of common stock reserved for issuance under the 2012 Plan from 500,262 shares to 1,539,169 shares.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Rigel Pharmaceuticals, Inc.</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the Company entered into an exclusive, worldwide license and collaboration agreement with Rigel Pharmaceuticals, Inc. ("Rigel") for the development and commercialization of products containing specified JAK inhibitors that Rigel has developed for the treatment of alopecia areata and other dermatological conditions. Under this agreement, the Company intends to develop these JAK inhibitors for the treatment of alopecia areata and potentially for other dermatological conditions. Under this agreement, the Company has agreed to pay Rigel an upfront non-refundable payment of $8,000 within 30 business days of August 27, 2015. In addition, the Company has agreed to make aggregate payments of up to $80,000 upon the achievement of specified pre-commercialization milestones, such as clinical trials and regulatory approvals. Further, the Company has agreed to pay up to an additional $10,000 to Rigel upon the achievement of a second set of development milestones. With respect to any products the Company commercializes under the agreement, the Company will pay Rigel quarterly tiered royalties on its annual net sales of each product at a high single-digit percentage of annual net sales, subject to specified reductions, until the date that all of the patent rights for that product have expired, as determined on a country-by-country and product-by-product basis or, in specified countries under specified circumstances, ten years from the first commercial sale of such product.</w:t>
      </w:r>
    </w:p>
    <w:p>
      <w:pPr>
        <w:spacing w:after="0" w:line="205"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agreement terminates on the date of expiration of all royalty obligations unless earlier terminated by either party for a material breach. The Company may also terminate the agreement without cause at any time upon advance written notice to Rigel. Rigel, after consultation with the Company, will be responsible for maintaining and prosecuting the patent rights, and the Company will have final decision-making authority regarding such patent rights for a product in the United States and the European Union. To the extent that the Company and Rigel jointly develop intellectual property, the parties will confer and decide which party will be responsible for filing, prosecuting and maintaining those patent rights. The agreement also establishes a joint steering committee composed of an equal number of representatives for each party which will monitor progress in the development of products.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account for the transaction as an asset acquisition as the licensing arrangement did not meet the definition of a business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guidance prescribed in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the Company expects to record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$8,000 upfront payment as research and development expense in the three months ended September 30, 2015. The Company will record as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any contingent milestone payments or royalties in the period in which such liabilities are incurred. The Company concluded that licensing arrangement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Rigel did not meet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 (Continued)</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definition of a business because the transaction principally resulted in its acquisition of intellectual property. As part of the transaction, the Company did not acquire any employees or tangible assets, or any processes, protocols or operating systems. In addition, at the time of the acquisition, there were no activities being conducted related to the licensed patents. The Company will expense the acquired intellectual property asset as of the acquisition date on the basis that costs of intangible assets that are purchased from others for use in research and development activities and that have no alternative future uses are research and development costs at the time the costs are incurred.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On September 15, 2015, the Company's board of directors adopted and on September 16, 2015, the Company's stockholders approved the 2015 Equity Incentive Plan (the "2015 Plan"), which will become effective on the date of execution of the underwriting agreement in connection with the Company's initial public offering. The 2015 Plan provides for the grant of incentive stock options, nonstatutory stock options, stock appreciation rights, restricted stock awards, restricted stock unit awards, performance stock awards, cash-based awards and other stock-based awards. The number of shares initially reserved for issuance under the 2015 Plan is the sum of (i) 1,245,226 shares of common stock, (ii) the number of shares remaining available for issuance under the 2012 Plan and (iii) the number of shares of common stock subject to outstanding awards under the 2012 Plan that are forfeited, canceled, repurchased by the Company or are otherwise terminated. The number of shares of common stock that may be issued under the 2015 Plan will automatically increase on January 1 of each year, beginning on January 1 of the year after the closing of the Company's initial public offering and ending on January 1, 2025, in an amount equal to the lesser of (i) 4.0% of the shares of the Company's common stock outstanding on December 31 of the preceding calendar year or (ii) an amount determined by the Company's board of directors. The shares of common stock underlying any awards that expire, are otherwise terminated, settled in cash or repurchased by the Company under the 2015 Plan and the 2012 Plan will be added back to the shares of common stock available for issuance under the 2015 Plan.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154305</wp:posOffset>
            </wp:positionV>
            <wp:extent cx="2555875" cy="957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55875" cy="95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154305</wp:posOffset>
            </wp:positionV>
            <wp:extent cx="13233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150495</wp:posOffset>
            </wp:positionV>
            <wp:extent cx="13233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4"/>
          <w:szCs w:val="24"/>
          <w:b w:val="1"/>
          <w:bCs w:val="1"/>
          <w:color w:val="auto"/>
        </w:rPr>
        <w:t>Jefferies</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William Blair</w:t>
      </w:r>
    </w:p>
    <w:p>
      <w:pPr>
        <w:spacing w:after="0" w:line="24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October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50430"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487680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lvl w:ilvl="1">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1"/>
      <w:numFmt w:val="upperLetter"/>
      <w:start w:val="27"/>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1."/>
      <w:numFmt w:val="decimal"/>
      <w:start w:val="102"/>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lvl w:ilvl="1">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1)"/>
      <w:numFmt w:val="decimal"/>
      <w:start w:val="3"/>
    </w:lvl>
  </w:abstractNum>
  <w:abstractNum w:abstractNumId="41">
    <w:nsid w:val="540A471C"/>
    <w:multiLevelType w:val="hybridMultilevel"/>
    <w:lvl w:ilvl="0">
      <w:lvlJc w:val="left"/>
      <w:lvlText w:val="(%1)"/>
      <w:numFmt w:val="decimal"/>
      <w:start w:val="3"/>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decimal"/>
      <w:start w:val="101"/>
    </w:lvl>
  </w:abstractNum>
  <w:abstractNum w:abstractNumId="55">
    <w:nsid w:val="6A5EE64"/>
    <w:multiLevelType w:val="hybridMultilevel"/>
    <w:lvl w:ilvl="0">
      <w:lvlJc w:val="left"/>
      <w:lvlText w:val="%1"/>
      <w:numFmt w:val="upperLetter"/>
      <w:start w:val="27"/>
    </w:lvl>
  </w:abstractNum>
  <w:abstractNum w:abstractNumId="56">
    <w:nsid w:val="14330624"/>
    <w:multiLevelType w:val="hybridMultilevel"/>
    <w:lvl w:ilvl="0">
      <w:lvlJc w:val="left"/>
      <w:lvlText w:val="%1"/>
      <w:numFmt w:val="upperLetter"/>
      <w:start w:val="27"/>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1)"/>
      <w:numFmt w:val="lowerRoman"/>
      <w:start w:val="2"/>
    </w:lvl>
  </w:abstractNum>
  <w:abstractNum w:abstractNumId="73">
    <w:nsid w:val="2DF6D648"/>
    <w:multiLevelType w:val="hybridMultilevel"/>
    <w:lvl w:ilvl="0">
      <w:lvlJc w:val="left"/>
      <w:lvlText w:val="(%1)"/>
      <w:numFmt w:val="lowerRoman"/>
      <w:start w:val="2"/>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4"/>
    </w:lvl>
    <w:lvl w:ilvl="1">
      <w:lvlJc w:val="left"/>
      <w:lvlText w:val="(%2)"/>
      <w:numFmt w:val="lowerLetter"/>
      <w:start w:val="2"/>
    </w:lvl>
  </w:abstractNum>
  <w:abstractNum w:abstractNumId="86">
    <w:nsid w:val="50801EE1"/>
    <w:multiLevelType w:val="hybridMultilevel"/>
    <w:lvl w:ilvl="0">
      <w:lvlJc w:val="left"/>
      <w:lvlText w:val="%1"/>
      <w:numFmt w:val="decimal"/>
      <w:start w:val="1"/>
    </w:lvl>
    <w:lvl w:ilvl="1">
      <w:lvlJc w:val="left"/>
      <w:lvlText w:val="(%2)"/>
      <w:numFmt w:val="lowerLetter"/>
      <w:start w:val="3"/>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lowerRoman"/>
      <w:start w:val="2"/>
    </w:lvl>
  </w:abstractNum>
  <w:abstractNum w:abstractNumId="105">
    <w:nsid w:val="5092CA79"/>
    <w:multiLevelType w:val="hybridMultilevel"/>
    <w:lvl w:ilvl="0">
      <w:lvlJc w:val="left"/>
      <w:lvlText w:val="(%1)"/>
      <w:numFmt w:val="lowerRoman"/>
      <w:start w:val="2"/>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2019-12-09T01:51:15Z</dcterms:created>
  <dcterms:modified xsi:type="dcterms:W3CDTF">2019-12-09T01:51:15Z</dcterms:modified>
</cp:coreProperties>
</file>