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342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201930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219075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Aclaris 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44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740" w:type="dxa"/>
            <w:vAlign w:val="bottom"/>
          </w:tcPr>
          <w:p>
            <w:pPr>
              <w:spacing w:after="0"/>
              <w:rPr>
                <w:sz w:val="16"/>
                <w:szCs w:val="16"/>
                <w:color w:val="auto"/>
              </w:rPr>
            </w:pPr>
          </w:p>
        </w:tc>
        <w:tc>
          <w:tcPr>
            <w:tcW w:w="4260" w:type="dxa"/>
            <w:vAlign w:val="bottom"/>
            <w:gridSpan w:val="3"/>
          </w:tcPr>
          <w:p>
            <w:pPr>
              <w:jc w:val="right"/>
              <w:ind w:right="1920"/>
              <w:spacing w:after="0"/>
              <w:rPr>
                <w:sz w:val="20"/>
                <w:szCs w:val="20"/>
                <w:color w:val="auto"/>
              </w:rPr>
            </w:pPr>
            <w:r>
              <w:rPr>
                <w:rFonts w:ascii="Times New Roman" w:cs="Times New Roman" w:eastAsia="Times New Roman" w:hAnsi="Times New Roman"/>
                <w:sz w:val="16"/>
                <w:szCs w:val="16"/>
                <w:b w:val="1"/>
                <w:bCs w:val="1"/>
                <w:color w:val="auto"/>
              </w:rPr>
              <w:t>001-37581</w:t>
            </w:r>
          </w:p>
        </w:tc>
        <w:tc>
          <w:tcPr>
            <w:tcW w:w="1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46-0571712</w:t>
            </w:r>
          </w:p>
        </w:tc>
      </w:tr>
      <w:tr>
        <w:trPr>
          <w:trHeight w:val="20"/>
        </w:trPr>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42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w w:val="98"/>
              </w:rPr>
              <w:t>(Commission File Number)</w:t>
            </w:r>
          </w:p>
        </w:tc>
        <w:tc>
          <w:tcPr>
            <w:tcW w:w="1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w w:val="98"/>
              </w:rPr>
              <w:t>(IRS Employer</w:t>
            </w:r>
          </w:p>
        </w:tc>
      </w:tr>
      <w:tr>
        <w:trPr>
          <w:trHeight w:val="210"/>
        </w:trPr>
        <w:tc>
          <w:tcPr>
            <w:tcW w:w="1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incorporation)</w:t>
            </w: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w w:val="97"/>
              </w:rPr>
              <w:t>Identification No.)</w:t>
            </w:r>
          </w:p>
        </w:tc>
      </w:tr>
      <w:tr>
        <w:trPr>
          <w:trHeight w:val="341"/>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701 Lee Road, Suite 103</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4"/>
        </w:trPr>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Wayne, PA 19087</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8"/>
              </w:rPr>
              <w:t>(Address of principal executive offices, including zip code)</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43"/>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(484) 324-7933</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43"/>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2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N/A</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8"/>
              </w:rPr>
              <w:t>(Former name or former address, if changed since last report)</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35" w:lineRule="exact"/>
        <w:rPr>
          <w:sz w:val="24"/>
          <w:szCs w:val="24"/>
          <w:color w:val="auto"/>
        </w:rPr>
      </w:pPr>
    </w:p>
    <w:p>
      <w:pPr>
        <w:ind w:left="40" w:right="179"/>
        <w:spacing w:after="0" w:line="293"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240" w:hanging="196"/>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7" w:lineRule="exact"/>
        <w:rPr>
          <w:sz w:val="24"/>
          <w:szCs w:val="24"/>
          <w:color w:val="auto"/>
        </w:rPr>
      </w:pPr>
    </w:p>
    <w:tbl>
      <w:tblPr>
        <w:tblLayout w:type="fixed"/>
        <w:tblInd w:w="40" w:type="dxa"/>
        <w:tblCellMar>
          <w:top w:w="0" w:type="dxa"/>
          <w:left w:w="0" w:type="dxa"/>
          <w:bottom w:w="0" w:type="dxa"/>
          <w:right w:w="0" w:type="dxa"/>
        </w:tblCellMar>
      </w:tblPr>
      <w:tr>
        <w:trPr>
          <w:trHeight w:val="2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Trading</w:t>
            </w:r>
          </w:p>
        </w:tc>
        <w:tc>
          <w:tcPr>
            <w:tcW w:w="36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8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Title of Each Class:</w:t>
            </w: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$0.00001 par value</w:t>
            </w:r>
          </w:p>
        </w:tc>
        <w:tc>
          <w:tcPr>
            <w:tcW w:w="4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ACRS</w:t>
            </w:r>
          </w:p>
        </w:tc>
        <w:tc>
          <w:tcPr>
            <w:tcW w:w="42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jc w:val="both"/>
        <w:ind w:left="40" w:right="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jc w:val="both"/>
        <w:ind w:left="40" w:right="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690245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124460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193040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029"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Times New Roman" w:cs="Times New Roman" w:eastAsia="Times New Roman" w:hAnsi="Times New Roman"/>
          <w:sz w:val="18"/>
          <w:szCs w:val="18"/>
          <w:color w:val="auto"/>
        </w:rPr>
        <w:t>On June 4, 2026, Aclaris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The stockholders considered three proposals, each of which is described in more detail in the Company’s definitive proxy statement on Schedule 14A filed with the Securities and Exchange Commission on April 23,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Of the 139,663,680 shares outstanding as of the record date, 112,499,671 shares, or approximately 80.55%, were present or represented by proxy at the Annual Meeting. Set forth below are the results of the matters submitted for a vote of stockholders at the Annual Meeting.</w:t>
      </w:r>
    </w:p>
    <w:p>
      <w:pPr>
        <w:spacing w:after="0" w:line="182"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The stockholders elected two nominees to serve as directors on the Board of Directors until the 2029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stockholders and until their respective successors are elected and qualified. The votes were cast as follows:</w:t>
      </w:r>
    </w:p>
    <w:p>
      <w:pPr>
        <w:spacing w:after="0" w:line="184"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Votes For</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8"/>
        </w:trPr>
        <w:tc>
          <w:tcPr>
            <w:tcW w:w="3520" w:type="dxa"/>
            <w:vAlign w:val="bottom"/>
          </w:tcPr>
          <w:p>
            <w:pPr>
              <w:spacing w:after="0"/>
              <w:rPr>
                <w:sz w:val="20"/>
                <w:szCs w:val="20"/>
                <w:color w:val="auto"/>
              </w:rPr>
            </w:pPr>
          </w:p>
        </w:tc>
        <w:tc>
          <w:tcPr>
            <w:tcW w:w="17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0"/>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Anand Mehra, M.D.</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83,063,569</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10,075,624</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19,360,478</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Maxine Gowen, Ph.D.</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84,209,108</w:t>
            </w:r>
          </w:p>
        </w:tc>
        <w:tc>
          <w:tcPr>
            <w:tcW w:w="26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8,930,085</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19,360,478</w:t>
            </w:r>
          </w:p>
        </w:tc>
      </w:tr>
    </w:tbl>
    <w:p>
      <w:pPr>
        <w:spacing w:after="0" w:line="391"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The stockholders approved, on an advisory basis, the compensation of the Company’s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as disclosed in the Proxy Statement. The votes were cast as follows:</w:t>
      </w:r>
    </w:p>
    <w:p>
      <w:pPr>
        <w:spacing w:after="0" w:line="168"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15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83,370,124</w:t>
            </w:r>
          </w:p>
        </w:tc>
        <w:tc>
          <w:tcPr>
            <w:tcW w:w="22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9,734,691</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34,378</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19,360,478</w:t>
            </w:r>
          </w:p>
        </w:tc>
      </w:tr>
    </w:tbl>
    <w:p>
      <w:pPr>
        <w:spacing w:after="0" w:line="200" w:lineRule="exact"/>
        <w:rPr>
          <w:sz w:val="20"/>
          <w:szCs w:val="20"/>
          <w:color w:val="auto"/>
        </w:rPr>
      </w:pPr>
    </w:p>
    <w:p>
      <w:pPr>
        <w:spacing w:after="0" w:line="210"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The stockholders ratified the selection by the Audit Committee of the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PricewaterhouseCoopers LLP as the Company’s independent registered public accounting firm for the fiscal year ending December 31, 2026. The votes were cast as follows:</w:t>
      </w:r>
    </w:p>
    <w:p>
      <w:pPr>
        <w:spacing w:after="0" w:line="171" w:lineRule="exact"/>
        <w:rPr>
          <w:sz w:val="20"/>
          <w:szCs w:val="20"/>
          <w:color w:val="auto"/>
        </w:rPr>
      </w:pPr>
    </w:p>
    <w:p>
      <w:pPr>
        <w:ind w:left="2540"/>
        <w:spacing w:after="0"/>
        <w:tabs>
          <w:tab w:leader="none" w:pos="3980" w:val="left"/>
          <w:tab w:leader="none" w:pos="5720" w:val="left"/>
        </w:tabs>
        <w:rPr>
          <w:sz w:val="20"/>
          <w:szCs w:val="20"/>
          <w:color w:val="auto"/>
        </w:rPr>
      </w:pPr>
      <w:r>
        <w:rPr>
          <w:rFonts w:ascii="Times New Roman" w:cs="Times New Roman" w:eastAsia="Times New Roman" w:hAnsi="Times New Roman"/>
          <w:sz w:val="18"/>
          <w:szCs w:val="18"/>
          <w:b w:val="1"/>
          <w:bCs w:val="1"/>
          <w:color w:val="auto"/>
        </w:rPr>
        <w:t>Votes For</w:t>
      </w:r>
      <w:r>
        <w:rPr>
          <w:sz w:val="20"/>
          <w:szCs w:val="20"/>
          <w:color w:val="auto"/>
        </w:rPr>
        <w:tab/>
      </w:r>
      <w:r>
        <w:rPr>
          <w:rFonts w:ascii="Times New Roman" w:cs="Times New Roman" w:eastAsia="Times New Roman" w:hAnsi="Times New Roman"/>
          <w:sz w:val="18"/>
          <w:szCs w:val="18"/>
          <w:b w:val="1"/>
          <w:bCs w:val="1"/>
          <w:color w:val="auto"/>
        </w:rPr>
        <w:t>Votes Against</w:t>
      </w:r>
      <w:r>
        <w:rPr>
          <w:sz w:val="20"/>
          <w:szCs w:val="20"/>
          <w:color w:val="auto"/>
        </w:rPr>
        <w:tab/>
      </w:r>
      <w:r>
        <w:rPr>
          <w:rFonts w:ascii="Times New Roman" w:cs="Times New Roman" w:eastAsia="Times New Roman" w:hAnsi="Times New Roman"/>
          <w:sz w:val="17"/>
          <w:szCs w:val="17"/>
          <w:b w:val="1"/>
          <w:bCs w:val="1"/>
          <w:color w:val="auto"/>
        </w:rPr>
        <w:t>Abstained</w:t>
      </w:r>
    </w:p>
    <w:p>
      <w:pPr>
        <w:spacing w:after="0" w:line="81" w:lineRule="exact"/>
        <w:rPr>
          <w:sz w:val="20"/>
          <w:szCs w:val="20"/>
          <w:color w:val="auto"/>
        </w:rPr>
      </w:pPr>
    </w:p>
    <w:p>
      <w:pPr>
        <w:ind w:left="2460"/>
        <w:spacing w:after="0"/>
        <w:tabs>
          <w:tab w:leader="none" w:pos="4200" w:val="left"/>
          <w:tab w:leader="none" w:pos="5860" w:val="left"/>
        </w:tabs>
        <w:rPr>
          <w:sz w:val="20"/>
          <w:szCs w:val="20"/>
          <w:color w:val="auto"/>
        </w:rPr>
      </w:pPr>
      <w:r>
        <w:rPr>
          <w:rFonts w:ascii="Times New Roman" w:cs="Times New Roman" w:eastAsia="Times New Roman" w:hAnsi="Times New Roman"/>
          <w:sz w:val="18"/>
          <w:szCs w:val="18"/>
          <w:color w:val="auto"/>
        </w:rPr>
        <w:t>112,322,811</w:t>
      </w:r>
      <w:r>
        <w:rPr>
          <w:sz w:val="20"/>
          <w:szCs w:val="20"/>
          <w:color w:val="auto"/>
        </w:rPr>
        <w:tab/>
      </w:r>
      <w:r>
        <w:rPr>
          <w:rFonts w:ascii="Times New Roman" w:cs="Times New Roman" w:eastAsia="Times New Roman" w:hAnsi="Times New Roman"/>
          <w:sz w:val="18"/>
          <w:szCs w:val="18"/>
          <w:color w:val="auto"/>
        </w:rPr>
        <w:t>159,714</w:t>
      </w:r>
      <w:r>
        <w:rPr>
          <w:sz w:val="20"/>
          <w:szCs w:val="20"/>
          <w:color w:val="auto"/>
        </w:rPr>
        <w:tab/>
      </w:r>
      <w:r>
        <w:rPr>
          <w:rFonts w:ascii="Times New Roman" w:cs="Times New Roman" w:eastAsia="Times New Roman" w:hAnsi="Times New Roman"/>
          <w:sz w:val="18"/>
          <w:szCs w:val="18"/>
          <w:color w:val="auto"/>
        </w:rPr>
        <w:t>17,146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3634740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-127635</wp:posOffset>
            </wp:positionV>
            <wp:extent cx="293179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31795" cy="17145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59" w:firstLine="6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ACLARIS THERAPEUTICS, INC.</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Kevin Balthaser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28371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7"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7"/>
          <w:szCs w:val="17"/>
          <w:color w:val="auto"/>
        </w:rPr>
        <w:t>Kevin Balthaser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1009015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2026-06-04T15:02:41Z</dcterms:created>
  <dcterms:modified xsi:type="dcterms:W3CDTF">2026-06-04T15:02:41Z</dcterms:modified>
</cp:coreProperties>
</file>