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80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806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Walker Neal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300"/>
        <w:spacing w:after="0" w:line="358" w:lineRule="auto"/>
        <w:rPr>
          <w:sz w:val="20"/>
          <w:szCs w:val="20"/>
          <w:color w:val="auto"/>
        </w:rPr>
      </w:pPr>
      <w:r>
        <w:rPr>
          <w:rFonts w:ascii="Arial" w:cs="Arial" w:eastAsia="Arial" w:hAnsi="Arial"/>
          <w:sz w:val="16"/>
          <w:szCs w:val="16"/>
          <w:color w:val="0000FF"/>
        </w:rPr>
        <w:t>C/O ACLARIS THERAPEUTICS, INC. 101 LINDENWOOD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Aclaris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ACRS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12/18/2015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91"/>
        <w:spacing w:after="0"/>
        <w:rPr>
          <w:sz w:val="20"/>
          <w:szCs w:val="20"/>
          <w:color w:val="auto"/>
        </w:rPr>
      </w:pPr>
      <w:r>
        <w:rPr>
          <w:rFonts w:ascii="Arial" w:cs="Arial" w:eastAsia="Arial" w:hAnsi="Arial"/>
          <w:sz w:val="17"/>
          <w:szCs w:val="17"/>
          <w:color w:val="0000FF"/>
        </w:rPr>
        <w:t>President and CEO</w:t>
      </w:r>
    </w:p>
    <w:p>
      <w:pPr>
        <w:spacing w:after="0" w:line="420"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MALVERN</w:t>
            </w:r>
          </w:p>
        </w:tc>
        <w:tc>
          <w:tcPr>
            <w:tcW w:w="1040" w:type="dxa"/>
            <w:vAlign w:val="bottom"/>
          </w:tcPr>
          <w:p>
            <w:pPr>
              <w:ind w:left="220"/>
              <w:spacing w:after="0"/>
              <w:rPr>
                <w:sz w:val="20"/>
                <w:szCs w:val="20"/>
                <w:color w:val="auto"/>
              </w:rPr>
            </w:pPr>
            <w:r>
              <w:rPr>
                <w:rFonts w:ascii="Arial" w:cs="Arial" w:eastAsia="Arial" w:hAnsi="Arial"/>
                <w:sz w:val="17"/>
                <w:szCs w:val="17"/>
                <w:color w:val="0000FF"/>
              </w:rPr>
              <w:t>PA</w:t>
            </w:r>
          </w:p>
        </w:tc>
        <w:tc>
          <w:tcPr>
            <w:tcW w:w="1680" w:type="dxa"/>
            <w:vAlign w:val="bottom"/>
          </w:tcPr>
          <w:p>
            <w:pPr>
              <w:ind w:left="440"/>
              <w:spacing w:after="0"/>
              <w:rPr>
                <w:sz w:val="20"/>
                <w:szCs w:val="20"/>
                <w:color w:val="auto"/>
              </w:rPr>
            </w:pPr>
            <w:r>
              <w:rPr>
                <w:rFonts w:ascii="Arial" w:cs="Arial" w:eastAsia="Arial" w:hAnsi="Arial"/>
                <w:sz w:val="17"/>
                <w:szCs w:val="17"/>
                <w:color w:val="0000FF"/>
              </w:rPr>
              <w:t>19355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2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28.68</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12/18/2015</w:t>
            </w:r>
          </w:p>
        </w:tc>
        <w:tc>
          <w:tcPr>
            <w:tcW w:w="110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jc w:val="right"/>
              <w:ind w:right="79"/>
              <w:spacing w:after="0"/>
              <w:rPr>
                <w:sz w:val="20"/>
                <w:szCs w:val="20"/>
                <w:color w:val="auto"/>
              </w:rPr>
            </w:pPr>
            <w:r>
              <w:rPr>
                <w:rFonts w:ascii="Arial" w:cs="Arial" w:eastAsia="Arial" w:hAnsi="Arial"/>
                <w:sz w:val="13"/>
                <w:szCs w:val="13"/>
                <w:color w:val="0000FF"/>
              </w:rPr>
              <w:t>137,335</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3"/>
                <w:szCs w:val="13"/>
                <w:color w:val="0000FF"/>
              </w:rPr>
              <w:t>12/17/2025</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2"/>
              <w:spacing w:after="0"/>
              <w:rPr>
                <w:sz w:val="20"/>
                <w:szCs w:val="20"/>
                <w:color w:val="auto"/>
              </w:rPr>
            </w:pPr>
            <w:r>
              <w:rPr>
                <w:rFonts w:ascii="Arial" w:cs="Arial" w:eastAsia="Arial" w:hAnsi="Arial"/>
                <w:sz w:val="17"/>
                <w:szCs w:val="17"/>
                <w:color w:val="0000FF"/>
                <w:w w:val="87"/>
              </w:rPr>
              <w:t>137,335</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jc w:val="right"/>
              <w:ind w:right="199"/>
              <w:spacing w:after="0"/>
              <w:rPr>
                <w:sz w:val="20"/>
                <w:szCs w:val="20"/>
                <w:color w:val="auto"/>
              </w:rPr>
            </w:pPr>
            <w:r>
              <w:rPr>
                <w:rFonts w:ascii="Arial" w:cs="Arial" w:eastAsia="Arial" w:hAnsi="Arial"/>
                <w:sz w:val="13"/>
                <w:szCs w:val="13"/>
                <w:color w:val="0000FF"/>
              </w:rPr>
              <w:t>137,335</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right"/>
              <w:ind w:right="198"/>
              <w:spacing w:after="0"/>
              <w:rPr>
                <w:sz w:val="20"/>
                <w:szCs w:val="20"/>
                <w:color w:val="auto"/>
              </w:rPr>
            </w:pPr>
            <w:r>
              <w:rPr>
                <w:rFonts w:ascii="Arial" w:cs="Arial" w:eastAsia="Arial" w:hAnsi="Arial"/>
                <w:sz w:val="13"/>
                <w:szCs w:val="13"/>
                <w:color w:val="0000FF"/>
              </w:rPr>
              <w:t>12/18/2015</w:t>
            </w:r>
          </w:p>
        </w:tc>
        <w:tc>
          <w:tcPr>
            <w:tcW w:w="110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60" w:type="dxa"/>
            <w:vAlign w:val="bottom"/>
            <w:vMerge w:val="restart"/>
          </w:tcPr>
          <w:p>
            <w:pPr>
              <w:jc w:val="right"/>
              <w:ind w:right="119"/>
              <w:spacing w:after="0"/>
              <w:rPr>
                <w:sz w:val="20"/>
                <w:szCs w:val="20"/>
                <w:color w:val="auto"/>
              </w:rPr>
            </w:pPr>
            <w:r>
              <w:rPr>
                <w:rFonts w:ascii="Arial" w:cs="Arial" w:eastAsia="Arial" w:hAnsi="Arial"/>
                <w:sz w:val="13"/>
                <w:szCs w:val="13"/>
                <w:color w:val="0000FF"/>
              </w:rPr>
              <w:t>11,700</w:t>
            </w: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right"/>
              <w:ind w:right="240"/>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2"/>
              <w:spacing w:after="0"/>
              <w:rPr>
                <w:sz w:val="20"/>
                <w:szCs w:val="20"/>
                <w:color w:val="auto"/>
              </w:rPr>
            </w:pPr>
            <w:r>
              <w:rPr>
                <w:rFonts w:ascii="Arial" w:cs="Arial" w:eastAsia="Arial" w:hAnsi="Arial"/>
                <w:sz w:val="17"/>
                <w:szCs w:val="17"/>
                <w:color w:val="0000FF"/>
                <w:w w:val="96"/>
              </w:rPr>
              <w:t>11,700</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vMerge w:val="restart"/>
          </w:tcPr>
          <w:p>
            <w:pPr>
              <w:jc w:val="right"/>
              <w:ind w:right="219"/>
              <w:spacing w:after="0"/>
              <w:rPr>
                <w:sz w:val="20"/>
                <w:szCs w:val="20"/>
                <w:color w:val="auto"/>
              </w:rPr>
            </w:pPr>
            <w:r>
              <w:rPr>
                <w:rFonts w:ascii="Arial" w:cs="Arial" w:eastAsia="Arial" w:hAnsi="Arial"/>
                <w:sz w:val="13"/>
                <w:szCs w:val="13"/>
                <w:color w:val="0000FF"/>
              </w:rPr>
              <w:t>11,700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over a period of four years, with 25% of the shares underlying the option vesting on the first, second, third and fourth anniversaries of the date of grant.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 of the issuer.</w:t>
      </w:r>
    </w:p>
    <w:p>
      <w:pPr>
        <w:spacing w:after="0" w:line="48"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these restricted stock units vest in four equal annual installments beginning on December 18, 2016, subject to the reporting person's continuous service with the issuer as of the applicable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Brian F. Leaf, Attorney-in-</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12/22/2015</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4457" TargetMode="External"/><Relationship Id="rId13"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2019-12-09T02:49:36Z</dcterms:created>
  <dcterms:modified xsi:type="dcterms:W3CDTF">2019-12-09T02:49:36Z</dcterms:modified>
</cp:coreProperties>
</file>