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crs-20260331x10q.htm"/>
        <w:bookmarkStart w:id="1" w:name="ksacrs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00FF00" w:val="clear"/>
        </w:rPr>
      </w:pPr>
      <w:r>
        <w:rPr>
          <w:shd w:fill="00FF00" w:val="clear"/>
        </w:rPr>
        <w:t>​</w:t>
      </w:r>
    </w:p>
    <w:p>
      <w:pPr>
        <w:pStyle w:val="TextBody"/>
        <w:pBdr>
          <w:top w:val="single" w:sz="24" w:space="1" w:color="000000"/>
          <w:bottom w:val="single" w:sz="2" w:space="1" w:color="000000"/>
        </w:pBdr>
        <w:bidi w:val="0"/>
        <w:spacing w:lineRule="atLeast" w:line="142" w:before="0" w:after="0"/>
        <w:ind w:left="0" w:right="0" w:hanging="0"/>
        <w:jc w:val="center"/>
        <w:rPr/>
      </w:pPr>
      <w:bookmarkStart w:id="2" w:name="_fa573184_7676_474d_b198_c4562d4a7cb0"/>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UNITED STATES</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SECURITIES AND EXCHANGE COMMISSION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Washington, D.C. 20549</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FtTXr6PyAEejU6D2NVzP-w_5_1"/>
      <w:bookmarkStart w:id="4" w:name="Tc_-M8snh2Dh0KK0VVnjMmHzQ_4_0"/>
      <w:bookmarkStart w:id="5" w:name="Tc_Fs6HilyXqkeAcpEg8snlGw_3_0"/>
      <w:bookmarkStart w:id="6" w:name="Tc_k3Ld5hQQYUGDXbgGjHqNww_2_1"/>
      <w:bookmarkStart w:id="7" w:name="Tc_4UZbWwGajEOyhtPgTIabYQ_1_0"/>
      <w:bookmarkStart w:id="8" w:name="_5e423455_093d_44da_b6fe_f9c6f7ba4f04"/>
      <w:bookmarkStart w:id="9" w:name="Tc_FtTXr6PyAEejU6D2NVzP-w_5_1"/>
      <w:bookmarkStart w:id="10" w:name="Tc_-M8snh2Dh0KK0VVnjMmHzQ_4_0"/>
      <w:bookmarkStart w:id="11" w:name="Tc_Fs6HilyXqkeAcpEg8snlGw_3_0"/>
      <w:bookmarkStart w:id="12" w:name="Tc_k3Ld5hQQYUGDXbgGjHqNww_2_1"/>
      <w:bookmarkStart w:id="13" w:name="Tc_4UZbWwGajEOyhtPgTIabYQ_1_0"/>
      <w:bookmarkStart w:id="14" w:name="_5e423455_093d_44da_b6fe_f9c6f7ba4f04"/>
      <w:bookmarkEnd w:id="9"/>
      <w:bookmarkEnd w:id="10"/>
      <w:bookmarkEnd w:id="11"/>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702"/>
        <w:gridCol w:w="9503"/>
      </w:tblGrid>
      <w:tr>
        <w:trPr/>
        <w:tc>
          <w:tcPr>
            <w:tcW w:w="702" w:type="dxa"/>
            <w:tcBorders/>
            <w:vAlign w:val="center"/>
          </w:tcPr>
          <w:p>
            <w:pPr>
              <w:pStyle w:val="TableContents"/>
              <w:bidi w:val="0"/>
              <w:spacing w:before="0" w:after="283"/>
              <w:ind w:left="0" w:right="0" w:hanging="0"/>
              <w:jc w:val="left"/>
              <w:rPr>
                <w:sz w:val="4"/>
                <w:szCs w:val="4"/>
              </w:rPr>
            </w:pPr>
            <w:r>
              <w:rPr>
                <w:sz w:val="4"/>
                <w:szCs w:val="4"/>
              </w:rPr>
            </w:r>
          </w:p>
        </w:tc>
        <w:tc>
          <w:tcPr>
            <w:tcW w:w="9503"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(Mark one)</w:t>
            </w:r>
          </w:p>
        </w:tc>
        <w:tc>
          <w:tcPr>
            <w:tcW w:w="9503" w:type="dxa"/>
            <w:tcBorders/>
            <w:vAlign w:val="center"/>
          </w:tcPr>
          <w:p>
            <w:pPr>
              <w:pStyle w:val="TableContents"/>
              <w:bidi w:val="0"/>
              <w:spacing w:before="0" w:after="0"/>
              <w:ind w:left="0" w:right="0" w:hanging="0"/>
              <w:jc w:val="left"/>
              <w:rPr/>
            </w:pPr>
            <w:r>
              <w:rPr/>
              <w:t>​</w:t>
            </w:r>
          </w:p>
        </w:tc>
      </w:tr>
      <w:tr>
        <w:trPr/>
        <w:tc>
          <w:tcPr>
            <w:tcW w:w="702" w:type="dxa"/>
            <w:tcBorders/>
            <w:vAlign w:val="center"/>
          </w:tcPr>
          <w:p>
            <w:pPr>
              <w:pStyle w:val="TableContents"/>
              <w:bidi w:val="0"/>
              <w:spacing w:before="0" w:after="0"/>
              <w:ind w:left="0" w:right="0" w:hanging="0"/>
              <w:jc w:val="center"/>
              <w:rPr/>
            </w:pPr>
            <w:r>
              <w:rPr/>
              <w:t>☒</w:t>
            </w:r>
          </w:p>
        </w:tc>
        <w:tc>
          <w:tcPr>
            <w:tcW w:w="950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QUARTERLY REPORT PURSUANT TO SECTION 13 OR 15(d) OF THE SECURITIES EXCHANGE ACT OF 1934</w:t>
            </w:r>
          </w:p>
        </w:tc>
      </w:tr>
      <w:tr>
        <w:trPr/>
        <w:tc>
          <w:tcPr>
            <w:tcW w:w="10205" w:type="dxa"/>
            <w:gridSpan w:val="2"/>
            <w:tcBorders/>
            <w:vAlign w:val="center"/>
          </w:tcPr>
          <w:p>
            <w:pPr>
              <w:pStyle w:val="TableContents"/>
              <w:pBdr/>
              <w:bidi w:val="0"/>
              <w:spacing w:before="60" w:after="0"/>
              <w:ind w:left="0" w:right="0" w:hanging="0"/>
              <w:jc w:val="center"/>
              <w:rPr>
                <w:rFonts w:ascii="Times New Roman;Times;serif" w:hAnsi="Times New Roman;Times;serif"/>
                <w:sz w:val="18"/>
              </w:rPr>
            </w:pPr>
            <w:r>
              <w:rPr>
                <w:rFonts w:ascii="Times New Roman;Times;serif" w:hAnsi="Times New Roman;Times;serif"/>
                <w:sz w:val="18"/>
              </w:rPr>
              <w:t>For the quarterly period ended March 31, 2026</w:t>
            </w:r>
          </w:p>
        </w:tc>
      </w:tr>
      <w:tr>
        <w:trPr/>
        <w:tc>
          <w:tcPr>
            <w:tcW w:w="10205" w:type="dxa"/>
            <w:gridSpan w:val="2"/>
            <w:tcBorders/>
            <w:vAlign w:val="center"/>
          </w:tcPr>
          <w:p>
            <w:pPr>
              <w:pStyle w:val="TableContents"/>
              <w:pBdr/>
              <w:bidi w:val="0"/>
              <w:spacing w:before="60" w:after="0"/>
              <w:ind w:left="0" w:right="0" w:hanging="0"/>
              <w:jc w:val="center"/>
              <w:rPr>
                <w:rFonts w:ascii="Times New Roman;Times;serif" w:hAnsi="Times New Roman;Times;serif"/>
                <w:sz w:val="18"/>
              </w:rPr>
            </w:pPr>
            <w:r>
              <w:rPr>
                <w:rFonts w:ascii="Times New Roman;Times;serif" w:hAnsi="Times New Roman;Times;serif"/>
                <w:sz w:val="18"/>
              </w:rPr>
              <w:t>OR</w:t>
            </w:r>
          </w:p>
        </w:tc>
      </w:tr>
      <w:tr>
        <w:trPr/>
        <w:tc>
          <w:tcPr>
            <w:tcW w:w="702" w:type="dxa"/>
            <w:tcBorders/>
            <w:vAlign w:val="center"/>
          </w:tcPr>
          <w:p>
            <w:pPr>
              <w:pStyle w:val="TableContents"/>
              <w:pBdr/>
              <w:bidi w:val="0"/>
              <w:spacing w:before="0" w:after="0"/>
              <w:ind w:left="0" w:right="0" w:hanging="0"/>
              <w:jc w:val="center"/>
              <w:rPr/>
            </w:pPr>
            <w:r>
              <w:rPr/>
              <w:t>☐</w:t>
            </w:r>
          </w:p>
        </w:tc>
        <w:tc>
          <w:tcPr>
            <w:tcW w:w="950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For the transition period from                      </w:t>
      </w:r>
      <w:r>
        <w:rPr>
          <w:rFonts w:ascii="Times New Roman;Times;serif" w:hAnsi="Times New Roman;Times;serif"/>
          <w:sz w:val="20"/>
        </w:rPr>
        <w:t xml:space="preserve">to </w:t>
      </w:r>
      <w:r>
        <w:rPr>
          <w:rFonts w:ascii="Times New Roman;Times;serif" w:hAnsi="Times New Roman;Times;serif"/>
          <w:sz w:val="18"/>
        </w:rPr>
        <w:t xml:space="preserve">                      </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18"/>
        </w:rPr>
        <w:t>Commission File Number </w:t>
      </w:r>
      <w:r>
        <w:rPr>
          <w:rFonts w:ascii="Times New Roman;Times;serif" w:hAnsi="Times New Roman;Times;serif"/>
          <w:sz w:val="20"/>
        </w:rPr>
        <w:t>001-37581</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Aclaris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bl>
      <w:tblPr>
        <w:tblW w:w="3602" w:type="dxa"/>
        <w:jc w:val="left"/>
        <w:tblInd w:w="0" w:type="dxa"/>
        <w:tblLayout w:type="fixed"/>
        <w:tblCellMar>
          <w:top w:w="0" w:type="dxa"/>
          <w:left w:w="0" w:type="dxa"/>
          <w:bottom w:w="0" w:type="dxa"/>
          <w:right w:w="0" w:type="dxa"/>
        </w:tblCellMar>
      </w:tblPr>
      <w:tblGrid>
        <w:gridCol w:w="2386"/>
        <w:gridCol w:w="1216"/>
      </w:tblGrid>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46-0571712</w:t>
              <w:br/>
              <w:t>(I.R.S. Employer</w:t>
              <w:br/>
              <w:t>Identification No.)</w:t>
            </w:r>
          </w:p>
        </w:tc>
      </w:tr>
      <w:tr>
        <w:trPr/>
        <w:tc>
          <w:tcPr>
            <w:tcW w:w="2386" w:type="dxa"/>
            <w:tcBorders/>
            <w:vAlign w:val="center"/>
          </w:tcPr>
          <w:p>
            <w:pPr>
              <w:pStyle w:val="TableContents"/>
              <w:pBdr/>
              <w:bidi w:val="0"/>
              <w:spacing w:before="60" w:after="0"/>
              <w:ind w:left="0" w:right="0" w:hanging="0"/>
              <w:jc w:val="center"/>
              <w:rPr>
                <w:rFonts w:ascii="Times New Roman;Times;serif" w:hAnsi="Times New Roman;Times;serif"/>
                <w:sz w:val="20"/>
              </w:rPr>
            </w:pPr>
            <w:r>
              <w:rPr>
                <w:rFonts w:ascii="Times New Roman;Times;serif" w:hAnsi="Times New Roman;Times;serif"/>
                <w:sz w:val="14"/>
              </w:rPr>
              <w:t>701 Lee Road, Suite 103</w:t>
              <w:br/>
              <w:t>Wayne, PA</w:t>
            </w:r>
            <w:r>
              <w:rPr>
                <w:rFonts w:ascii="Times New Roman;Times;serif" w:hAnsi="Times New Roman;Times;serif"/>
                <w:sz w:val="20"/>
              </w:rPr>
              <w:t xml:space="preserve"> </w:t>
            </w:r>
            <w:r>
              <w:rPr>
                <w:rFonts w:ascii="Times New Roman;Times;serif" w:hAnsi="Times New Roman;Times;serif"/>
                <w:sz w:val="14"/>
              </w:rPr>
              <w:br/>
              <w:t>(Address of principal executive offices)</w:t>
            </w:r>
          </w:p>
        </w:tc>
        <w:tc>
          <w:tcPr>
            <w:tcW w:w="1216" w:type="dxa"/>
            <w:tcBorders/>
            <w:vAlign w:val="center"/>
          </w:tcPr>
          <w:p>
            <w:pPr>
              <w:pStyle w:val="TableContents"/>
              <w:bidi w:val="0"/>
              <w:spacing w:before="60" w:after="0"/>
              <w:ind w:left="0" w:right="0" w:hanging="0"/>
              <w:jc w:val="center"/>
              <w:rPr>
                <w:rFonts w:ascii="Times New Roman;Times;serif" w:hAnsi="Times New Roman;Times;serif"/>
                <w:sz w:val="14"/>
              </w:rPr>
            </w:pPr>
            <w:r>
              <w:rPr>
                <w:rFonts w:ascii="Times New Roman;Times;serif" w:hAnsi="Times New Roman;Times;serif"/>
                <w:sz w:val="14"/>
              </w:rPr>
              <w:t>19087</w:t>
              <w:br/>
              <w:t>(Zip Code)</w:t>
            </w:r>
          </w:p>
        </w:tc>
      </w:tr>
    </w:tbl>
    <w:p>
      <w:pPr>
        <w:pStyle w:val="TextBody"/>
        <w:bidi w:val="0"/>
        <w:spacing w:before="0" w:after="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18"/>
        </w:rPr>
      </w:pPr>
      <w:r>
        <w:rPr>
          <w:rFonts w:ascii="Times New Roman;Times;serif" w:hAnsi="Times New Roman;Times;serif"/>
          <w:sz w:val="18"/>
        </w:rPr>
        <w:t>Registrant’s telephone number, including area code: (484) 324-7933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 w:name="Tc_ZDoCbo6zeUm1BrW6GvHJ0g_2_4"/>
      <w:bookmarkStart w:id="16" w:name="Tc_Rk1qtK2Oa0Wi_cD2_5H-rw_2_0"/>
      <w:bookmarkStart w:id="17" w:name="Tc_RWijGANEtk2boXyMAD5VLw_1_4"/>
      <w:bookmarkStart w:id="18" w:name="Tc_GcSHaEBL1E-28qf5nGEQlA_1_2"/>
      <w:bookmarkStart w:id="19" w:name="Tc_rBnVDh9MXUuzvla4ZWEHoQ_1_0"/>
      <w:bookmarkStart w:id="20" w:name="_cd4dce2f_9fbe_476b_bf09_2d52e3234bd6"/>
      <w:bookmarkStart w:id="21" w:name="Tc_ZDoCbo6zeUm1BrW6GvHJ0g_2_4"/>
      <w:bookmarkStart w:id="22" w:name="Tc_Rk1qtK2Oa0Wi_cD2_5H-rw_2_0"/>
      <w:bookmarkStart w:id="23" w:name="Tc_RWijGANEtk2boXyMAD5VLw_1_4"/>
      <w:bookmarkStart w:id="24" w:name="Tc_GcSHaEBL1E-28qf5nGEQlA_1_2"/>
      <w:bookmarkStart w:id="25" w:name="Tc_rBnVDh9MXUuzvla4ZWEHoQ_1_0"/>
      <w:bookmarkStart w:id="26" w:name="_cd4dce2f_9fbe_476b_bf09_2d52e3234bd6"/>
      <w:bookmarkEnd w:id="21"/>
      <w:bookmarkEnd w:id="22"/>
      <w:bookmarkEnd w:id="23"/>
      <w:bookmarkEnd w:id="24"/>
      <w:bookmarkEnd w:id="25"/>
      <w:bookmarkEnd w:id="26"/>
    </w:p>
    <w:tbl>
      <w:tblPr>
        <w:tblW w:w="7788" w:type="dxa"/>
        <w:jc w:val="left"/>
        <w:tblInd w:w="0" w:type="dxa"/>
        <w:tblLayout w:type="fixed"/>
        <w:tblCellMar>
          <w:top w:w="0" w:type="dxa"/>
          <w:left w:w="0" w:type="dxa"/>
          <w:bottom w:w="0" w:type="dxa"/>
          <w:right w:w="0" w:type="dxa"/>
        </w:tblCellMar>
      </w:tblPr>
      <w:tblGrid>
        <w:gridCol w:w="2686"/>
        <w:gridCol w:w="146"/>
        <w:gridCol w:w="1456"/>
        <w:gridCol w:w="109"/>
        <w:gridCol w:w="33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bottom w:val="single" w:sz="2" w:space="0" w:color="000000"/>
            </w:tcBorders>
            <w:tcMar>
              <w:bottom w:w="28" w:type="dxa"/>
            </w:tcMar>
            <w:vAlign w:val="center"/>
          </w:tcPr>
          <w:p>
            <w:pPr>
              <w:pStyle w:val="TableContents"/>
              <w:pBdr/>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6" w:type="dxa"/>
            <w:tcBorders>
              <w:bottom w:val="single" w:sz="2" w:space="0" w:color="000000"/>
            </w:tcBorders>
            <w:tcMar>
              <w:bottom w:w="28" w:type="dxa"/>
            </w:tcMar>
            <w:vAlign w:val="center"/>
          </w:tcPr>
          <w:p>
            <w:pPr>
              <w:pStyle w:val="TableContents"/>
              <w:bidi w:val="0"/>
              <w:spacing w:lineRule="atLeast" w:line="160"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109" w:type="dxa"/>
            <w:tcBorders/>
            <w:vAlign w:val="center"/>
          </w:tcPr>
          <w:p>
            <w:pPr>
              <w:pStyle w:val="TableContents"/>
              <w:bidi w:val="0"/>
              <w:spacing w:lineRule="atLeast" w:line="160" w:before="0" w:after="0"/>
              <w:ind w:left="0" w:right="0" w:hanging="0"/>
              <w:jc w:val="center"/>
              <w:rPr/>
            </w:pPr>
            <w:r>
              <w:rPr/>
              <w:t>​</w:t>
            </w:r>
          </w:p>
        </w:tc>
        <w:tc>
          <w:tcPr>
            <w:tcW w:w="3391" w:type="dxa"/>
            <w:tcBorders>
              <w:bottom w:val="single" w:sz="2" w:space="0" w:color="000000"/>
            </w:tcBorders>
            <w:tcMar>
              <w:bottom w:w="28" w:type="dxa"/>
            </w:tcMar>
            <w:vAlign w:val="center"/>
          </w:tcPr>
          <w:p>
            <w:pPr>
              <w:pStyle w:val="TableContents"/>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686" w:type="dxa"/>
            <w:tcBorders>
              <w:top w:val="single" w:sz="2" w:space="0" w:color="000000"/>
            </w:tcBorders>
            <w:tcMar>
              <w:top w:w="28" w:type="dxa"/>
            </w:tcMar>
            <w:vAlign w:val="center"/>
          </w:tcPr>
          <w:p>
            <w:pPr>
              <w:pStyle w:val="TableContents"/>
              <w:pBdr/>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146" w:type="dxa"/>
            <w:tcBorders/>
            <w:vAlign w:val="center"/>
          </w:tcPr>
          <w:p>
            <w:pPr>
              <w:pStyle w:val="TableContents"/>
              <w:bidi w:val="0"/>
              <w:spacing w:lineRule="atLeast" w:line="160" w:before="0" w:after="0"/>
              <w:ind w:left="0" w:right="0" w:hanging="0"/>
              <w:jc w:val="left"/>
              <w:rPr/>
            </w:pPr>
            <w:r>
              <w:rPr/>
              <w:t> </w:t>
            </w:r>
          </w:p>
        </w:tc>
        <w:tc>
          <w:tcPr>
            <w:tcW w:w="1456" w:type="dxa"/>
            <w:tcBorders>
              <w:top w:val="single" w:sz="2" w:space="0" w:color="000000"/>
            </w:tcBorders>
            <w:tcMar>
              <w:top w:w="28" w:type="dxa"/>
            </w:tcMar>
            <w:vAlign w:val="center"/>
          </w:tcPr>
          <w:p>
            <w:pPr>
              <w:pStyle w:val="TableContents"/>
              <w:bidi w:val="0"/>
              <w:spacing w:lineRule="atLeast" w:line="160" w:before="0" w:after="0"/>
              <w:ind w:left="0" w:right="0" w:hanging="0"/>
              <w:jc w:val="center"/>
              <w:rPr>
                <w:rFonts w:ascii="Times New Roman;Times;serif" w:hAnsi="Times New Roman;Times;serif"/>
                <w:sz w:val="18"/>
              </w:rPr>
            </w:pPr>
            <w:r>
              <w:rPr>
                <w:rFonts w:ascii="Times New Roman;Times;serif" w:hAnsi="Times New Roman;Times;serif"/>
                <w:sz w:val="18"/>
              </w:rPr>
              <w:t>ACRS</w:t>
            </w:r>
          </w:p>
        </w:tc>
        <w:tc>
          <w:tcPr>
            <w:tcW w:w="109" w:type="dxa"/>
            <w:tcBorders/>
            <w:vAlign w:val="center"/>
          </w:tcPr>
          <w:p>
            <w:pPr>
              <w:pStyle w:val="TableContents"/>
              <w:bidi w:val="0"/>
              <w:spacing w:lineRule="atLeast" w:line="160" w:before="0" w:after="0"/>
              <w:ind w:left="0" w:right="0" w:hanging="0"/>
              <w:jc w:val="center"/>
              <w:rPr/>
            </w:pPr>
            <w:r>
              <w:rPr/>
              <w:t>​</w:t>
            </w:r>
          </w:p>
        </w:tc>
        <w:tc>
          <w:tcPr>
            <w:tcW w:w="3391" w:type="dxa"/>
            <w:tcBorders>
              <w:top w:val="single" w:sz="2" w:space="0" w:color="000000"/>
            </w:tcBorders>
            <w:tcMar>
              <w:top w:w="28" w:type="dxa"/>
            </w:tcMar>
            <w:vAlign w:val="center"/>
          </w:tcPr>
          <w:p>
            <w:pPr>
              <w:pStyle w:val="TableContents"/>
              <w:bidi w:val="0"/>
              <w:spacing w:lineRule="atLeast" w:line="160"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ind w:left="0" w:right="0" w:hanging="0"/>
        <w:jc w:val="left"/>
        <w:rPr/>
      </w:pPr>
      <w:r>
        <w:rPr/>
        <w:t>​</w:t>
      </w:r>
    </w:p>
    <w:tbl>
      <w:tblPr>
        <w:tblW w:w="4431" w:type="dxa"/>
        <w:jc w:val="left"/>
        <w:tblInd w:w="0" w:type="dxa"/>
        <w:tblLayout w:type="fixed"/>
        <w:tblCellMar>
          <w:top w:w="0" w:type="dxa"/>
          <w:left w:w="0" w:type="dxa"/>
          <w:bottom w:w="0" w:type="dxa"/>
          <w:right w:w="0" w:type="dxa"/>
        </w:tblCellMar>
      </w:tblPr>
      <w:tblGrid>
        <w:gridCol w:w="1921"/>
        <w:gridCol w:w="109"/>
        <w:gridCol w:w="2401"/>
      </w:tblGrid>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9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xml:space="preserve">☒ </w:t>
            </w:r>
          </w:p>
        </w:tc>
      </w:tr>
      <w:tr>
        <w:trPr/>
        <w:tc>
          <w:tcPr>
            <w:tcW w:w="19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Securities Exchange Act of 1934).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The number of outstanding shares of the registrant’s common stock, par value $0.00001 per share, as of the close of business on April 30, 2026 was 139,663,680.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_717f337b_c2d6_44b7_b45a_84f978ba56f0"/>
      <w:bookmarkEnd w:id="27"/>
      <w:r>
        <w:rPr>
          <w:rFonts w:ascii="Times New Roman;Times;serif" w:hAnsi="Times New Roman;Times;serif"/>
          <w:b/>
          <w:sz w:val="20"/>
        </w:rPr>
        <w:t>ACLARIS THERAPEUTICS,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INDEX TO FORM 10-Q</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168"/>
        <w:gridCol w:w="346"/>
        <w:gridCol w:w="691"/>
      </w:tblGrid>
      <w:tr>
        <w:trPr/>
        <w:tc>
          <w:tcPr>
            <w:tcW w:w="9168" w:type="dxa"/>
            <w:tcBorders/>
            <w:shd w:fill="FFFFFF" w:val="clear"/>
            <w:vAlign w:val="center"/>
          </w:tcPr>
          <w:p>
            <w:pPr>
              <w:pStyle w:val="TableContents"/>
              <w:pBdr/>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  ​ ​ ​</w:t>
            </w:r>
          </w:p>
        </w:tc>
        <w:tc>
          <w:tcPr>
            <w:tcW w:w="69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168" w:type="dxa"/>
            <w:tcBorders/>
            <w:shd w:fill="FFFFFF" w:val="clear"/>
            <w:vAlign w:val="center"/>
          </w:tcPr>
          <w:p>
            <w:pPr>
              <w:pStyle w:val="TableContents"/>
              <w:pBdr/>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PartIFINANCIALINFORMATION_174111">
              <w:r>
                <w:rPr>
                  <w:rStyle w:val="InternetLink"/>
                  <w:rFonts w:ascii="Times New Roman;Times;serif" w:hAnsi="Times New Roman;Times;serif"/>
                  <w:b w:val="false"/>
                  <w:i w:val="false"/>
                  <w:caps w:val="false"/>
                  <w:smallCaps w:val="false"/>
                  <w:sz w:val="20"/>
                </w:rPr>
                <w:t>PART I. FINANCIAL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1FinancialStatements_403092">
              <w:r>
                <w:rPr>
                  <w:rStyle w:val="InternetLink"/>
                  <w:rFonts w:ascii="Times New Roman;Times;serif" w:hAnsi="Times New Roman;Times;serif"/>
                  <w:b w:val="false"/>
                  <w:i w:val="false"/>
                  <w:caps w:val="false"/>
                  <w:smallCaps w:val="false"/>
                  <w:sz w:val="20"/>
                </w:rPr>
                <w:t>Item 1. Financial Statements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CONDENSEDCONSOLIDATEDBALANCESHEETS_47857">
              <w:r>
                <w:rPr>
                  <w:rStyle w:val="InternetLink"/>
                  <w:rFonts w:ascii="Times New Roman;Times;serif" w:hAnsi="Times New Roman;Times;serif"/>
                  <w:b w:val="false"/>
                  <w:i w:val="false"/>
                  <w:caps w:val="false"/>
                  <w:smallCaps w:val="false"/>
                  <w:sz w:val="20"/>
                </w:rPr>
                <w:t>Unaudited Condensed Consolidated Balance Sheets as of March 31, 2026 and December 31,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months ended March 31, 2026 and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CONDENSEDCONSOLIDATEDSTATEMENTOFSTOCKHOL">
              <w:r>
                <w:rPr>
                  <w:rStyle w:val="InternetLink"/>
                  <w:rFonts w:ascii="Times New Roman;Times;serif" w:hAnsi="Times New Roman;Times;serif"/>
                  <w:b w:val="false"/>
                  <w:i w:val="false"/>
                  <w:caps w:val="false"/>
                  <w:smallCaps w:val="false"/>
                  <w:sz w:val="20"/>
                </w:rPr>
                <w:t>Unaudited Condensed Consolidated Statements of Stockholders’ Equity for the three months ended March 31, 2026 and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STATEMENTSOFCASHFLOWS_385830">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2026 and 2025</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2ManagementsDiscussionandAnalysis_76">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3QuantitativeandQualitative_77936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4ControlsandProcedures_474377">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PARTIIOTHERINFORMATION_777976">
              <w:r>
                <w:rPr>
                  <w:rStyle w:val="InternetLink"/>
                  <w:rFonts w:ascii="Times New Roman;Times;serif" w:hAnsi="Times New Roman;Times;serif"/>
                  <w:b w:val="false"/>
                  <w:i w:val="false"/>
                  <w:caps w:val="false"/>
                  <w:smallCaps w:val="false"/>
                  <w:sz w:val="20"/>
                </w:rPr>
                <w:t>PART II. OTHER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1LegalProceedings_682668">
              <w:r>
                <w:rPr>
                  <w:rStyle w:val="InternetLink"/>
                  <w:rFonts w:ascii="Times New Roman;Times;serif" w:hAnsi="Times New Roman;Times;serif"/>
                  <w:b w:val="false"/>
                  <w:i w:val="false"/>
                  <w:caps w:val="false"/>
                  <w:smallCaps w:val="false"/>
                  <w:sz w:val="20"/>
                </w:rPr>
                <w:t>Item 1. Legal Proceedings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1ARiskFactors_634620">
              <w:r>
                <w:rPr>
                  <w:rStyle w:val="InternetLink"/>
                  <w:rFonts w:ascii="Times New Roman;Times;serif" w:hAnsi="Times New Roman;Times;serif"/>
                  <w:b w:val="false"/>
                  <w:i w:val="false"/>
                  <w:caps w:val="false"/>
                  <w:smallCaps w:val="false"/>
                  <w:sz w:val="20"/>
                </w:rPr>
                <w:t>Item 1A. Risk Factors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bidi w:val="0"/>
              <w:spacing w:before="0" w:after="0"/>
              <w:ind w:left="0" w:right="0" w:hanging="0"/>
              <w:jc w:val="left"/>
              <w:rPr/>
            </w:pPr>
            <w:hyperlink w:anchor="Item5OtherInformation_505397">
              <w:r>
                <w:rPr>
                  <w:rStyle w:val="InternetLink"/>
                  <w:rFonts w:ascii="Times New Roman;Times;serif" w:hAnsi="Times New Roman;Times;serif"/>
                  <w:b w:val="false"/>
                  <w:i w:val="false"/>
                  <w:caps w:val="false"/>
                  <w:smallCaps w:val="false"/>
                  <w:sz w:val="20"/>
                </w:rPr>
                <w:t>Item 5. Other Information</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Item6Exhibits_510492">
              <w:r>
                <w:rPr>
                  <w:rStyle w:val="InternetLink"/>
                  <w:rFonts w:ascii="Times New Roman;Times;serif" w:hAnsi="Times New Roman;Times;serif"/>
                  <w:b w:val="false"/>
                  <w:i w:val="false"/>
                  <w:caps w:val="false"/>
                  <w:smallCaps w:val="false"/>
                  <w:sz w:val="20"/>
                </w:rPr>
                <w:t>Item 6. Exhibits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168"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pPr>
            <w:r>
              <w:rPr/>
              <w:t>​</w:t>
            </w:r>
          </w:p>
        </w:tc>
      </w:tr>
      <w:tr>
        <w:trPr/>
        <w:tc>
          <w:tcPr>
            <w:tcW w:w="9168" w:type="dxa"/>
            <w:tcBorders/>
            <w:shd w:fill="FFFFFF" w:val="clear"/>
            <w:vAlign w:val="center"/>
          </w:tcPr>
          <w:p>
            <w:pPr>
              <w:pStyle w:val="TableContents"/>
              <w:pBdr/>
              <w:bidi w:val="0"/>
              <w:spacing w:before="0" w:after="0"/>
              <w:ind w:left="0" w:right="0" w:hanging="0"/>
              <w:jc w:val="left"/>
              <w:rPr/>
            </w:pPr>
            <w:hyperlink w:anchor="SIGNATURES_208937">
              <w:r>
                <w:rPr>
                  <w:rStyle w:val="InternetLink"/>
                  <w:rFonts w:ascii="Times New Roman;Times;serif" w:hAnsi="Times New Roman;Times;serif"/>
                  <w:b w:val="false"/>
                  <w:i w:val="false"/>
                  <w:caps w:val="false"/>
                  <w:smallCaps w:val="false"/>
                  <w:sz w:val="20"/>
                </w:rPr>
                <w:t>Signatures</w:t>
              </w:r>
            </w:hyperlink>
          </w:p>
        </w:tc>
        <w:tc>
          <w:tcPr>
            <w:tcW w:w="34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9" w:name="PartIFINANCIALINFORMATION_174111"/>
      <w:bookmarkStart w:id="30" w:name="_aa4e4d39_87b4_45db_8eb1_bcce91fceef0"/>
      <w:bookmarkEnd w:id="29"/>
      <w:bookmarkEnd w:id="30"/>
      <w:r>
        <w:rPr>
          <w:rFonts w:ascii="Times New Roman;Times;serif" w:hAnsi="Times New Roman;Times;serif"/>
          <w:b/>
          <w:sz w:val="20"/>
        </w:rPr>
        <w:t xml:space="preserve">Part I. FINANCIAL INFORMATION </w:t>
      </w:r>
    </w:p>
    <w:p>
      <w:pPr>
        <w:pStyle w:val="TextBody"/>
        <w:bidi w:val="0"/>
        <w:spacing w:before="0" w:after="0"/>
        <w:ind w:left="0" w:right="0" w:hanging="0"/>
        <w:jc w:val="left"/>
        <w:rPr>
          <w:rFonts w:ascii="Times New Roman;Times;serif" w:hAnsi="Times New Roman;Times;serif"/>
          <w:b/>
          <w:sz w:val="20"/>
        </w:rPr>
      </w:pPr>
      <w:bookmarkStart w:id="31" w:name="Item1FinancialStatements_403092"/>
      <w:bookmarkEnd w:id="31"/>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bookmarkStart w:id="32" w:name="CONDENSEDCONSOLIDATEDBALANCESHEETS_47857"/>
      <w:bookmarkEnd w:id="3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 w:name="Tc_d3Tlau66SUupE0ezqshURQ_32_5"/>
      <w:bookmarkStart w:id="34" w:name="Tc_bbxPyCHzs0m6lsyVGtWqvQ_32_2"/>
      <w:bookmarkStart w:id="35" w:name="Tc_k6fWbaALak-D_h33ZRTh2g_32_0"/>
      <w:bookmarkStart w:id="36" w:name="Tc_MmXX286i7kagvAGM4vzmtQ_31_0"/>
      <w:bookmarkStart w:id="37" w:name="Tc_YCZzgSzzFk21nCi69y0U5A_30_0"/>
      <w:bookmarkStart w:id="38" w:name="Tc_PMG64P9gb027ArOvYk4Y4A_29_0"/>
      <w:bookmarkStart w:id="39" w:name="Tc_3Dvvb5ck2UyYwKQCseIDTw_28_0"/>
      <w:bookmarkStart w:id="40" w:name="Tc_2joZ57saRECHQuc2uvsdsA_27_0"/>
      <w:bookmarkStart w:id="41" w:name="Tc_7wQvTKnNmkOorIejNqh7IQ_26_0"/>
      <w:bookmarkStart w:id="42" w:name="Tc_N8czfxPqSE-uDOBOS-XzYg_25_0"/>
      <w:bookmarkStart w:id="43" w:name="Tc_zppoQ54FW0mFwnVDtypHUA_24_0"/>
      <w:bookmarkStart w:id="44" w:name="Tc_pyD5zyR600qOeDldMw_g4w_23_0"/>
      <w:bookmarkStart w:id="45" w:name="Tc_XY3o0i-CME-XBqgbAcnaZQ_22_0"/>
      <w:bookmarkStart w:id="46" w:name="Tc_v876sKyVY0K9bd-EgLxHOg_21_0"/>
      <w:bookmarkStart w:id="47" w:name="Tc_KjOc7Za9jE2mIHZQSakvpQ_20_0"/>
      <w:bookmarkStart w:id="48" w:name="Tc_1X5e_C4EzkC7F7tS_rrLCA_19_0"/>
      <w:bookmarkStart w:id="49" w:name="Tc_emmk1Yxo40iBYTAue6ZVHw_18_0"/>
      <w:bookmarkStart w:id="50" w:name="Tc_Vp6hLx3jNUu3QbgovSqoYQ_17_0"/>
      <w:bookmarkStart w:id="51" w:name="Tc_iKv1gAkcSUSSOL3fgHZlaw_16_5"/>
      <w:bookmarkStart w:id="52" w:name="Tc_Om3nY5x0JEGHcUNSsFN_Nw_16_2"/>
      <w:bookmarkStart w:id="53" w:name="Tc_cqk_MaW3W0uF1ymSc2F9nA_16_0"/>
      <w:bookmarkStart w:id="54" w:name="Tc_cu0-qtDo-U61VC2QtnU0Bw_15_0"/>
      <w:bookmarkStart w:id="55" w:name="Tc_3Tc88cabvk6zAtdBx8rlug_14_0"/>
      <w:bookmarkStart w:id="56" w:name="Tc_ql8JG6RzHE-1LmJlLHFm5Q_13_5"/>
      <w:bookmarkStart w:id="57" w:name="Tc_1EX457Fsg0SXGQx1n0r56w_13_2"/>
      <w:bookmarkStart w:id="58" w:name="Tc_6dV2QmKpcEKYrhyMtlmfGw_13_0"/>
      <w:bookmarkStart w:id="59" w:name="Tc_Rjp5PBGtREOroF8uwpestA_12_0"/>
      <w:bookmarkStart w:id="60" w:name="Tc_IwHYdmh5TUWmVCfn3QwAXA_11_0"/>
      <w:bookmarkStart w:id="61" w:name="Tc_YNlFKwRDh0q9iMACThwEHg_10_0"/>
      <w:bookmarkStart w:id="62" w:name="Tc_JJUV2LWu3UejKD8Swa0TzA_9_0"/>
      <w:bookmarkStart w:id="63" w:name="Tc_U6f0Mi6a90icT_WUWTy15w_8_0"/>
      <w:bookmarkStart w:id="64" w:name="Tc_lCkG5NR3FUGFuI9Ui2ZXjw_7_0"/>
      <w:bookmarkStart w:id="65" w:name="Tc_XmyhukCHDESoZpuhkAVP8A_6_5"/>
      <w:bookmarkStart w:id="66" w:name="Tc_l6HRsql8okaJ0pG8MY25eA_6_2"/>
      <w:bookmarkStart w:id="67" w:name="Tc_EfTb8gRH2Emk8j5WJS0xSQ_6_0"/>
      <w:bookmarkStart w:id="68" w:name="Tc_Z_7r1aq-v0e7tSaKXt0V8w_5_0"/>
      <w:bookmarkStart w:id="69" w:name="Tc_snpwkvxUD0q4kxOVjzvoLg_4_0"/>
      <w:bookmarkStart w:id="70" w:name="Tc_WHO-A0i620W_O75xhwsdYw_2_5"/>
      <w:bookmarkStart w:id="71" w:name="Tc_lJFw1jIl4EurghSXvCNa2w_2_2"/>
      <w:bookmarkStart w:id="72" w:name="Tc_ku4rF_RKC024rJsRPUxW5Q_1_5"/>
      <w:bookmarkStart w:id="73" w:name="Tc_-kuPXJsRZ0Cr2ffsbo5MAg_1_2"/>
      <w:bookmarkStart w:id="74" w:name="_edc280a4_17ca_4b00_ae46_00c8f38a01ae"/>
      <w:bookmarkStart w:id="75" w:name="Tc_d3Tlau66SUupE0ezqshURQ_32_5"/>
      <w:bookmarkStart w:id="76" w:name="Tc_bbxPyCHzs0m6lsyVGtWqvQ_32_2"/>
      <w:bookmarkStart w:id="77" w:name="Tc_k6fWbaALak-D_h33ZRTh2g_32_0"/>
      <w:bookmarkStart w:id="78" w:name="Tc_MmXX286i7kagvAGM4vzmtQ_31_0"/>
      <w:bookmarkStart w:id="79" w:name="Tc_YCZzgSzzFk21nCi69y0U5A_30_0"/>
      <w:bookmarkStart w:id="80" w:name="Tc_PMG64P9gb027ArOvYk4Y4A_29_0"/>
      <w:bookmarkStart w:id="81" w:name="Tc_3Dvvb5ck2UyYwKQCseIDTw_28_0"/>
      <w:bookmarkStart w:id="82" w:name="Tc_2joZ57saRECHQuc2uvsdsA_27_0"/>
      <w:bookmarkStart w:id="83" w:name="Tc_7wQvTKnNmkOorIejNqh7IQ_26_0"/>
      <w:bookmarkStart w:id="84" w:name="Tc_N8czfxPqSE-uDOBOS-XzYg_25_0"/>
      <w:bookmarkStart w:id="85" w:name="Tc_zppoQ54FW0mFwnVDtypHUA_24_0"/>
      <w:bookmarkStart w:id="86" w:name="Tc_pyD5zyR600qOeDldMw_g4w_23_0"/>
      <w:bookmarkStart w:id="87" w:name="Tc_XY3o0i-CME-XBqgbAcnaZQ_22_0"/>
      <w:bookmarkStart w:id="88" w:name="Tc_v876sKyVY0K9bd-EgLxHOg_21_0"/>
      <w:bookmarkStart w:id="89" w:name="Tc_KjOc7Za9jE2mIHZQSakvpQ_20_0"/>
      <w:bookmarkStart w:id="90" w:name="Tc_1X5e_C4EzkC7F7tS_rrLCA_19_0"/>
      <w:bookmarkStart w:id="91" w:name="Tc_emmk1Yxo40iBYTAue6ZVHw_18_0"/>
      <w:bookmarkStart w:id="92" w:name="Tc_Vp6hLx3jNUu3QbgovSqoYQ_17_0"/>
      <w:bookmarkStart w:id="93" w:name="Tc_iKv1gAkcSUSSOL3fgHZlaw_16_5"/>
      <w:bookmarkStart w:id="94" w:name="Tc_Om3nY5x0JEGHcUNSsFN_Nw_16_2"/>
      <w:bookmarkStart w:id="95" w:name="Tc_cqk_MaW3W0uF1ymSc2F9nA_16_0"/>
      <w:bookmarkStart w:id="96" w:name="Tc_cu0-qtDo-U61VC2QtnU0Bw_15_0"/>
      <w:bookmarkStart w:id="97" w:name="Tc_3Tc88cabvk6zAtdBx8rlug_14_0"/>
      <w:bookmarkStart w:id="98" w:name="Tc_ql8JG6RzHE-1LmJlLHFm5Q_13_5"/>
      <w:bookmarkStart w:id="99" w:name="Tc_1EX457Fsg0SXGQx1n0r56w_13_2"/>
      <w:bookmarkStart w:id="100" w:name="Tc_6dV2QmKpcEKYrhyMtlmfGw_13_0"/>
      <w:bookmarkStart w:id="101" w:name="Tc_Rjp5PBGtREOroF8uwpestA_12_0"/>
      <w:bookmarkStart w:id="102" w:name="Tc_IwHYdmh5TUWmVCfn3QwAXA_11_0"/>
      <w:bookmarkStart w:id="103" w:name="Tc_YNlFKwRDh0q9iMACThwEHg_10_0"/>
      <w:bookmarkStart w:id="104" w:name="Tc_JJUV2LWu3UejKD8Swa0TzA_9_0"/>
      <w:bookmarkStart w:id="105" w:name="Tc_U6f0Mi6a90icT_WUWTy15w_8_0"/>
      <w:bookmarkStart w:id="106" w:name="Tc_lCkG5NR3FUGFuI9Ui2ZXjw_7_0"/>
      <w:bookmarkStart w:id="107" w:name="Tc_XmyhukCHDESoZpuhkAVP8A_6_5"/>
      <w:bookmarkStart w:id="108" w:name="Tc_l6HRsql8okaJ0pG8MY25eA_6_2"/>
      <w:bookmarkStart w:id="109" w:name="Tc_EfTb8gRH2Emk8j5WJS0xSQ_6_0"/>
      <w:bookmarkStart w:id="110" w:name="Tc_Z_7r1aq-v0e7tSaKXt0V8w_5_0"/>
      <w:bookmarkStart w:id="111" w:name="Tc_snpwkvxUD0q4kxOVjzvoLg_4_0"/>
      <w:bookmarkStart w:id="112" w:name="Tc_WHO-A0i620W_O75xhwsdYw_2_5"/>
      <w:bookmarkStart w:id="113" w:name="Tc_lJFw1jIl4EurghSXvCNa2w_2_2"/>
      <w:bookmarkStart w:id="114" w:name="Tc_ku4rF_RKC024rJsRPUxW5Q_1_5"/>
      <w:bookmarkStart w:id="115" w:name="Tc_-kuPXJsRZ0Cr2ffsbo5MAg_1_2"/>
      <w:bookmarkStart w:id="116" w:name="_edc280a4_17ca_4b00_ae46_00c8f38a01ae"/>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W w:w="10205" w:type="dxa"/>
        <w:jc w:val="left"/>
        <w:tblInd w:w="0" w:type="dxa"/>
        <w:tblLayout w:type="fixed"/>
        <w:tblCellMar>
          <w:top w:w="0" w:type="dxa"/>
          <w:left w:w="0" w:type="dxa"/>
          <w:bottom w:w="0" w:type="dxa"/>
          <w:right w:w="0" w:type="dxa"/>
        </w:tblCellMar>
      </w:tblPr>
      <w:tblGrid>
        <w:gridCol w:w="7184"/>
        <w:gridCol w:w="346"/>
        <w:gridCol w:w="211"/>
        <w:gridCol w:w="931"/>
        <w:gridCol w:w="346"/>
        <w:gridCol w:w="211"/>
        <w:gridCol w:w="976"/>
      </w:tblGrid>
      <w:tr>
        <w:trPr/>
        <w:tc>
          <w:tcPr>
            <w:tcW w:w="7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61840" cy="175260"/>
                      <wp:effectExtent l="0" t="0" r="0" b="0"/>
                      <wp:wrapNone/>
                      <wp:docPr id="1" name="Frame1"/>
                      <a:graphic xmlns:a="http://schemas.openxmlformats.org/drawingml/2006/main">
                        <a:graphicData uri="http://schemas.microsoft.com/office/word/2010/wordprocessingShape">
                          <wps:wsp>
                            <wps:cNvSpPr txBox="1"/>
                            <wps:spPr>
                              <a:xfrm>
                                <a:off x="0" y="0"/>
                                <a:ext cx="456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91185" cy="175260"/>
                      <wp:effectExtent l="0" t="0" r="0" b="0"/>
                      <wp:wrapNone/>
                      <wp:docPr id="4"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9760" cy="175260"/>
                      <wp:effectExtent l="0" t="0" r="0" b="0"/>
                      <wp:wrapNone/>
                      <wp:docPr id="7" name="Frame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19,960</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96,316</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60,612</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160,460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28,645</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and no shares issued or outstanding at March 31,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$0.00001 par value; 400,000,000 shares authorized at March 31, 2026 and December 31, 2025; 139,652,849 and 120,499,433 shares issued and outstanding at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w:t>
              <w:noBreakHyphen/>
              <w:t>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1,070,255</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(987,608)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(967,784)</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103,082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160,460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7" w:name="_0be46030_f177_465a_8ace_9c32a19f639d"/>
      <w:bookmarkEnd w:id="117"/>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bookmarkStart w:id="118" w:name="CONDENSEDCONSOLIDATEDSTATEMENTSOFOPERATI"/>
      <w:bookmarkEnd w:id="118"/>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9" w:name="Tc_0AD7_VtBq0mu2oj0AGK1gQ_29_5"/>
      <w:bookmarkStart w:id="120" w:name="Tc_SQwY8HlchE2e_k9MfbBIRg_29_2"/>
      <w:bookmarkStart w:id="121" w:name="Tc_XGwaKnlro0CKfj8cMIoaiw_29_0"/>
      <w:bookmarkStart w:id="122" w:name="Tc_XSn0pesl9kmv-B2AR8dPKQ_28_0"/>
      <w:bookmarkStart w:id="123" w:name="Tc_ozjvGvEAD0CwCsUpUM7V3w_27_5"/>
      <w:bookmarkStart w:id="124" w:name="Tc_LA4xI84bDUCQlfE6HDbbDw_27_2"/>
      <w:bookmarkStart w:id="125" w:name="Tc_lP9dmgY6ok-_yVSaTXakCQ_27_0"/>
      <w:bookmarkStart w:id="126" w:name="Tc_baZSVkrMYU2YWXENZXC04Q_26_0"/>
      <w:bookmarkStart w:id="127" w:name="Tc_oUumwUJQlkqLVJS4qSwa1A_24_0"/>
      <w:bookmarkStart w:id="128" w:name="Tc_DeAQrR1Wuke_sRrpE_7b0Q_23_5"/>
      <w:bookmarkStart w:id="129" w:name="Tc_5HgVLJ4-8kaBDdmI_rLSKQ_23_2"/>
      <w:bookmarkStart w:id="130" w:name="Tc_0NPDh9RLpUqrhjkBXJ6Bgg_23_0"/>
      <w:bookmarkStart w:id="131" w:name="Tc_n7PKfY5Wa0-pFfvhUwCMiA_22_5"/>
      <w:bookmarkStart w:id="132" w:name="Tc_wU9LL5O1DU-Ks489rTnHLw_22_2"/>
      <w:bookmarkStart w:id="133" w:name="Tc_bTelwyCfi0mfZt9wlcEmHA_22_0"/>
      <w:bookmarkStart w:id="134" w:name="Tc_6tlRuWr6Uk-xtULy49FHuw_21_0"/>
      <w:bookmarkStart w:id="135" w:name="Tc_Wk0DYpvsQkqlHWB6Z_YPUg_20_0"/>
      <w:bookmarkStart w:id="136" w:name="Tc_scLYyVBBAk-7xcqPwoTi1g_19_0"/>
      <w:bookmarkStart w:id="137" w:name="Tc_02fKhiEdXkaSTlO43bWvCw_18_0"/>
      <w:bookmarkStart w:id="138" w:name="Tc_EucQwJfRu0CcbNcKF7IgOg_16_0"/>
      <w:bookmarkStart w:id="139" w:name="Tc_er4pN_CSUE-LPCQvrpwQxQ_15_0"/>
      <w:bookmarkStart w:id="140" w:name="Tc_mvCsqcb3kUOrkjyJrHH3xw_14_3"/>
      <w:bookmarkStart w:id="141" w:name="Tc_9L7NEYY_sEmGyoB5RCd9Mg_14_0"/>
      <w:bookmarkStart w:id="142" w:name="Tc_zjTUXARLyE60qZnQhlraOw_13_0"/>
      <w:bookmarkStart w:id="143" w:name="Tc_gTFH1EiFTE-RvXhQHv79kQ_12_0"/>
      <w:bookmarkStart w:id="144" w:name="Tc_xZNEWbkXVkKHlF7Y7fnEDA_11_0"/>
      <w:bookmarkStart w:id="145" w:name="Tc_7Ws71KmeGEOU9LGxCScUJA_10_0"/>
      <w:bookmarkStart w:id="146" w:name="Tc_zYosQpMvuEal-a9rrAO3kQ_9_0"/>
      <w:bookmarkStart w:id="147" w:name="Tc_n1XJl1ofzUOu9PjOBTb4MQ_7_0"/>
      <w:bookmarkStart w:id="148" w:name="Tc_L3NwPLpOI02jO231FNCJcA_6_0"/>
      <w:bookmarkStart w:id="149" w:name="Tc_a7FoXGtpBE2Orv8-TVtKDA_5_5"/>
      <w:bookmarkStart w:id="150" w:name="Tc_lfeujELkv06Rdo2BLJ_srg_5_2"/>
      <w:bookmarkStart w:id="151" w:name="Tc_vDNhhhXoEEyDZ0vSLF0lcg_5_0"/>
      <w:bookmarkStart w:id="152" w:name="Tc_WyhvcolRuEmgssUHjIKpMQ_4_0"/>
      <w:bookmarkStart w:id="153" w:name="Tc_KBUzIMItmU-e65EuaeCIOg_3_5"/>
      <w:bookmarkStart w:id="154" w:name="Tc_QZ0kRHbX8kmxC7FgbayAWw_3_2"/>
      <w:bookmarkStart w:id="155" w:name="Tc_Lbk1u9tVuU228DqGj8deMw_2_2"/>
      <w:bookmarkStart w:id="156" w:name="Tc__rb02XL3Q0-9LKVzJUT9zQ_1_2"/>
      <w:bookmarkStart w:id="157" w:name="_50f5b214_019e_4988_a171_e698862437c2"/>
      <w:bookmarkStart w:id="158" w:name="_7bfe9e89_9db7_4b79_9dc6_64e1b8bef69f"/>
      <w:bookmarkStart w:id="159" w:name="Tc_0AD7_VtBq0mu2oj0AGK1gQ_29_5"/>
      <w:bookmarkStart w:id="160" w:name="Tc_SQwY8HlchE2e_k9MfbBIRg_29_2"/>
      <w:bookmarkStart w:id="161" w:name="Tc_XGwaKnlro0CKfj8cMIoaiw_29_0"/>
      <w:bookmarkStart w:id="162" w:name="Tc_XSn0pesl9kmv-B2AR8dPKQ_28_0"/>
      <w:bookmarkStart w:id="163" w:name="Tc_ozjvGvEAD0CwCsUpUM7V3w_27_5"/>
      <w:bookmarkStart w:id="164" w:name="Tc_LA4xI84bDUCQlfE6HDbbDw_27_2"/>
      <w:bookmarkStart w:id="165" w:name="Tc_lP9dmgY6ok-_yVSaTXakCQ_27_0"/>
      <w:bookmarkStart w:id="166" w:name="Tc_baZSVkrMYU2YWXENZXC04Q_26_0"/>
      <w:bookmarkStart w:id="167" w:name="Tc_oUumwUJQlkqLVJS4qSwa1A_24_0"/>
      <w:bookmarkStart w:id="168" w:name="Tc_DeAQrR1Wuke_sRrpE_7b0Q_23_5"/>
      <w:bookmarkStart w:id="169" w:name="Tc_5HgVLJ4-8kaBDdmI_rLSKQ_23_2"/>
      <w:bookmarkStart w:id="170" w:name="Tc_0NPDh9RLpUqrhjkBXJ6Bgg_23_0"/>
      <w:bookmarkStart w:id="171" w:name="Tc_n7PKfY5Wa0-pFfvhUwCMiA_22_5"/>
      <w:bookmarkStart w:id="172" w:name="Tc_wU9LL5O1DU-Ks489rTnHLw_22_2"/>
      <w:bookmarkStart w:id="173" w:name="Tc_bTelwyCfi0mfZt9wlcEmHA_22_0"/>
      <w:bookmarkStart w:id="174" w:name="Tc_6tlRuWr6Uk-xtULy49FHuw_21_0"/>
      <w:bookmarkStart w:id="175" w:name="Tc_Wk0DYpvsQkqlHWB6Z_YPUg_20_0"/>
      <w:bookmarkStart w:id="176" w:name="Tc_scLYyVBBAk-7xcqPwoTi1g_19_0"/>
      <w:bookmarkStart w:id="177" w:name="Tc_02fKhiEdXkaSTlO43bWvCw_18_0"/>
      <w:bookmarkStart w:id="178" w:name="Tc_EucQwJfRu0CcbNcKF7IgOg_16_0"/>
      <w:bookmarkStart w:id="179" w:name="Tc_er4pN_CSUE-LPCQvrpwQxQ_15_0"/>
      <w:bookmarkStart w:id="180" w:name="Tc_mvCsqcb3kUOrkjyJrHH3xw_14_3"/>
      <w:bookmarkStart w:id="181" w:name="Tc_9L7NEYY_sEmGyoB5RCd9Mg_14_0"/>
      <w:bookmarkStart w:id="182" w:name="Tc_zjTUXARLyE60qZnQhlraOw_13_0"/>
      <w:bookmarkStart w:id="183" w:name="Tc_gTFH1EiFTE-RvXhQHv79kQ_12_0"/>
      <w:bookmarkStart w:id="184" w:name="Tc_xZNEWbkXVkKHlF7Y7fnEDA_11_0"/>
      <w:bookmarkStart w:id="185" w:name="Tc_7Ws71KmeGEOU9LGxCScUJA_10_0"/>
      <w:bookmarkStart w:id="186" w:name="Tc_zYosQpMvuEal-a9rrAO3kQ_9_0"/>
      <w:bookmarkStart w:id="187" w:name="Tc_n1XJl1ofzUOu9PjOBTb4MQ_7_0"/>
      <w:bookmarkStart w:id="188" w:name="Tc_L3NwPLpOI02jO231FNCJcA_6_0"/>
      <w:bookmarkStart w:id="189" w:name="Tc_a7FoXGtpBE2Orv8-TVtKDA_5_5"/>
      <w:bookmarkStart w:id="190" w:name="Tc_lfeujELkv06Rdo2BLJ_srg_5_2"/>
      <w:bookmarkStart w:id="191" w:name="Tc_vDNhhhXoEEyDZ0vSLF0lcg_5_0"/>
      <w:bookmarkStart w:id="192" w:name="Tc_WyhvcolRuEmgssUHjIKpMQ_4_0"/>
      <w:bookmarkStart w:id="193" w:name="Tc_KBUzIMItmU-e65EuaeCIOg_3_5"/>
      <w:bookmarkStart w:id="194" w:name="Tc_QZ0kRHbX8kmxC7FgbayAWw_3_2"/>
      <w:bookmarkStart w:id="195" w:name="Tc_Lbk1u9tVuU228DqGj8deMw_2_2"/>
      <w:bookmarkStart w:id="196" w:name="Tc__rb02XL3Q0-9LKVzJUT9zQ_1_2"/>
      <w:bookmarkStart w:id="197" w:name="_50f5b214_019e_4988_a171_e698862437c2"/>
      <w:bookmarkStart w:id="198" w:name="_7bfe9e89_9db7_4b79_9dc6_64e1b8bef69f"/>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8827" w:type="dxa"/>
        <w:jc w:val="left"/>
        <w:tblInd w:w="0" w:type="dxa"/>
        <w:tblLayout w:type="fixed"/>
        <w:tblCellMar>
          <w:top w:w="0" w:type="dxa"/>
          <w:left w:w="0" w:type="dxa"/>
          <w:bottom w:w="0" w:type="dxa"/>
          <w:right w:w="0" w:type="dxa"/>
        </w:tblCellMar>
      </w:tblPr>
      <w:tblGrid>
        <w:gridCol w:w="5386"/>
        <w:gridCol w:w="346"/>
        <w:gridCol w:w="211"/>
        <w:gridCol w:w="1141"/>
        <w:gridCol w:w="346"/>
        <w:gridCol w:w="211"/>
        <w:gridCol w:w="118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420110" cy="175260"/>
                      <wp:effectExtent l="0" t="0" r="0" b="0"/>
                      <wp:wrapNone/>
                      <wp:docPr id="8" name="Frame8"/>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24535" cy="175260"/>
                      <wp:effectExtent l="0" t="0" r="0" b="0"/>
                      <wp:wrapNone/>
                      <wp:docPr id="11" name="Frame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53110" cy="175260"/>
                      <wp:effectExtent l="0" t="0" r="0" b="0"/>
                      <wp:wrapNone/>
                      <wp:docPr id="14" name="Frame1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research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53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11,584</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19,539</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(18,084)</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royalty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128,810,050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122,390,303</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marketable securities, net of tax of $0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(14,748)</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9" w:name="_d1c5a217_90ea_474c_adcf_a754fd0136f2"/>
      <w:bookmarkEnd w:id="199"/>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w:t>
      </w:r>
    </w:p>
    <w:p>
      <w:pPr>
        <w:pStyle w:val="TextBody"/>
        <w:bidi w:val="0"/>
        <w:spacing w:before="0" w:after="0"/>
        <w:ind w:left="0" w:right="0" w:hanging="0"/>
        <w:jc w:val="center"/>
        <w:rPr>
          <w:rFonts w:ascii="Times New Roman;Times;serif" w:hAnsi="Times New Roman;Times;serif"/>
          <w:b/>
          <w:sz w:val="20"/>
        </w:rPr>
      </w:pPr>
      <w:bookmarkStart w:id="200" w:name="CONDENSEDCONSOLIDATEDSTATEMENTOFSTOCKHOL"/>
      <w:bookmarkEnd w:id="200"/>
      <w:r>
        <w:rPr>
          <w:rFonts w:ascii="Times New Roman;Times;serif" w:hAnsi="Times New Roman;Times;serif"/>
          <w:b/>
          <w:sz w:val="20"/>
        </w:rPr>
        <w:t>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1" w:name="Tc_LqAWzNsKQkydxIboj77EAA_11_15"/>
      <w:bookmarkStart w:id="202" w:name="Tc_qutAG1UejEqJnwLd1uNyQg_11_12"/>
      <w:bookmarkStart w:id="203" w:name="Tc_Ex6SpH1JRkWXiqkTUIux3A_11_9"/>
      <w:bookmarkStart w:id="204" w:name="Tc_WG_jEYKcdkCBsBEVmiIDfA_11_6"/>
      <w:bookmarkStart w:id="205" w:name="Tc_9LPanRS5ykSi0B_VfCup4w_11_3"/>
      <w:bookmarkStart w:id="206" w:name="Tc_6xniGZQUk0mjiS0e9OdIUQ_11_0"/>
      <w:bookmarkStart w:id="207" w:name="Tc_d9sJ9PVvw0GK7RCbjxRdxg_10_10"/>
      <w:bookmarkStart w:id="208" w:name="Tc_v_qWtgSsnkqiZIJT-1J6jQ_10_7"/>
      <w:bookmarkStart w:id="209" w:name="Tc_5tgf1K4jVUioMjIdsnrwZQ_10_4"/>
      <w:bookmarkStart w:id="210" w:name="Tc_buZDeYIgs0muUqt1-gMlsw_10_1"/>
      <w:bookmarkStart w:id="211" w:name="Tc_q2mMyKcu0Eey-cxMAIbxtg_10_0"/>
      <w:bookmarkStart w:id="212" w:name="Tc_Bv3pSuIt6kKcjdfUwGnUhg_9_13"/>
      <w:bookmarkStart w:id="213" w:name="Tc_hUEPxYvM1UilEqXjry8kzQ_9_10"/>
      <w:bookmarkStart w:id="214" w:name="Tc_d5fEKcLv-0O19e13Mhy9Zg_9_4"/>
      <w:bookmarkStart w:id="215" w:name="Tc_PmyN1IkZ_ECSSy15sJsQKA_9_1"/>
      <w:bookmarkStart w:id="216" w:name="Tc_n1Nzl3irU0yLNCsJsgVRUQ_9_0"/>
      <w:bookmarkStart w:id="217" w:name="Tc_z3lxGuBL8UKj44ZmlrieTw_8_13"/>
      <w:bookmarkStart w:id="218" w:name="Tc_dW7UIVhfPUu5vuBT2LMp9g_8_7"/>
      <w:bookmarkStart w:id="219" w:name="Tc_pZpNl5--zUiVyssyGXamsw_8_4"/>
      <w:bookmarkStart w:id="220" w:name="Tc_nsLxiGPedUaX7Q8936lPEg_8_1"/>
      <w:bookmarkStart w:id="221" w:name="Tc_1N8cyiHow0K3KqreNc9omw_8_0"/>
      <w:bookmarkStart w:id="222" w:name="Tc_wAu-J75c_UGPNbAXXGzNqg_7_13"/>
      <w:bookmarkStart w:id="223" w:name="Tc_MU0W5C044ESXJ7KtUKiV9Q_7_10"/>
      <w:bookmarkStart w:id="224" w:name="Tc_xhbt-1CBUkmLWb6vEZrztQ_7_4"/>
      <w:bookmarkStart w:id="225" w:name="Tc_jElrtBknjkWZm_oj3Vg5KA_7_0"/>
      <w:bookmarkStart w:id="226" w:name="Tc_TxbUe1Sw7UCM6oDJPhfr0g_6_13"/>
      <w:bookmarkStart w:id="227" w:name="Tc_3IWlAk4fnUeoFhDa2rPC2A_6_10"/>
      <w:bookmarkStart w:id="228" w:name="Tc_G_Weu5svjU-43kg8zPqboA_6_4"/>
      <w:bookmarkStart w:id="229" w:name="Tc_SzqmkbEGVUaBNly5mYC6ZA_6_0"/>
      <w:bookmarkStart w:id="230" w:name="Tc_FYhxJwYEmEix-lR0Zmzgqw_5_15"/>
      <w:bookmarkStart w:id="231" w:name="Tc_kH-Hex4Oykaa7Yh0c91giQ_5_12"/>
      <w:bookmarkStart w:id="232" w:name="Tc_TBaaDIv68k6OqA3r96JLgQ_5_9"/>
      <w:bookmarkStart w:id="233" w:name="Tc_Py_B6LGk0UiAyZATnuF8hA_5_6"/>
      <w:bookmarkStart w:id="234" w:name="Tc_MG1Qz9Mot0SoUJqwPb7YcA_5_3"/>
      <w:bookmarkStart w:id="235" w:name="Tc_ui3ddOdaGEyXSp9jtFfccA_5_0"/>
      <w:bookmarkStart w:id="236" w:name="Tc_xowQ2kMi9ESX4ww1cvcHTQ_4_15"/>
      <w:bookmarkStart w:id="237" w:name="Tc_yidVCpHtZU6E0rpt0wakfA_4_12"/>
      <w:bookmarkStart w:id="238" w:name="Tc_cnJ_EyaCFUKheq8wK0-tJA_4_9"/>
      <w:bookmarkStart w:id="239" w:name="Tc_BZETbUScDE60vayYKTun8Q_4_6"/>
      <w:bookmarkStart w:id="240" w:name="Tc_XgQ_kUfurkqNy9XdLDWg_w_4_3"/>
      <w:bookmarkStart w:id="241" w:name="Tc_zFyA8z_btU6ryH_R-oie3g_4_1"/>
      <w:bookmarkStart w:id="242" w:name="Tc_hEnGR4GWuEWnHTezkeNVKQ_3_15"/>
      <w:bookmarkStart w:id="243" w:name="Tc_CWxDTqqDeEW0p2-ZZnecqg_3_12"/>
      <w:bookmarkStart w:id="244" w:name="Tc_bu46_spo2USmG8bQLqhDVw_3_9"/>
      <w:bookmarkStart w:id="245" w:name="Tc_D-F0HHrwd0OddgggFsKcDw_3_6"/>
      <w:bookmarkStart w:id="246" w:name="Tc_zs-aDPHOiEy44rgq3GXqCg_3_3"/>
      <w:bookmarkStart w:id="247" w:name="Tc_Hq9jnrYbkkGtWklhseSvYA_2_15"/>
      <w:bookmarkStart w:id="248" w:name="Tc_4FmDgzfih0SoYCV-VXg0gQ_2_9"/>
      <w:bookmarkStart w:id="249" w:name="Tc_nVIBxL3jHEKHlSooTml1_g_2_6"/>
      <w:bookmarkStart w:id="250" w:name="Tc_KNJzupfLVkieqiqAaGekrA_2_1"/>
      <w:bookmarkStart w:id="251" w:name="Tc_WQLSTPPePkq2gSeIzeb7Lw_1_9"/>
      <w:bookmarkStart w:id="252" w:name="_ba80887a_c706_4e0d_98e9_4593f472994d"/>
      <w:bookmarkStart w:id="253" w:name="Tc_LqAWzNsKQkydxIboj77EAA_11_15"/>
      <w:bookmarkStart w:id="254" w:name="Tc_qutAG1UejEqJnwLd1uNyQg_11_12"/>
      <w:bookmarkStart w:id="255" w:name="Tc_Ex6SpH1JRkWXiqkTUIux3A_11_9"/>
      <w:bookmarkStart w:id="256" w:name="Tc_WG_jEYKcdkCBsBEVmiIDfA_11_6"/>
      <w:bookmarkStart w:id="257" w:name="Tc_9LPanRS5ykSi0B_VfCup4w_11_3"/>
      <w:bookmarkStart w:id="258" w:name="Tc_6xniGZQUk0mjiS0e9OdIUQ_11_0"/>
      <w:bookmarkStart w:id="259" w:name="Tc_d9sJ9PVvw0GK7RCbjxRdxg_10_10"/>
      <w:bookmarkStart w:id="260" w:name="Tc_v_qWtgSsnkqiZIJT-1J6jQ_10_7"/>
      <w:bookmarkStart w:id="261" w:name="Tc_5tgf1K4jVUioMjIdsnrwZQ_10_4"/>
      <w:bookmarkStart w:id="262" w:name="Tc_buZDeYIgs0muUqt1-gMlsw_10_1"/>
      <w:bookmarkStart w:id="263" w:name="Tc_q2mMyKcu0Eey-cxMAIbxtg_10_0"/>
      <w:bookmarkStart w:id="264" w:name="Tc_Bv3pSuIt6kKcjdfUwGnUhg_9_13"/>
      <w:bookmarkStart w:id="265" w:name="Tc_hUEPxYvM1UilEqXjry8kzQ_9_10"/>
      <w:bookmarkStart w:id="266" w:name="Tc_d5fEKcLv-0O19e13Mhy9Zg_9_4"/>
      <w:bookmarkStart w:id="267" w:name="Tc_PmyN1IkZ_ECSSy15sJsQKA_9_1"/>
      <w:bookmarkStart w:id="268" w:name="Tc_n1Nzl3irU0yLNCsJsgVRUQ_9_0"/>
      <w:bookmarkStart w:id="269" w:name="Tc_z3lxGuBL8UKj44ZmlrieTw_8_13"/>
      <w:bookmarkStart w:id="270" w:name="Tc_dW7UIVhfPUu5vuBT2LMp9g_8_7"/>
      <w:bookmarkStart w:id="271" w:name="Tc_pZpNl5--zUiVyssyGXamsw_8_4"/>
      <w:bookmarkStart w:id="272" w:name="Tc_nsLxiGPedUaX7Q8936lPEg_8_1"/>
      <w:bookmarkStart w:id="273" w:name="Tc_1N8cyiHow0K3KqreNc9omw_8_0"/>
      <w:bookmarkStart w:id="274" w:name="Tc_wAu-J75c_UGPNbAXXGzNqg_7_13"/>
      <w:bookmarkStart w:id="275" w:name="Tc_MU0W5C044ESXJ7KtUKiV9Q_7_10"/>
      <w:bookmarkStart w:id="276" w:name="Tc_xhbt-1CBUkmLWb6vEZrztQ_7_4"/>
      <w:bookmarkStart w:id="277" w:name="Tc_jElrtBknjkWZm_oj3Vg5KA_7_0"/>
      <w:bookmarkStart w:id="278" w:name="Tc_TxbUe1Sw7UCM6oDJPhfr0g_6_13"/>
      <w:bookmarkStart w:id="279" w:name="Tc_3IWlAk4fnUeoFhDa2rPC2A_6_10"/>
      <w:bookmarkStart w:id="280" w:name="Tc_G_Weu5svjU-43kg8zPqboA_6_4"/>
      <w:bookmarkStart w:id="281" w:name="Tc_SzqmkbEGVUaBNly5mYC6ZA_6_0"/>
      <w:bookmarkStart w:id="282" w:name="Tc_FYhxJwYEmEix-lR0Zmzgqw_5_15"/>
      <w:bookmarkStart w:id="283" w:name="Tc_kH-Hex4Oykaa7Yh0c91giQ_5_12"/>
      <w:bookmarkStart w:id="284" w:name="Tc_TBaaDIv68k6OqA3r96JLgQ_5_9"/>
      <w:bookmarkStart w:id="285" w:name="Tc_Py_B6LGk0UiAyZATnuF8hA_5_6"/>
      <w:bookmarkStart w:id="286" w:name="Tc_MG1Qz9Mot0SoUJqwPb7YcA_5_3"/>
      <w:bookmarkStart w:id="287" w:name="Tc_ui3ddOdaGEyXSp9jtFfccA_5_0"/>
      <w:bookmarkStart w:id="288" w:name="Tc_xowQ2kMi9ESX4ww1cvcHTQ_4_15"/>
      <w:bookmarkStart w:id="289" w:name="Tc_yidVCpHtZU6E0rpt0wakfA_4_12"/>
      <w:bookmarkStart w:id="290" w:name="Tc_cnJ_EyaCFUKheq8wK0-tJA_4_9"/>
      <w:bookmarkStart w:id="291" w:name="Tc_BZETbUScDE60vayYKTun8Q_4_6"/>
      <w:bookmarkStart w:id="292" w:name="Tc_XgQ_kUfurkqNy9XdLDWg_w_4_3"/>
      <w:bookmarkStart w:id="293" w:name="Tc_zFyA8z_btU6ryH_R-oie3g_4_1"/>
      <w:bookmarkStart w:id="294" w:name="Tc_hEnGR4GWuEWnHTezkeNVKQ_3_15"/>
      <w:bookmarkStart w:id="295" w:name="Tc_CWxDTqqDeEW0p2-ZZnecqg_3_12"/>
      <w:bookmarkStart w:id="296" w:name="Tc_bu46_spo2USmG8bQLqhDVw_3_9"/>
      <w:bookmarkStart w:id="297" w:name="Tc_D-F0HHrwd0OddgggFsKcDw_3_6"/>
      <w:bookmarkStart w:id="298" w:name="Tc_zs-aDPHOiEy44rgq3GXqCg_3_3"/>
      <w:bookmarkStart w:id="299" w:name="Tc_Hq9jnrYbkkGtWklhseSvYA_2_15"/>
      <w:bookmarkStart w:id="300" w:name="Tc_4FmDgzfih0SoYCV-VXg0gQ_2_9"/>
      <w:bookmarkStart w:id="301" w:name="Tc_nVIBxL3jHEKHlSooTml1_g_2_6"/>
      <w:bookmarkStart w:id="302" w:name="Tc_KNJzupfLVkieqiqAaGekrA_2_1"/>
      <w:bookmarkStart w:id="303" w:name="Tc_WQLSTPPePkq2gSeIzeb7Lw_1_9"/>
      <w:bookmarkStart w:id="304" w:name="_ba80887a_c706_4e0d_98e9_4593f472994d"/>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tbl>
      <w:tblPr>
        <w:tblW w:w="10205" w:type="dxa"/>
        <w:jc w:val="left"/>
        <w:tblInd w:w="0" w:type="dxa"/>
        <w:tblLayout w:type="fixed"/>
        <w:tblCellMar>
          <w:top w:w="0" w:type="dxa"/>
          <w:left w:w="0" w:type="dxa"/>
          <w:bottom w:w="0" w:type="dxa"/>
          <w:right w:w="0" w:type="dxa"/>
        </w:tblCellMar>
      </w:tblPr>
      <w:tblGrid>
        <w:gridCol w:w="3141"/>
        <w:gridCol w:w="1006"/>
        <w:gridCol w:w="226"/>
        <w:gridCol w:w="196"/>
        <w:gridCol w:w="346"/>
        <w:gridCol w:w="226"/>
        <w:gridCol w:w="196"/>
        <w:gridCol w:w="826"/>
        <w:gridCol w:w="226"/>
        <w:gridCol w:w="376"/>
        <w:gridCol w:w="840"/>
        <w:gridCol w:w="226"/>
        <w:gridCol w:w="217"/>
        <w:gridCol w:w="834"/>
        <w:gridCol w:w="226"/>
        <w:gridCol w:w="215"/>
        <w:gridCol w:w="882"/>
      </w:tblGrid>
      <w:tr>
        <w:trPr/>
        <w:tc>
          <w:tcPr>
            <w:tcW w:w="3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994535" cy="175260"/>
                      <wp:effectExtent l="0" t="0" r="0" b="0"/>
                      <wp:wrapNone/>
                      <wp:docPr id="15" name="Frame15"/>
                      <a:graphic xmlns:a="http://schemas.openxmlformats.org/drawingml/2006/main">
                        <a:graphicData uri="http://schemas.microsoft.com/office/word/2010/wordprocessingShape">
                          <wps:wsp>
                            <wps:cNvSpPr txBox="1"/>
                            <wps:spPr>
                              <a:xfrm>
                                <a:off x="0" y="0"/>
                                <a:ext cx="199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38810" cy="175260"/>
                      <wp:effectExtent l="0" t="0" r="0" b="0"/>
                      <wp:wrapNone/>
                      <wp:docPr id="16" name="Frame1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3510" cy="175260"/>
                      <wp:effectExtent l="0" t="0" r="0" b="0"/>
                      <wp:wrapNone/>
                      <wp:docPr id="17" name="Frame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3510" cy="175260"/>
                      <wp:effectExtent l="0" t="0" r="0" b="0"/>
                      <wp:wrapNone/>
                      <wp:docPr id="20" name="Frame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24510" cy="175260"/>
                      <wp:effectExtent l="0" t="0" r="0" b="0"/>
                      <wp:wrapNone/>
                      <wp:docPr id="22" name="Frame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8760" cy="175260"/>
                      <wp:effectExtent l="0" t="0" r="0" b="0"/>
                      <wp:wrapNone/>
                      <wp:docPr id="24" name="Frame2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33400" cy="175260"/>
                      <wp:effectExtent l="0" t="0" r="0" b="0"/>
                      <wp:wrapNone/>
                      <wp:docPr id="25" name="Frame2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7795" cy="175260"/>
                      <wp:effectExtent l="0" t="0" r="0" b="0"/>
                      <wp:wrapNone/>
                      <wp:docPr id="27" name="Frame2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9590" cy="175260"/>
                      <wp:effectExtent l="0" t="0" r="0" b="0"/>
                      <wp:wrapNone/>
                      <wp:docPr id="28" name="Frame2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3510" cy="175260"/>
                      <wp:effectExtent l="0" t="0" r="0" b="0"/>
                      <wp:wrapNone/>
                      <wp:docPr id="29"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6525" cy="175260"/>
                      <wp:effectExtent l="0" t="0" r="0" b="0"/>
                      <wp:wrapNone/>
                      <wp:docPr id="30" name="Frame3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60070" cy="175260"/>
                      <wp:effectExtent l="0" t="0" r="0" b="0"/>
                      <wp:wrapNone/>
                      <wp:docPr id="31" name="Frame31"/>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4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center"/>
              <w:rPr/>
            </w:pPr>
            <w:r>
              <w:rPr/>
              <w:t>​</w:t>
            </w:r>
          </w:p>
        </w:tc>
      </w:tr>
      <w:tr>
        <w:trPr/>
        <w:tc>
          <w:tcPr>
            <w:tcW w:w="3141" w:type="dxa"/>
            <w:tcBorders/>
            <w:vAlign w:val="center"/>
          </w:tcPr>
          <w:p>
            <w:pPr>
              <w:pStyle w:val="TableContents"/>
              <w:bidi w:val="0"/>
              <w:spacing w:before="0" w:after="0"/>
              <w:ind w:left="0" w:right="0" w:hanging="0"/>
              <w:jc w:val="left"/>
              <w:rPr/>
            </w:pPr>
            <w:r>
              <w:rPr/>
              <w:t>​</w:t>
            </w:r>
          </w:p>
        </w:tc>
        <w:tc>
          <w:tcPr>
            <w:tcW w:w="17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4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5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41"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Shares </w:t>
            </w:r>
          </w:p>
        </w:tc>
        <w:tc>
          <w:tcPr>
            <w:tcW w:w="226" w:type="dxa"/>
            <w:tcBorders/>
            <w:vAlign w:val="center"/>
          </w:tcPr>
          <w:p>
            <w:pPr>
              <w:pStyle w:val="TableContents"/>
              <w:bidi w:val="0"/>
              <w:spacing w:before="0" w:after="0"/>
              <w:ind w:left="0" w:right="0" w:hanging="0"/>
              <w:jc w:val="left"/>
              <w:rPr/>
            </w:pPr>
            <w:r>
              <w:rPr/>
              <w:t>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1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120,499,433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1,070,255</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(967,784)</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103,082</w:t>
            </w:r>
          </w:p>
        </w:tc>
      </w:tr>
      <w:tr>
        <w:trPr/>
        <w:tc>
          <w:tcPr>
            <w:tcW w:w="31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exercise of stock options and vesting of restricted stock units</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744,453</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31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at-the-market sales agreement, net of offering costs of $1,884</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18,408,963</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57,880</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57,880</w:t>
            </w:r>
          </w:p>
        </w:tc>
      </w:tr>
      <w:tr>
        <w:trPr/>
        <w:tc>
          <w:tcPr>
            <w:tcW w:w="31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Unrealized loss on marketable securities </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w:t>
            </w:r>
          </w:p>
        </w:tc>
      </w:tr>
      <w:tr>
        <w:trPr/>
        <w:tc>
          <w:tcPr>
            <w:tcW w:w="31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3,198</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3,198</w:t>
            </w:r>
          </w:p>
        </w:tc>
      </w:tr>
      <w:tr>
        <w:trPr/>
        <w:tc>
          <w:tcPr>
            <w:tcW w:w="31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(19,824)</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(19,824)</w:t>
            </w:r>
          </w:p>
        </w:tc>
      </w:tr>
      <w:tr>
        <w:trPr/>
        <w:tc>
          <w:tcPr>
            <w:tcW w:w="31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139,652,849</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1,131,234</w:t>
            </w:r>
          </w:p>
        </w:tc>
        <w:tc>
          <w:tcPr>
            <w:tcW w:w="226" w:type="dxa"/>
            <w:tcBorders/>
            <w:shd w:fill="CCEEFF" w:val="clear"/>
            <w:vAlign w:val="center"/>
          </w:tcPr>
          <w:p>
            <w:pPr>
              <w:pStyle w:val="TableContents"/>
              <w:bidi w:val="0"/>
              <w:spacing w:before="0" w:after="0"/>
              <w:ind w:left="0" w:right="0" w:hanging="0"/>
              <w:jc w:val="righ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26" w:type="dxa"/>
            <w:tcBorders/>
            <w:shd w:fill="CCEEFF" w:val="clear"/>
            <w:vAlign w:val="center"/>
          </w:tcPr>
          <w:p>
            <w:pPr>
              <w:pStyle w:val="TableContents"/>
              <w:bidi w:val="0"/>
              <w:spacing w:before="0" w:after="0"/>
              <w:ind w:left="0" w:right="0" w:hanging="0"/>
              <w:jc w:val="righ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(987,608)</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143,649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5" w:name="Tc_XFw3cfrcM0yLL_U6UEpREA_10_15"/>
      <w:bookmarkStart w:id="306" w:name="Tc_g-TSUet5pUS-A16WtJgo3Q_10_12"/>
      <w:bookmarkStart w:id="307" w:name="Tc_CPKalM3CIESJITcIf157jg_10_9"/>
      <w:bookmarkStart w:id="308" w:name="Tc_elcmJwvUtUCZ3hzrpP57Kg_10_6"/>
      <w:bookmarkStart w:id="309" w:name="Tc_Bg3rVCVyVEu2v-LWN36l7g_10_3"/>
      <w:bookmarkStart w:id="310" w:name="Tc_9EYLZcItMESbm1ldINa8MQ_10_0"/>
      <w:bookmarkStart w:id="311" w:name="Tc_jQUYHxE6mEmp7k9LyP9VOw_9_10"/>
      <w:bookmarkStart w:id="312" w:name="Tc_1IwRCzRBqEGPowCna75oeg_9_7"/>
      <w:bookmarkStart w:id="313" w:name="Tc_ejYMp1uHM02K_HUnGT9UtQ_9_4"/>
      <w:bookmarkStart w:id="314" w:name="Tc__e8MB-TCQEWeTsTx3heryg_9_1"/>
      <w:bookmarkStart w:id="315" w:name="Tc_XS02L7C8nEOzxkJmw9e5FQ_9_0"/>
      <w:bookmarkStart w:id="316" w:name="Tc_DlRJAT6i_0G2i29u35sjpg_8_13"/>
      <w:bookmarkStart w:id="317" w:name="Tc_U9lOsPz06kiO-plkB4FMKw_8_10"/>
      <w:bookmarkStart w:id="318" w:name="Tc_DD91Mspvs0GAXBP_JwKnMg_8_4"/>
      <w:bookmarkStart w:id="319" w:name="Tc_rJTpQBX9_kCzUhilc3IJRw_8_1"/>
      <w:bookmarkStart w:id="320" w:name="Tc_GCpQkKARgkqlydOfylt_AQ_8_0"/>
      <w:bookmarkStart w:id="321" w:name="Tc_LVD1hEz9FUCGggm7rVpShg_7_13"/>
      <w:bookmarkStart w:id="322" w:name="Tc_WlfSMUFNAUerbWF_K4lSkg_7_7"/>
      <w:bookmarkStart w:id="323" w:name="Tc_QojhUfZFaEijNi0mg07vpA_7_4"/>
      <w:bookmarkStart w:id="324" w:name="Tc_WAdOusMLtUWqkzGtZgefaw_7_1"/>
      <w:bookmarkStart w:id="325" w:name="Tc_A27oBiaLVUGsXNuxzIZLHw_7_0"/>
      <w:bookmarkStart w:id="326" w:name="Tc_eqDjBbYCU0G4EmQIEO8_QQ_6_13"/>
      <w:bookmarkStart w:id="327" w:name="Tc_wWEx5jr_y0izA12jCLtNtw_6_10"/>
      <w:bookmarkStart w:id="328" w:name="Tc_qholDlsuLEallwkgwMhs1g_6_4"/>
      <w:bookmarkStart w:id="329" w:name="Tc_ZtvAHoY16E6ClCd4iOFETg_6_0"/>
      <w:bookmarkStart w:id="330" w:name="Tc_1rCcnFKlvU6i-rnpKiZuhg_5_15"/>
      <w:bookmarkStart w:id="331" w:name="Tc_wO6qqJMrCEO_eIQWMFQqEQ_5_12"/>
      <w:bookmarkStart w:id="332" w:name="Tc_YIcJA-r4ykiV7Wflm2UVRw_5_9"/>
      <w:bookmarkStart w:id="333" w:name="Tc_DrXdPWjTwk-4pYNA7mFTPg_5_6"/>
      <w:bookmarkStart w:id="334" w:name="Tc_H9DxNzpG_EiWzCcQgFLPfg_5_3"/>
      <w:bookmarkStart w:id="335" w:name="Tc_iTptWDFJKUSPSCO3LrzL1A_5_0"/>
      <w:bookmarkStart w:id="336" w:name="Tc_gAZMaqxBEEihpeRhgTpmSQ_4_15"/>
      <w:bookmarkStart w:id="337" w:name="Tc_XUqGP0UhK0GsVLguxjyP-A_4_12"/>
      <w:bookmarkStart w:id="338" w:name="Tc_93h9z4LQ8UifXOpcLzDemA_4_9"/>
      <w:bookmarkStart w:id="339" w:name="Tc_8gm25Dp27kebSOEWd2NuGA_4_6"/>
      <w:bookmarkStart w:id="340" w:name="Tc_N2mgDeJcnUa_GVDOknjU_g_4_3"/>
      <w:bookmarkStart w:id="341" w:name="Tc_UpeOgemSnkWQ0Po3oYgSUw_4_1"/>
      <w:bookmarkStart w:id="342" w:name="Tc_CXoaVuuMzkelyaxfswZt9g_3_15"/>
      <w:bookmarkStart w:id="343" w:name="Tc_u4vrfgBED0enlhTn7qrTQw_3_12"/>
      <w:bookmarkStart w:id="344" w:name="Tc_irtpc68evEWDZODOmh1o2g_3_9"/>
      <w:bookmarkStart w:id="345" w:name="Tc_1dU2Ix4MXUurarPoimtcVA_3_6"/>
      <w:bookmarkStart w:id="346" w:name="Tc_MtB4oqXEVUel34vhaLHGhw_3_3"/>
      <w:bookmarkStart w:id="347" w:name="Tc_4pQqgK3XNEuScz_Kp4lu-Q_2_15"/>
      <w:bookmarkStart w:id="348" w:name="Tc_HFcC7u14DU2kN-UxgWv6yA_2_9"/>
      <w:bookmarkStart w:id="349" w:name="Tc_FAa8WXzOrEe_IQtPdesuSQ_2_6"/>
      <w:bookmarkStart w:id="350" w:name="Tc_ruVc13PSDUKTrUz33iiLMg_2_1"/>
      <w:bookmarkStart w:id="351" w:name="Tc_KNudCexPj0-9bi278jGtmQ_1_9"/>
      <w:bookmarkStart w:id="352" w:name="_012d21c4_9a64_4e34_93a5_30333c6b4e1e"/>
      <w:bookmarkStart w:id="353" w:name="Tc_XFw3cfrcM0yLL_U6UEpREA_10_15"/>
      <w:bookmarkStart w:id="354" w:name="Tc_g-TSUet5pUS-A16WtJgo3Q_10_12"/>
      <w:bookmarkStart w:id="355" w:name="Tc_CPKalM3CIESJITcIf157jg_10_9"/>
      <w:bookmarkStart w:id="356" w:name="Tc_elcmJwvUtUCZ3hzrpP57Kg_10_6"/>
      <w:bookmarkStart w:id="357" w:name="Tc_Bg3rVCVyVEu2v-LWN36l7g_10_3"/>
      <w:bookmarkStart w:id="358" w:name="Tc_9EYLZcItMESbm1ldINa8MQ_10_0"/>
      <w:bookmarkStart w:id="359" w:name="Tc_jQUYHxE6mEmp7k9LyP9VOw_9_10"/>
      <w:bookmarkStart w:id="360" w:name="Tc_1IwRCzRBqEGPowCna75oeg_9_7"/>
      <w:bookmarkStart w:id="361" w:name="Tc_ejYMp1uHM02K_HUnGT9UtQ_9_4"/>
      <w:bookmarkStart w:id="362" w:name="Tc__e8MB-TCQEWeTsTx3heryg_9_1"/>
      <w:bookmarkStart w:id="363" w:name="Tc_XS02L7C8nEOzxkJmw9e5FQ_9_0"/>
      <w:bookmarkStart w:id="364" w:name="Tc_DlRJAT6i_0G2i29u35sjpg_8_13"/>
      <w:bookmarkStart w:id="365" w:name="Tc_U9lOsPz06kiO-plkB4FMKw_8_10"/>
      <w:bookmarkStart w:id="366" w:name="Tc_DD91Mspvs0GAXBP_JwKnMg_8_4"/>
      <w:bookmarkStart w:id="367" w:name="Tc_rJTpQBX9_kCzUhilc3IJRw_8_1"/>
      <w:bookmarkStart w:id="368" w:name="Tc_GCpQkKARgkqlydOfylt_AQ_8_0"/>
      <w:bookmarkStart w:id="369" w:name="Tc_LVD1hEz9FUCGggm7rVpShg_7_13"/>
      <w:bookmarkStart w:id="370" w:name="Tc_WlfSMUFNAUerbWF_K4lSkg_7_7"/>
      <w:bookmarkStart w:id="371" w:name="Tc_QojhUfZFaEijNi0mg07vpA_7_4"/>
      <w:bookmarkStart w:id="372" w:name="Tc_WAdOusMLtUWqkzGtZgefaw_7_1"/>
      <w:bookmarkStart w:id="373" w:name="Tc_A27oBiaLVUGsXNuxzIZLHw_7_0"/>
      <w:bookmarkStart w:id="374" w:name="Tc_eqDjBbYCU0G4EmQIEO8_QQ_6_13"/>
      <w:bookmarkStart w:id="375" w:name="Tc_wWEx5jr_y0izA12jCLtNtw_6_10"/>
      <w:bookmarkStart w:id="376" w:name="Tc_qholDlsuLEallwkgwMhs1g_6_4"/>
      <w:bookmarkStart w:id="377" w:name="Tc_ZtvAHoY16E6ClCd4iOFETg_6_0"/>
      <w:bookmarkStart w:id="378" w:name="Tc_1rCcnFKlvU6i-rnpKiZuhg_5_15"/>
      <w:bookmarkStart w:id="379" w:name="Tc_wO6qqJMrCEO_eIQWMFQqEQ_5_12"/>
      <w:bookmarkStart w:id="380" w:name="Tc_YIcJA-r4ykiV7Wflm2UVRw_5_9"/>
      <w:bookmarkStart w:id="381" w:name="Tc_DrXdPWjTwk-4pYNA7mFTPg_5_6"/>
      <w:bookmarkStart w:id="382" w:name="Tc_H9DxNzpG_EiWzCcQgFLPfg_5_3"/>
      <w:bookmarkStart w:id="383" w:name="Tc_iTptWDFJKUSPSCO3LrzL1A_5_0"/>
      <w:bookmarkStart w:id="384" w:name="Tc_gAZMaqxBEEihpeRhgTpmSQ_4_15"/>
      <w:bookmarkStart w:id="385" w:name="Tc_XUqGP0UhK0GsVLguxjyP-A_4_12"/>
      <w:bookmarkStart w:id="386" w:name="Tc_93h9z4LQ8UifXOpcLzDemA_4_9"/>
      <w:bookmarkStart w:id="387" w:name="Tc_8gm25Dp27kebSOEWd2NuGA_4_6"/>
      <w:bookmarkStart w:id="388" w:name="Tc_N2mgDeJcnUa_GVDOknjU_g_4_3"/>
      <w:bookmarkStart w:id="389" w:name="Tc_UpeOgemSnkWQ0Po3oYgSUw_4_1"/>
      <w:bookmarkStart w:id="390" w:name="Tc_CXoaVuuMzkelyaxfswZt9g_3_15"/>
      <w:bookmarkStart w:id="391" w:name="Tc_u4vrfgBED0enlhTn7qrTQw_3_12"/>
      <w:bookmarkStart w:id="392" w:name="Tc_irtpc68evEWDZODOmh1o2g_3_9"/>
      <w:bookmarkStart w:id="393" w:name="Tc_1dU2Ix4MXUurarPoimtcVA_3_6"/>
      <w:bookmarkStart w:id="394" w:name="Tc_MtB4oqXEVUel34vhaLHGhw_3_3"/>
      <w:bookmarkStart w:id="395" w:name="Tc_4pQqgK3XNEuScz_Kp4lu-Q_2_15"/>
      <w:bookmarkStart w:id="396" w:name="Tc_HFcC7u14DU2kN-UxgWv6yA_2_9"/>
      <w:bookmarkStart w:id="397" w:name="Tc_FAa8WXzOrEe_IQtPdesuSQ_2_6"/>
      <w:bookmarkStart w:id="398" w:name="Tc_ruVc13PSDUKTrUz33iiLMg_2_1"/>
      <w:bookmarkStart w:id="399" w:name="Tc_KNudCexPj0-9bi278jGtmQ_1_9"/>
      <w:bookmarkStart w:id="400" w:name="_012d21c4_9a64_4e34_93a5_30333c6b4e1e"/>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tbl>
      <w:tblPr>
        <w:tblW w:w="10205" w:type="dxa"/>
        <w:jc w:val="left"/>
        <w:tblInd w:w="0" w:type="dxa"/>
        <w:tblLayout w:type="fixed"/>
        <w:tblCellMar>
          <w:top w:w="0" w:type="dxa"/>
          <w:left w:w="0" w:type="dxa"/>
          <w:bottom w:w="0" w:type="dxa"/>
          <w:right w:w="0" w:type="dxa"/>
        </w:tblCellMar>
      </w:tblPr>
      <w:tblGrid>
        <w:gridCol w:w="3132"/>
        <w:gridCol w:w="1006"/>
        <w:gridCol w:w="226"/>
        <w:gridCol w:w="196"/>
        <w:gridCol w:w="346"/>
        <w:gridCol w:w="226"/>
        <w:gridCol w:w="196"/>
        <w:gridCol w:w="826"/>
        <w:gridCol w:w="226"/>
        <w:gridCol w:w="416"/>
        <w:gridCol w:w="800"/>
        <w:gridCol w:w="226"/>
        <w:gridCol w:w="217"/>
        <w:gridCol w:w="834"/>
        <w:gridCol w:w="226"/>
        <w:gridCol w:w="217"/>
        <w:gridCol w:w="889"/>
      </w:tblGrid>
      <w:tr>
        <w:trPr/>
        <w:tc>
          <w:tcPr>
            <w:tcW w:w="3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988820" cy="175260"/>
                      <wp:effectExtent l="0" t="0" r="0" b="0"/>
                      <wp:wrapNone/>
                      <wp:docPr id="32" name="Frame32"/>
                      <a:graphic xmlns:a="http://schemas.openxmlformats.org/drawingml/2006/main">
                        <a:graphicData uri="http://schemas.microsoft.com/office/word/2010/wordprocessingShape">
                          <wps:wsp>
                            <wps:cNvSpPr txBox="1"/>
                            <wps:spPr>
                              <a:xfrm>
                                <a:off x="0" y="0"/>
                                <a:ext cx="198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38810" cy="175260"/>
                      <wp:effectExtent l="0" t="0" r="0" b="0"/>
                      <wp:wrapNone/>
                      <wp:docPr id="33" name="Frame3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4"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7"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24510" cy="175260"/>
                      <wp:effectExtent l="0" t="0" r="0" b="0"/>
                      <wp:wrapNone/>
                      <wp:docPr id="39" name="Frame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40"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64160" cy="175260"/>
                      <wp:effectExtent l="0" t="0" r="0" b="0"/>
                      <wp:wrapNone/>
                      <wp:docPr id="41" name="Frame41"/>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8000" cy="175260"/>
                      <wp:effectExtent l="0" t="0" r="0" b="0"/>
                      <wp:wrapNone/>
                      <wp:docPr id="42" name="Frame42"/>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43" name="Frame4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7795" cy="175260"/>
                      <wp:effectExtent l="0" t="0" r="0" b="0"/>
                      <wp:wrapNone/>
                      <wp:docPr id="44" name="Frame4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29590" cy="175260"/>
                      <wp:effectExtent l="0" t="0" r="0" b="0"/>
                      <wp:wrapNone/>
                      <wp:docPr id="45" name="Frame4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3510" cy="175260"/>
                      <wp:effectExtent l="0" t="0" r="0" b="0"/>
                      <wp:wrapNone/>
                      <wp:docPr id="46" name="Frame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7795" cy="175260"/>
                      <wp:effectExtent l="0" t="0" r="0" b="0"/>
                      <wp:wrapNone/>
                      <wp:docPr id="47" name="Frame4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64515" cy="175260"/>
                      <wp:effectExtent l="0" t="0" r="0" b="0"/>
                      <wp:wrapNone/>
                      <wp:docPr id="48" name="Frame4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2"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center"/>
              <w:rPr/>
            </w:pPr>
            <w:r>
              <w:rPr/>
              <w:t>​</w:t>
            </w:r>
          </w:p>
        </w:tc>
      </w:tr>
      <w:tr>
        <w:trPr/>
        <w:tc>
          <w:tcPr>
            <w:tcW w:w="3132" w:type="dxa"/>
            <w:tcBorders/>
            <w:vAlign w:val="center"/>
          </w:tcPr>
          <w:p>
            <w:pPr>
              <w:pStyle w:val="TableContents"/>
              <w:bidi w:val="0"/>
              <w:spacing w:before="0" w:after="0"/>
              <w:ind w:left="0" w:right="0" w:hanging="0"/>
              <w:jc w:val="left"/>
              <w:rPr/>
            </w:pPr>
            <w:r>
              <w:rPr/>
              <w:t>​</w:t>
            </w:r>
          </w:p>
        </w:tc>
        <w:tc>
          <w:tcPr>
            <w:tcW w:w="17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32"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5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22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2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11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32"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Shares </w:t>
            </w:r>
          </w:p>
        </w:tc>
        <w:tc>
          <w:tcPr>
            <w:tcW w:w="226" w:type="dxa"/>
            <w:tcBorders/>
            <w:vAlign w:val="center"/>
          </w:tcPr>
          <w:p>
            <w:pPr>
              <w:pStyle w:val="TableContents"/>
              <w:bidi w:val="0"/>
              <w:spacing w:before="0" w:after="0"/>
              <w:ind w:left="0" w:right="0" w:hanging="0"/>
              <w:jc w:val="left"/>
              <w:rPr/>
            </w:pPr>
            <w:r>
              <w:rPr/>
              <w:t>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107,850,124</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1,058,317</w:t>
            </w:r>
          </w:p>
        </w:tc>
        <w:tc>
          <w:tcPr>
            <w:tcW w:w="2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(902,861)</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155,554</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vesting of restricted stock units</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415,405</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w:t>
            </w:r>
          </w:p>
        </w:tc>
        <w:tc>
          <w:tcPr>
            <w:tcW w:w="2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c>
          <w:tcPr>
            <w:tcW w:w="2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3,535</w:t>
            </w:r>
          </w:p>
        </w:tc>
      </w:tr>
      <w:tr>
        <w:trPr/>
        <w:tc>
          <w:tcPr>
            <w:tcW w:w="31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(15,085)</w:t>
            </w:r>
          </w:p>
        </w:tc>
        <w:tc>
          <w:tcPr>
            <w:tcW w:w="2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(15,085)</w:t>
            </w:r>
          </w:p>
        </w:tc>
      </w:tr>
      <w:tr>
        <w:trPr/>
        <w:tc>
          <w:tcPr>
            <w:tcW w:w="313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108,265,529</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1,061,577</w:t>
            </w:r>
          </w:p>
        </w:tc>
        <w:tc>
          <w:tcPr>
            <w:tcW w:w="226" w:type="dxa"/>
            <w:tcBorders/>
            <w:vAlign w:val="center"/>
          </w:tcPr>
          <w:p>
            <w:pPr>
              <w:pStyle w:val="TableContents"/>
              <w:bidi w:val="0"/>
              <w:spacing w:before="0" w:after="0"/>
              <w:ind w:left="0" w:right="0" w:hanging="0"/>
              <w:jc w:val="right"/>
              <w:rPr/>
            </w:pPr>
            <w:r>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226" w:type="dxa"/>
            <w:tcBorders/>
            <w:vAlign w:val="center"/>
          </w:tcPr>
          <w:p>
            <w:pPr>
              <w:pStyle w:val="TableContents"/>
              <w:bidi w:val="0"/>
              <w:spacing w:before="0" w:after="0"/>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(917,946)</w:t>
            </w:r>
          </w:p>
        </w:tc>
        <w:tc>
          <w:tcPr>
            <w:tcW w:w="2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144,066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01" w:name="_1bcaed5d_eb77_47a7_84c6_35749003815a"/>
      <w:bookmarkEnd w:id="401"/>
      <w:r>
        <w:rPr>
          <w:rFonts w:ascii="Times New Roman;Times;serif" w:hAnsi="Times New Roman;Times;serif"/>
          <w:b/>
          <w:sz w:val="20"/>
        </w:rPr>
        <w:t xml:space="preserve">ACLARIS THERAPEUTICS, INC. </w:t>
      </w:r>
    </w:p>
    <w:p>
      <w:pPr>
        <w:pStyle w:val="TextBody"/>
        <w:bidi w:val="0"/>
        <w:spacing w:before="0" w:after="0"/>
        <w:ind w:left="0" w:right="0" w:hanging="0"/>
        <w:jc w:val="center"/>
        <w:rPr>
          <w:rFonts w:ascii="Times New Roman;Times;serif" w:hAnsi="Times New Roman;Times;serif"/>
          <w:b/>
          <w:sz w:val="20"/>
        </w:rPr>
      </w:pPr>
      <w:bookmarkStart w:id="402" w:name="STATEMENTSOFCASHFLOWS_385830"/>
      <w:bookmarkEnd w:id="40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03" w:name="Tc_QuoT4qzSEUeaz5mQHCZNeQ_32_6"/>
      <w:bookmarkStart w:id="404" w:name="Tc_fYWxDO0fPkSieOdy8QmJHg_32_5"/>
      <w:bookmarkStart w:id="405" w:name="Tc_iPcbR7BYikyQokzWiwHxpA_32_2"/>
      <w:bookmarkStart w:id="406" w:name="Tc_oq1YnCVfzkq3UIGveJCbgQ_32_0"/>
      <w:bookmarkStart w:id="407" w:name="Tc__7Jx5NNUP0WleCcuAuKXxw_31_0"/>
      <w:bookmarkStart w:id="408" w:name="Tc_sUoq6MCYoU-5wpgzBnDblg_29_5"/>
      <w:bookmarkStart w:id="409" w:name="Tc_SBVEfg7qdUSUM9M5CJS6AA_29_2"/>
      <w:bookmarkStart w:id="410" w:name="Tc_lFX0qRmtzkWkofNKTuJT7w_29_0"/>
      <w:bookmarkStart w:id="411" w:name="Tc_MDm6W9xc80Kk4vktZAnzTQ_28_0"/>
      <w:bookmarkStart w:id="412" w:name="Tc_3mizaHnpOkyVAjSR7MUtGA_27_0"/>
      <w:bookmarkStart w:id="413" w:name="Tc_5qxTo0-1wECwNXoo1qE7HQ_26_0"/>
      <w:bookmarkStart w:id="414" w:name="Tc_0s2En8AxXkCQX96LpH_qTg_25_6"/>
      <w:bookmarkStart w:id="415" w:name="Tc_79SBPTGPDUGXVdsZBGHqyw_25_0"/>
      <w:bookmarkStart w:id="416" w:name="Tc_YtJdgfncpEKDsKVtknKNmA_24_0"/>
      <w:bookmarkStart w:id="417" w:name="Tc_nqHBe2OsaEmqaCd2Znykvw_23_6"/>
      <w:bookmarkStart w:id="418" w:name="Tc_eiZopUq3t0KwhK2jc4sfHg_23_0"/>
      <w:bookmarkStart w:id="419" w:name="Tc_zNHKfJE53Uej28K5UiwAug_22_0"/>
      <w:bookmarkStart w:id="420" w:name="Tc_PFkAZ6SqkUiK2-b7VIhbBA_21_0"/>
      <w:bookmarkStart w:id="421" w:name="Tc__q1nlQ9I_EGQAIB2VBROGA_20_3"/>
      <w:bookmarkStart w:id="422" w:name="Tc_luCItH7sBk-bJyf5MgGTBg_20_0"/>
      <w:bookmarkStart w:id="423" w:name="Tc_GM9_kJxB9EeHHWhLCzOTrw_19_0"/>
      <w:bookmarkStart w:id="424" w:name="Tc_NLEKS7nG5U6ySuhGtHNotA_18_0"/>
      <w:bookmarkStart w:id="425" w:name="Tc_LBU1ydIm10uUk3b0H89YSQ_17_0"/>
      <w:bookmarkStart w:id="426" w:name="Tc_SR1OiO0kd0q784Rp459m5w_16_0"/>
      <w:bookmarkStart w:id="427" w:name="Tc_1vJowDOdyEu9dnbDFeEwDQ_15_0"/>
      <w:bookmarkStart w:id="428" w:name="Tc_Fn-BWZOH_kKA81P0j2iJTw_14_0"/>
      <w:bookmarkStart w:id="429" w:name="Tc_PStkPTjKg0WRDcZF2Xwdnw_13_0"/>
      <w:bookmarkStart w:id="430" w:name="Tc_fgRlA4lg4kyYl67L66bI2A_12_0"/>
      <w:bookmarkStart w:id="431" w:name="Tc_cZKxK6iLLEmh-chaPtcnIw_11_0"/>
      <w:bookmarkStart w:id="432" w:name="Tc_2QBW7gJ9KUCSwI0WtRifyA_10_0"/>
      <w:bookmarkStart w:id="433" w:name="Tc_KxVtKCBkZEGnXCtI0W7oSA_9_3"/>
      <w:bookmarkStart w:id="434" w:name="Tc_wRfBuOLQYUawa9cGrW0FNA_9_0"/>
      <w:bookmarkStart w:id="435" w:name="Tc_aB5Q2W06rUmvKa7XmIsAcw_8_0"/>
      <w:bookmarkStart w:id="436" w:name="Tc_7cyh4zJnA0SnadKd2JPTyA_7_0"/>
      <w:bookmarkStart w:id="437" w:name="Tc_gx_wschMoUiaaUmu_UReGw_6_0"/>
      <w:bookmarkStart w:id="438" w:name="Tc_iMRkw1Fop0CGdi_o29aLjw_5_5"/>
      <w:bookmarkStart w:id="439" w:name="Tc_LxsxOlXyNUuNVhRaBayrXA_5_2"/>
      <w:bookmarkStart w:id="440" w:name="Tc_yrHSFl97SUGNLtShWyFZdw_5_0"/>
      <w:bookmarkStart w:id="441" w:name="Tc_Pi9vxqTHUUWCxqdQl7OqKA_4_0"/>
      <w:bookmarkStart w:id="442" w:name="Tc__3PNzwmnhUO0tHL7X8XJOQ_3_5"/>
      <w:bookmarkStart w:id="443" w:name="Tc_FcDxN4SDB0KSYP10brvLkA_3_2"/>
      <w:bookmarkStart w:id="444" w:name="Tc_vFRqfKLVj0aicsDjD0-JPw_2_2"/>
      <w:bookmarkStart w:id="445" w:name="Tc_XtCbDYUgOEeJ3J6ygCHeEQ_1_2"/>
      <w:bookmarkStart w:id="446" w:name="_4c4925ab_57a4_4d24_bdbc_5f08fa86e687"/>
      <w:bookmarkStart w:id="447" w:name="Tc_QuoT4qzSEUeaz5mQHCZNeQ_32_6"/>
      <w:bookmarkStart w:id="448" w:name="Tc_fYWxDO0fPkSieOdy8QmJHg_32_5"/>
      <w:bookmarkStart w:id="449" w:name="Tc_iPcbR7BYikyQokzWiwHxpA_32_2"/>
      <w:bookmarkStart w:id="450" w:name="Tc_oq1YnCVfzkq3UIGveJCbgQ_32_0"/>
      <w:bookmarkStart w:id="451" w:name="Tc__7Jx5NNUP0WleCcuAuKXxw_31_0"/>
      <w:bookmarkStart w:id="452" w:name="Tc_sUoq6MCYoU-5wpgzBnDblg_29_5"/>
      <w:bookmarkStart w:id="453" w:name="Tc_SBVEfg7qdUSUM9M5CJS6AA_29_2"/>
      <w:bookmarkStart w:id="454" w:name="Tc_lFX0qRmtzkWkofNKTuJT7w_29_0"/>
      <w:bookmarkStart w:id="455" w:name="Tc_MDm6W9xc80Kk4vktZAnzTQ_28_0"/>
      <w:bookmarkStart w:id="456" w:name="Tc_3mizaHnpOkyVAjSR7MUtGA_27_0"/>
      <w:bookmarkStart w:id="457" w:name="Tc_5qxTo0-1wECwNXoo1qE7HQ_26_0"/>
      <w:bookmarkStart w:id="458" w:name="Tc_0s2En8AxXkCQX96LpH_qTg_25_6"/>
      <w:bookmarkStart w:id="459" w:name="Tc_79SBPTGPDUGXVdsZBGHqyw_25_0"/>
      <w:bookmarkStart w:id="460" w:name="Tc_YtJdgfncpEKDsKVtknKNmA_24_0"/>
      <w:bookmarkStart w:id="461" w:name="Tc_nqHBe2OsaEmqaCd2Znykvw_23_6"/>
      <w:bookmarkStart w:id="462" w:name="Tc_eiZopUq3t0KwhK2jc4sfHg_23_0"/>
      <w:bookmarkStart w:id="463" w:name="Tc_zNHKfJE53Uej28K5UiwAug_22_0"/>
      <w:bookmarkStart w:id="464" w:name="Tc_PFkAZ6SqkUiK2-b7VIhbBA_21_0"/>
      <w:bookmarkStart w:id="465" w:name="Tc__q1nlQ9I_EGQAIB2VBROGA_20_3"/>
      <w:bookmarkStart w:id="466" w:name="Tc_luCItH7sBk-bJyf5MgGTBg_20_0"/>
      <w:bookmarkStart w:id="467" w:name="Tc_GM9_kJxB9EeHHWhLCzOTrw_19_0"/>
      <w:bookmarkStart w:id="468" w:name="Tc_NLEKS7nG5U6ySuhGtHNotA_18_0"/>
      <w:bookmarkStart w:id="469" w:name="Tc_LBU1ydIm10uUk3b0H89YSQ_17_0"/>
      <w:bookmarkStart w:id="470" w:name="Tc_SR1OiO0kd0q784Rp459m5w_16_0"/>
      <w:bookmarkStart w:id="471" w:name="Tc_1vJowDOdyEu9dnbDFeEwDQ_15_0"/>
      <w:bookmarkStart w:id="472" w:name="Tc_Fn-BWZOH_kKA81P0j2iJTw_14_0"/>
      <w:bookmarkStart w:id="473" w:name="Tc_PStkPTjKg0WRDcZF2Xwdnw_13_0"/>
      <w:bookmarkStart w:id="474" w:name="Tc_fgRlA4lg4kyYl67L66bI2A_12_0"/>
      <w:bookmarkStart w:id="475" w:name="Tc_cZKxK6iLLEmh-chaPtcnIw_11_0"/>
      <w:bookmarkStart w:id="476" w:name="Tc_2QBW7gJ9KUCSwI0WtRifyA_10_0"/>
      <w:bookmarkStart w:id="477" w:name="Tc_KxVtKCBkZEGnXCtI0W7oSA_9_3"/>
      <w:bookmarkStart w:id="478" w:name="Tc_wRfBuOLQYUawa9cGrW0FNA_9_0"/>
      <w:bookmarkStart w:id="479" w:name="Tc_aB5Q2W06rUmvKa7XmIsAcw_8_0"/>
      <w:bookmarkStart w:id="480" w:name="Tc_7cyh4zJnA0SnadKd2JPTyA_7_0"/>
      <w:bookmarkStart w:id="481" w:name="Tc_gx_wschMoUiaaUmu_UReGw_6_0"/>
      <w:bookmarkStart w:id="482" w:name="Tc_iMRkw1Fop0CGdi_o29aLjw_5_5"/>
      <w:bookmarkStart w:id="483" w:name="Tc_LxsxOlXyNUuNVhRaBayrXA_5_2"/>
      <w:bookmarkStart w:id="484" w:name="Tc_yrHSFl97SUGNLtShWyFZdw_5_0"/>
      <w:bookmarkStart w:id="485" w:name="Tc_Pi9vxqTHUUWCxqdQl7OqKA_4_0"/>
      <w:bookmarkStart w:id="486" w:name="Tc__3PNzwmnhUO0tHL7X8XJOQ_3_5"/>
      <w:bookmarkStart w:id="487" w:name="Tc_FcDxN4SDB0KSYP10brvLkA_3_2"/>
      <w:bookmarkStart w:id="488" w:name="Tc_vFRqfKLVj0aicsDjD0-JPw_2_2"/>
      <w:bookmarkStart w:id="489" w:name="Tc_XtCbDYUgOEeJ3J6ygCHeEQ_1_2"/>
      <w:bookmarkStart w:id="490" w:name="_4c4925ab_57a4_4d24_bdbc_5f08fa86e687"/>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tbl>
      <w:tblPr>
        <w:tblW w:w="10205" w:type="dxa"/>
        <w:jc w:val="left"/>
        <w:tblInd w:w="0" w:type="dxa"/>
        <w:tblLayout w:type="fixed"/>
        <w:tblCellMar>
          <w:top w:w="0" w:type="dxa"/>
          <w:left w:w="0" w:type="dxa"/>
          <w:bottom w:w="0" w:type="dxa"/>
          <w:right w:w="0" w:type="dxa"/>
        </w:tblCellMar>
      </w:tblPr>
      <w:tblGrid>
        <w:gridCol w:w="7470"/>
        <w:gridCol w:w="346"/>
        <w:gridCol w:w="211"/>
        <w:gridCol w:w="787"/>
        <w:gridCol w:w="346"/>
        <w:gridCol w:w="211"/>
        <w:gridCol w:w="834"/>
      </w:tblGrid>
      <w:tr>
        <w:trPr/>
        <w:tc>
          <w:tcPr>
            <w:tcW w:w="7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743450" cy="175260"/>
                      <wp:effectExtent l="0" t="0" r="0" b="0"/>
                      <wp:wrapNone/>
                      <wp:docPr id="49" name="Frame49"/>
                      <a:graphic xmlns:a="http://schemas.openxmlformats.org/drawingml/2006/main">
                        <a:graphicData uri="http://schemas.microsoft.com/office/word/2010/wordprocessingShape">
                          <wps:wsp>
                            <wps:cNvSpPr txBox="1"/>
                            <wps:spPr>
                              <a:xfrm>
                                <a:off x="0" y="0"/>
                                <a:ext cx="4743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9745" cy="175260"/>
                      <wp:effectExtent l="0" t="0" r="0" b="0"/>
                      <wp:wrapNone/>
                      <wp:docPr id="52" name="Frame52"/>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9590" cy="175260"/>
                      <wp:effectExtent l="0" t="0" r="0" b="0"/>
                      <wp:wrapNone/>
                      <wp:docPr id="55" name="Frame5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Cash flows from operating activities</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  ​ ​ ​</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prepaid expenses and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(11,042)</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(13,057)</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(9,996)</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and maturities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29,991</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deferred transaction consideration for in-licensed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19,119</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the at-the-market sales agreement, net of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 of employee withholding taxes related to restricted stock unit award vesting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employee stock options and the issuance of stock</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5,787</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24,570</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30,357</w:t>
            </w:r>
          </w:p>
        </w:tc>
      </w:tr>
      <w:tr>
        <w:trPr/>
        <w:tc>
          <w:tcPr>
            <w:tcW w:w="747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4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non-cash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r>
      <w:tr>
        <w:trPr/>
        <w:tc>
          <w:tcPr>
            <w:tcW w:w="7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property and equipment included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pPr>
            <w:r>
              <w:rPr/>
              <w:t>—</w:t>
            </w:r>
          </w:p>
        </w:tc>
      </w:tr>
      <w:tr>
        <w:trPr/>
        <w:tc>
          <w:tcPr>
            <w:tcW w:w="74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1" w:name="NOTESTOUNAUDITEDCONDENSEDCONSOLIDATEDFIN"/>
      <w:bookmarkStart w:id="492" w:name="_aa0f7a58_da97_4fb1_a264_8d373adcc212"/>
      <w:bookmarkEnd w:id="491"/>
      <w:bookmarkEnd w:id="492"/>
      <w:r>
        <w:rPr>
          <w:rFonts w:ascii="Times New Roman;Times;serif" w:hAnsi="Times New Roman;Times;serif"/>
          <w:b/>
          <w:sz w:val="20"/>
        </w:rPr>
        <w:t>ACLARIS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Organization and Nature of Business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Aclaris Therapeutics, Inc. was incorporated under the laws of the State of Delaware in 2012. Aclaris Therapeutics, Inc. and its wholly owned subsidiaries are referred to collectively as the “Company.”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a clinical-stage biopharmaceutical company focused on developing novel small and large molecule product candidates for immuno-inflammatory diseases. The Company’s proprietary KINect drug discovery platform coupled with its integrated discovery approach to small and large molecules enables the Company to identify and advance product candidates designed to have superior target affinity, specificity and potency. The Company is seeking to identify and consummate transactions with third-party partners to further develop, obtain marketing approval for and/or commercialize its novel product candidates.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condensed consolidated financial statements have been prepared on the basis of continuity of operations, realization of assets and the satisfaction of liabilities in the ordinary course of business. As of March 31, 2026, the Company had cash, cash equivalents and marketable securities of $190.8 million and an accumulated deficit of $987.6 million. Since inception, the Company has incurred net losses and negative cash flows from its operations. There can be no assurance that profitable operations will ever be achieved, and, if achieved, will be sustained on a continuing basis. In addition, development activities, including clinical and preclinical testing of the Company’s product candidates, will require significant additional financing. The future viability of the Company is dependent on its ability to successfully develop its product candidates and to generate revenue from identifying and consummating transactions with third-party partners to further develop, obtain marketing approval for and/or commercialize its development assets or to raise additional capital to finance its operations. The Company will require additional capital to develop its product candidates and to support its discovery efforts.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Additional funds may not be available on a timely basis, on commercially acceptable terms, or at all, and such funds, if raised, may not be sufficient to enable the Company to continue to implement its long-term business strategy. The Company's ability to raise additional capital may be adversely impacted by a variety of factors including changes in investor sentiment, geopolitical tensions, tariff policies, and inflationary pressures. If the Company is unable to raise sufficient additional capital or generate revenue from transactions with potential third-party partners for the development and/or commercialization of its product candidates, it may need to substantially curtail planned operations. The Company’s failure to raise capital as and when needed could have a negative impact on its financial condition and ability to pursue its business strategies.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Accounting Standards Codification (“ASC”) Subtopic 205-40, Disclosure of Uncertainties about an Entity’s Ability to Continue as a Going Concern, the Company evaluated whether there are conditions and events, considered in the aggregate, that raise substantial doubt about the Company’s ability to continue as a going concern within one year after the date that its condensed consolidated financial statements are issued.  As of the report date, the Company does not believe that substantial doubt exists about its ability to continue as a going concern. The Company believes its existing cash, cash equivalents and marketable securities are sufficient to fund its operating and capital expenditure requirements for a period greater than 12 months from the date of issuance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accompanying condensed consolidated balance sheet as of March 31, 2026, the condensed consolidated statements of operations and comprehensive loss for the three months ended March 31, 2026 and 2025, the condensed consolidated statement of stockholders’ equity for the three months ended March 31, 2026 and 2025, and the condensed consolidated statements of cash flows for the three months ended March 31, 2026 and 2025 are unaudited.  The unaudited interim condensed consolidated financial statements have been prepared on the same basis as the audited annual financial statements contained in the Company’s Annual Report on Form 10-K filed with the Securities and Exchange Commission (“SEC”) on February 26, 2026 (“Annual Report”) and, in the opinion of management, reflect all adjustments, which include only normal recurring adjustments, necessary for the fair statement of the Company’s financial position as of March 31, 2026, the results of its operations and comprehensive loss for the three months ended March 31, 2026 and 2025, its changes in stockholders’ equity for the three months ended March 31, 2026 and 2025 and its cash flows for the three months ended March 31, 2026 and 2025.  The condensed consolidated balance sheet data as of December 31, 2025 was derived from audited financial statements but does not include all disclosures required by generally accepted accounting principles in the United States (“GAAP”).  The financial data and other information disclosed in these notes related to the three months ended March 31, 2026 and 2025 are unaudited. The results for the three months ended March 31, 2026 are not necessarily indicative of results to be expected for the year ending December 31, 2026, any other interim periods, or any future year or period. The unaudited interim financial statements of the Company included herein have been prepared pursuant to the rules and regulations of the SEC. Certain information and footnote disclosures normally included in financial statements prepared in accordance with GAAP have been condensed or omitted from this report, as is permitted by such rules and regulations. These unaudited condensed consolidated financial statements should be read in conjunction with the audited consolidated financial statements and the notes thereto for the year ended December 31, 2025 included in the Annual Report.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in conformity with GAAP. The condensed consolidated financial statements of the Company include the accounts of the operating parent company, Aclaris Therapeutics, Inc., and its wholly owned subsidiaries. All intercompany transactions have been eliminated. Based upon the nature and size of the Company’s revenue, the Company believes that gross profit does not provide a meaningful measure of profitability and, therefore, has not included a line item for gross profit on the condensed consolidated statement of operations and comprehensive loss. </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contingent consideration and the valuation of stock-based awards. Estimates are periodically reviewed in light of changes in circumstances, facts and experience. Actual results could differ from the Company’s estimates.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prior year amounts have been reclassified to conform to the current year’s financial statement presentation.</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significant accounting policies are disclosed in the audited consolidated financial statements for the year ended December 31, 2025 included in the Annual Report. There have been no changes to the Company’s existing significant accounting policies from those disclosed in the Annual Report.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Contingent Consideration</w:t>
      </w:r>
    </w:p>
    <w:p>
      <w:pPr>
        <w:pStyle w:val="TextBody"/>
        <w:shd w:fill="FFFFFF" w:val="clear"/>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records a contingent consideration liability related to future potential payments resulting from the acquisition of Confluence Life Sciences, Inc. (now known as Aclaris Life Sciences, Inc.)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w:t>
      </w:r>
      <w:r>
        <w:rPr>
          <w:rFonts w:ascii="Times New Roman;Times;serif" w:hAnsi="Times New Roman;Times;serif"/>
          <w:sz w:val="20"/>
          <w:shd w:fill="FFFFFF" w:val="clear"/>
        </w:rPr>
        <w:t>These assumptions are considered Level 3 inputs. Revaluation of the contingent consideration liability can result from changes to one or more of these assumptions. The Company evaluates the fair value estimate of the contingent consideration liability on a quarterly basis with changes, if any, recorded as income or expense in the condensed consolidated statement of operations and comprehensive loss.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the Company’s estimates include the probability of achieving regulatory milestones and commencing commercialization (collectively referred to as “probability of success”), which are based on an asset’s current stage of development and a review of existing clinical data. Probability of success </w:t>
      </w:r>
      <w:r>
        <w:rPr>
          <w:rFonts w:ascii="Times New Roman;Times;serif" w:hAnsi="Times New Roman;Times;serif"/>
          <w:sz w:val="20"/>
        </w:rPr>
        <w:t>assumptions ranged between 21% and 40% at March 31, 2026. Additionally, estimated future sales levels and the risk-adjusted discount rate applied to the potential payments are also significant assumptions used in calculating the fair value. As of March 31, 2026, the discount rate ranged between 7.5% and 9.3% depending</w:t>
      </w:r>
      <w:r>
        <w:rPr>
          <w:rFonts w:ascii="Times New Roman;Times;serif" w:hAnsi="Times New Roman;Times;serif"/>
          <w:sz w:val="20"/>
          <w:shd w:fill="FFFFFF" w:val="clear"/>
        </w:rPr>
        <w:t xml:space="preserve"> on the year of each potential payment.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accounts for revenue in accordance with ASC Topic 606, Revenue from Contracts with Customers. Under ASC Topic 606, revenue is recognized when a customer obtains control of promised goods or services in an amount that reflects the consideration to which the Company expects to be entitled in exchange for those goods or services. </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determine revenue recognition in accordance with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At contract inception, the Company assesses the goods or services promised within a contract with a customer to identify the performance obligations, and to determine if they are distinct. The Company recognizes the revenue that is allocated to each distinct performance obligation when (or as) that performance obligation is satisfied. The Company only recognizes revenue when collection of the consideration it is entitled to under a contract with a customer is probable.</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720" w:right="0" w:hanging="0"/>
        <w:jc w:val="left"/>
        <w:rPr>
          <w:rFonts w:ascii="Times New Roman;Times;serif" w:hAnsi="Times New Roman;Times;serif"/>
          <w:i/>
          <w:sz w:val="20"/>
        </w:rPr>
      </w:pPr>
      <w:r>
        <w:rPr>
          <w:rFonts w:ascii="Times New Roman;Times;serif" w:hAnsi="Times New Roman;Times;serif"/>
          <w:i/>
          <w:sz w:val="20"/>
        </w:rPr>
        <w:t>Licensing Revenue</w:t>
      </w:r>
    </w:p>
    <w:p>
      <w:pPr>
        <w:pStyle w:val="TextBody"/>
        <w:bidi w:val="0"/>
        <w:spacing w:before="100" w:after="100"/>
        <w:ind w:left="720" w:right="0" w:hanging="0"/>
        <w:jc w:val="left"/>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b/>
          <w:sz w:val="20"/>
        </w:rPr>
        <w:t>Licenses of Intellectual Property</w:t>
      </w:r>
      <w:r>
        <w:rPr>
          <w:rFonts w:ascii="Times New Roman;Times;serif" w:hAnsi="Times New Roman;Times;serif"/>
          <w:sz w:val="20"/>
        </w:rPr>
        <w:t> – The Company recognizes revenue received from non-refundable, upfront fees related to the licensing of intellectual property when the intellectual property is determined to be distinct from the other performance obligations identified in the arrangement, the license has been transferred to the customer, and the customer is able to use and benefit from the license. </w:t>
      </w:r>
    </w:p>
    <w:p>
      <w:pPr>
        <w:pStyle w:val="TextBody"/>
        <w:bidi w:val="0"/>
        <w:spacing w:before="280" w:after="0"/>
        <w:ind w:left="0" w:right="0" w:firstLine="1440"/>
        <w:jc w:val="both"/>
        <w:rPr>
          <w:rFonts w:ascii="Times New Roman;Times;serif" w:hAnsi="Times New Roman;Times;serif"/>
          <w:sz w:val="20"/>
        </w:rPr>
      </w:pPr>
      <w:r>
        <w:rPr>
          <w:rFonts w:ascii="Times New Roman;Times;serif" w:hAnsi="Times New Roman;Times;serif"/>
          <w:b/>
          <w:sz w:val="20"/>
        </w:rPr>
        <w:t>Milestone and Royalty Payments</w:t>
      </w:r>
      <w:r>
        <w:rPr>
          <w:rFonts w:ascii="Times New Roman;Times;serif" w:hAnsi="Times New Roman;Times;serif"/>
          <w:sz w:val="20"/>
        </w:rPr>
        <w:t xml:space="preserve"> – The Company considers any future potential milestones and sales-based royalties to be variable consideration. </w:t>
      </w:r>
      <w:r>
        <w:rPr>
          <w:rFonts w:ascii="Times New Roman;Times;serif" w:hAnsi="Times New Roman;Times;serif"/>
          <w:sz w:val="20"/>
          <w:shd w:fill="FFFFFF" w:val="clear"/>
        </w:rPr>
        <w:t>The Company recognizes revenue from development, regulatory and anniversary milestone payments as they are achieved. The Company recognizes revenue from commercial milestones and royalty payments as the sales occur.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both"/>
        <w:rPr>
          <w:rFonts w:ascii="Times New Roman;Times;serif" w:hAnsi="Times New Roman;Times;serif"/>
          <w:b/>
          <w:i/>
          <w:sz w:val="20"/>
        </w:rPr>
      </w:pPr>
      <w:r>
        <w:rPr>
          <w:rFonts w:ascii="Times New Roman;Times;serif" w:hAnsi="Times New Roman;Times;serif"/>
          <w:b/>
          <w:i/>
          <w:sz w:val="20"/>
        </w:rPr>
        <w:t>Deferred Income Related to the Sale of Future Royalties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amortizes its deferred income liability related to the sale of future OLUMIANT® (baricitinib) royalties under the units-of-revenue method by computing a ratio of the proceeds received to the total expected payments over the term of the royalty purchase agreement and then applying that ratio to the period’s estimated cash payment (see Note 10). The amortization is based on the Company’s current estimate of future royalty payments.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Discontinued Operations</w:t>
      </w:r>
    </w:p>
    <w:p>
      <w:pPr>
        <w:pStyle w:val="TextBody"/>
        <w:bidi w:val="0"/>
        <w:spacing w:before="100" w:after="10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and December 31, 2025, the Company had $2.2 million in discontinued operations reported as other current liabilities in the Company’s condensed consolidated balance sheet, related to discontinued commercial products. </w:t>
      </w:r>
    </w:p>
    <w:p>
      <w:pPr>
        <w:pStyle w:val="TextBody"/>
        <w:bidi w:val="0"/>
        <w:spacing w:before="100" w:after="100"/>
        <w:ind w:left="0" w:right="0" w:firstLine="720"/>
        <w:jc w:val="both"/>
        <w:rPr/>
      </w:pPr>
      <w:r>
        <w:rPr/>
        <w:t>​</w:t>
      </w:r>
    </w:p>
    <w:p>
      <w:pPr>
        <w:pStyle w:val="TextBody"/>
        <w:shd w:fill="FFFFFF" w:val="clear"/>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2025, the Financial Accounting Standards Board (“FASB”) issued Accounting Standards Update (“ASU”) No. 2025-12, “Interim Reporting (Topic 270): Narrow-Scope Improvements.” This standard clarifies interim disclosure requirements and the applicability of Topic 270. The ASU becomes effective for interim reporting periods within annual reporting periods beginning after December 15, 2027. The Company is currently assessing the impact of this ASU.</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“Income Statement—Reporting Comprehensive Income—Expense Disaggregation Disclosures (Subtopic 220-40): Disaggregation of Income Statement Expenses.” This standard requires disclosure of additional information about specific expense categories in the notes to financial statements </w:t>
      </w:r>
      <w:r>
        <w:rPr>
          <w:rFonts w:ascii="Times New Roman;Times;serif" w:hAnsi="Times New Roman;Times;serif"/>
          <w:sz w:val="20"/>
          <w:shd w:fill="FFFFFF" w:val="clear"/>
        </w:rPr>
        <w:t>on an annual and interim basis. This ASU becomes effective for annual periods beginning after December 15, 2026 and interim periods within annual reporting periods beginning after December 15, 2027. The Company is currently assessing the impact of this ASU.</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493" w:name="Tc_qfJ9_QOhp0yeVQhzo0Soyw_10_11"/>
      <w:bookmarkStart w:id="494" w:name="Tc_XfPlBzrACk65MTADSGygYQ_10_8"/>
      <w:bookmarkStart w:id="495" w:name="Tc_NcBEloD9f0ONQdX6sGS9KA_10_6"/>
      <w:bookmarkStart w:id="496" w:name="Tc_C7DniVJUTkeXWZJxJSJiNQ_10_5"/>
      <w:bookmarkStart w:id="497" w:name="Tc_SvfBuOkhGEuGt_eqKAAqRA_10_3"/>
      <w:bookmarkStart w:id="498" w:name="Tc_foZvHFj6Dk6kahlK-1OlUA_10_2"/>
      <w:bookmarkStart w:id="499" w:name="Tc_j6J6_mGqcUaHN6pzms85zw_10_0"/>
      <w:bookmarkStart w:id="500" w:name="Tc_gom8diDIXE2ypJYka76ShQ_9_11"/>
      <w:bookmarkStart w:id="501" w:name="Tc_nnanUS-Xz0SMTlkVTPZQ3g_9_8"/>
      <w:bookmarkStart w:id="502" w:name="Tc_ZGCJ13lZcUGlGKd1CRBfog_9_6"/>
      <w:bookmarkStart w:id="503" w:name="Tc_eim3RGu1lEC1CiWDBcE5ug_9_5"/>
      <w:bookmarkStart w:id="504" w:name="Tc_e_MRD3ZOYk2113boUZnsuQ_9_3"/>
      <w:bookmarkStart w:id="505" w:name="Tc_6nJ-N5TreUKY9dGnSS_KEw_9_2"/>
      <w:bookmarkStart w:id="506" w:name="Tc_dc23heYXYE-9JDkhD8T7Eg_9_0"/>
      <w:bookmarkStart w:id="507" w:name="Tc_1QdHerZTpk68GJX7mKwZeQ_8_0"/>
      <w:bookmarkStart w:id="508" w:name="Tc_YqcNuo9D10-IDm-VMcjlhw_6_11"/>
      <w:bookmarkStart w:id="509" w:name="Tc_IB9InCkReUCYb7PzxItaVQ_6_9"/>
      <w:bookmarkStart w:id="510" w:name="Tc_ag9yT3C5SkaC9M1LMHuQnA_6_8"/>
      <w:bookmarkStart w:id="511" w:name="Tc_S75Q6pxSg0-Veh53XlgqoA_6_5"/>
      <w:bookmarkStart w:id="512" w:name="Tc_h2bOf1oAI0WujiENygbA5w_6_2"/>
      <w:bookmarkStart w:id="513" w:name="Tc_9g0gvIrcEUWXd9-4f0ZNWA_6_0"/>
      <w:bookmarkStart w:id="514" w:name="Tc_0gki1H-Jb0K1MU7GAyWZFA_5_9"/>
      <w:bookmarkStart w:id="515" w:name="Tc_Nd43Zg5boUqVChet4VobjQ_5_3"/>
      <w:bookmarkStart w:id="516" w:name="Tc_ffPkc0S2C06FCn3ji5nosg_5_0"/>
      <w:bookmarkStart w:id="517" w:name="Tc_XdnWboUOGESatn9ppK7Qeg_4_11"/>
      <w:bookmarkStart w:id="518" w:name="Tc_U9pi0A5dKEeebsL0249QoA_4_9"/>
      <w:bookmarkStart w:id="519" w:name="Tc_UiwInjg3ZU6kMNcQMkZvnw_4_8"/>
      <w:bookmarkStart w:id="520" w:name="Tc_qVAw-vVzkky2hINZTL6mpw_4_5"/>
      <w:bookmarkStart w:id="521" w:name="Tc_jXjb-RMoM06iA1AdLKJr0g_4_2"/>
      <w:bookmarkStart w:id="522" w:name="Tc_9y_WjqdXIU2xKwLybBRLow_4_0"/>
      <w:bookmarkStart w:id="523" w:name="Tc_RI5aZx3pTk2_xdwVKxL64w_3_0"/>
      <w:bookmarkStart w:id="524" w:name="Tc_Q-Qs2bfHf0WlGP4DdLHXnw_2_11"/>
      <w:bookmarkStart w:id="525" w:name="Tc_df7IT8-_t0iEvxm0J3i9ug_2_8"/>
      <w:bookmarkStart w:id="526" w:name="Tc_mtsXpcFfqkSWqpspaap9HA_2_5"/>
      <w:bookmarkStart w:id="527" w:name="Tc__Hs9QAlhnE-47Mbm8tj0rw_2_2"/>
      <w:bookmarkStart w:id="528" w:name="Tc_4GJCEamruEqHRzG82Dmb-A_2_0"/>
      <w:bookmarkStart w:id="529" w:name="Tc_KKScJQxv7ESMGMO098w1Zw_1_2"/>
      <w:bookmarkStart w:id="530" w:name="_ad192166_bc9e_409e_b03a_d55b7eb2123c"/>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Pr>
          <w:rFonts w:ascii="Times New Roman;Times;serif" w:hAnsi="Times New Roman;Times;serif"/>
          <w:b/>
          <w:sz w:val="20"/>
        </w:rPr>
        <w:t>3. Fair Value of Financial Assets and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information about the fair value measurements of the Company’s financial assets and liabilities which are measured at fair value on a recurring and non-recurring basis, and indicate the level of the fair value hierarchy utilized to determine such fair values:</w:t>
      </w:r>
    </w:p>
    <w:p>
      <w:pPr>
        <w:pStyle w:val="TextBody"/>
        <w:bidi w:val="0"/>
        <w:spacing w:before="0" w:after="0"/>
        <w:ind w:left="0" w:right="0" w:firstLine="720"/>
        <w:jc w:val="left"/>
        <w:rPr/>
      </w:pPr>
      <w:r>
        <w:rPr/>
        <w:t>​</w:t>
      </w:r>
    </w:p>
    <w:tbl>
      <w:tblPr>
        <w:tblW w:w="7393" w:type="dxa"/>
        <w:jc w:val="left"/>
        <w:tblInd w:w="0" w:type="dxa"/>
        <w:tblLayout w:type="fixed"/>
        <w:tblCellMar>
          <w:top w:w="0" w:type="dxa"/>
          <w:left w:w="0" w:type="dxa"/>
          <w:bottom w:w="0" w:type="dxa"/>
          <w:right w:w="0" w:type="dxa"/>
        </w:tblCellMar>
      </w:tblPr>
      <w:tblGrid>
        <w:gridCol w:w="2206"/>
        <w:gridCol w:w="346"/>
        <w:gridCol w:w="211"/>
        <w:gridCol w:w="676"/>
        <w:gridCol w:w="346"/>
        <w:gridCol w:w="211"/>
        <w:gridCol w:w="781"/>
        <w:gridCol w:w="346"/>
        <w:gridCol w:w="211"/>
        <w:gridCol w:w="676"/>
        <w:gridCol w:w="346"/>
        <w:gridCol w:w="211"/>
        <w:gridCol w:w="82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00810" cy="175260"/>
                      <wp:effectExtent l="0" t="0" r="0" b="0"/>
                      <wp:wrapNone/>
                      <wp:docPr id="56" name="Frame56"/>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29260" cy="175260"/>
                      <wp:effectExtent l="0" t="0" r="0" b="0"/>
                      <wp:wrapNone/>
                      <wp:docPr id="59" name="Frame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260" cy="175260"/>
                      <wp:effectExtent l="0" t="0" r="0" b="0"/>
                      <wp:wrapNone/>
                      <wp:docPr id="65" name="Frame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24510" cy="175260"/>
                      <wp:effectExtent l="0" t="0" r="0" b="0"/>
                      <wp:wrapNone/>
                      <wp:docPr id="68" name="Frame6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  ​ ​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28,040</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162,128</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190,168</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31" w:name="Tc_Y4cZwkzzkkOI-F5jHSw6UQ_8_11"/>
      <w:bookmarkStart w:id="532" w:name="Tc_Wkdh5g7sT0GLpu_wSPM6fQ_8_9"/>
      <w:bookmarkStart w:id="533" w:name="Tc_GzhA-tAVlEWSl0lL3uaaJA_8_8"/>
      <w:bookmarkStart w:id="534" w:name="Tc_3SpH3Aa3pES1pi8s9qu-Bw_8_5"/>
      <w:bookmarkStart w:id="535" w:name="Tc_oRaz42QidUyffTllyfPTzg_8_2"/>
      <w:bookmarkStart w:id="536" w:name="Tc_UocvT5NskESA0ShnZwLStg_8_0"/>
      <w:bookmarkStart w:id="537" w:name="Tc_svPo4WROLkWkgSc9p9ZSBQ_7_9"/>
      <w:bookmarkStart w:id="538" w:name="Tc_lTrXV2Fhbk6lCee4xiS4Tg_7_0"/>
      <w:bookmarkStart w:id="539" w:name="Tc_kAmg9zHa4Ui08CFG2pMPIw_6_11"/>
      <w:bookmarkStart w:id="540" w:name="Tc_rHUru0a0NEGzuMJLtm_Ghg_6_9"/>
      <w:bookmarkStart w:id="541" w:name="Tc_IjHluKxmHke5aNIFIHFiHw_6_8"/>
      <w:bookmarkStart w:id="542" w:name="Tc_hLyTnJx5ckqCbNwPb2ADAQ_6_5"/>
      <w:bookmarkStart w:id="543" w:name="Tc_MVhtT_CW8kKZP0robVu-Ug_6_2"/>
      <w:bookmarkStart w:id="544" w:name="Tc_e3Ik-2pLzk-koyi65hRF5A_6_0"/>
      <w:bookmarkStart w:id="545" w:name="Tc__kcPBele1UGXEc1DM6SXOQ_5_0"/>
      <w:bookmarkStart w:id="546" w:name="Tc_svOGI86GVU-akOg1QaU_Pw_4_11"/>
      <w:bookmarkStart w:id="547" w:name="Tc_NGAGNTCBrkW6I6WbvFCGuQ_4_8"/>
      <w:bookmarkStart w:id="548" w:name="Tc_u40biAYeu0OEs0QPObRdLg_4_5"/>
      <w:bookmarkStart w:id="549" w:name="Tc_YCHEnSg3xUCClWwMFWu2Lg_4_2"/>
      <w:bookmarkStart w:id="550" w:name="Tc_3ShZUKt2o0CK6c6CeM59Fw_4_0"/>
      <w:bookmarkStart w:id="551" w:name="Tc_YxbQ4r07gEmye_oDWyTgFg_3_11"/>
      <w:bookmarkStart w:id="552" w:name="Tc_LuIdZAJ750-JVErE-fzr5Q_3_8"/>
      <w:bookmarkStart w:id="553" w:name="Tc_aRlSPAPQT0yogwFgOQZJyA_3_5"/>
      <w:bookmarkStart w:id="554" w:name="Tc_GzI2NJsaQEmRR_-vnQovBA_3_2"/>
      <w:bookmarkStart w:id="555" w:name="Tc_l95afuLcD06fNHdSgM_WIQ_2_8"/>
      <w:bookmarkStart w:id="556" w:name="Tc_7RboBh7DjUGuNkXA369W7w_2_5"/>
      <w:bookmarkStart w:id="557" w:name="Tc_hpkOf4BfbU-hlg7IAdlXRQ_1_2"/>
      <w:bookmarkStart w:id="558" w:name="_7429c716_f171_414d_87ec_2f851617731d"/>
      <w:bookmarkStart w:id="559" w:name="Tc_e_88qNxLu0igpt_GwakJrQ_10_11"/>
      <w:bookmarkStart w:id="560" w:name="Tc_J0f-K8WWUECbGJfFmwOsxw_10_8"/>
      <w:bookmarkStart w:id="561" w:name="Tc_gPEfQdgtcE6JuPnOLjoDcg_10_5"/>
      <w:bookmarkStart w:id="562" w:name="Tc_9CYfyD5HGkGF36dB8f2tPg_10_2"/>
      <w:bookmarkStart w:id="563" w:name="Tc_h7eKe30IkE6NOQgtdvSGmA_10_0"/>
      <w:bookmarkStart w:id="564" w:name="Tc_oXsbbWnAi0euG25SVeUwDA_9_0"/>
      <w:bookmarkStart w:id="565" w:name="Tc_EIGZcZfC1UKuHoUOaRR9gQ_8_9"/>
      <w:bookmarkStart w:id="566" w:name="Tc_QcBa-dBj6EiQYDX2FJP0dg_8_6"/>
      <w:bookmarkStart w:id="567" w:name="Tc_tUKCCJXzHkOjwDc_KL7qmg_8_0"/>
      <w:bookmarkStart w:id="568" w:name="Tc_TEImL49o6Uau8TdZ-B_joA_7_6"/>
      <w:bookmarkStart w:id="569" w:name="Tc_R4_DsucNCEGMkJzzoXLOuw_7_0"/>
      <w:bookmarkStart w:id="570" w:name="Tc_4xiBGD2FYUiWqjXVLje5jQ_6_11"/>
      <w:bookmarkStart w:id="571" w:name="Tc_tJFoAl4Y2kqEwqaeaLFeaQ_6_8"/>
      <w:bookmarkStart w:id="572" w:name="Tc_PbU8OJnHpECGvthDgyQVGA_6_5"/>
      <w:bookmarkStart w:id="573" w:name="Tc_A-SG91lhv0GftdgDOMu3pA_6_2"/>
      <w:bookmarkStart w:id="574" w:name="Tc_qvdxdq96A0-krWrsJCAJSw_6_0"/>
      <w:bookmarkStart w:id="575" w:name="Tc__6puaALhakGqZs9uGZ7mnA_5_0"/>
      <w:bookmarkStart w:id="576" w:name="Tc_kc7DMxEx20eJJzAD_Y40dA_4_11"/>
      <w:bookmarkStart w:id="577" w:name="Tc_gIRUY-TlN0WoL6uI9n4z7w_4_8"/>
      <w:bookmarkStart w:id="578" w:name="Tc_BOezL58QYkKIwr1fZD8Mgw_4_5"/>
      <w:bookmarkStart w:id="579" w:name="Tc_7oJSx2CYj0SChIevvX95mA_4_2"/>
      <w:bookmarkStart w:id="580" w:name="Tc_0y1OuNjlk0O6g6rTaN4x-Q_4_0"/>
      <w:bookmarkStart w:id="581" w:name="Tc_uWqitSFlG0GW7t-k9LvpmA_3_11"/>
      <w:bookmarkStart w:id="582" w:name="Tc_BvP3mjAoG0KiFIKxbuyq8A_3_8"/>
      <w:bookmarkStart w:id="583" w:name="Tc_3ebQ6ZyI40KRJik2R--Fog_3_5"/>
      <w:bookmarkStart w:id="584" w:name="Tc_ARSYLPyOQk-4-olkhDYsjg_3_2"/>
      <w:bookmarkStart w:id="585" w:name="Tc_6MlhdIORrEqDlKR0e6aLHg_2_8"/>
      <w:bookmarkStart w:id="586" w:name="Tc_MtZaslgcrE6QbfIXLvg5xQ_2_5"/>
      <w:bookmarkStart w:id="587" w:name="Tc_OThWZqpW80KaYyu0j-UvPw_1_2"/>
      <w:bookmarkStart w:id="588" w:name="_8d1253ea_983a_45f8_8516_083887bb617c"/>
      <w:bookmarkStart w:id="589" w:name="Tc_AF4-UGEMfkmghdOAh-l7Dg_10_11"/>
      <w:bookmarkStart w:id="590" w:name="Tc_THsY5GowUUicJzPsJ-xhrg_10_8"/>
      <w:bookmarkStart w:id="591" w:name="Tc_8FmuxEdg2EO7TUCNVyI38g_10_6"/>
      <w:bookmarkStart w:id="592" w:name="Tc_Oq5jof4iFE2csPIKMAVf4Q_10_5"/>
      <w:bookmarkStart w:id="593" w:name="Tc_5Uj_hYsGf0a8URkSVqQiZg_10_3"/>
      <w:bookmarkStart w:id="594" w:name="Tc_umz1N-3WIUumWM4abW0M6g_10_2"/>
      <w:bookmarkStart w:id="595" w:name="Tc_wxODjhO9jkmluE0xOA3Aug_10_0"/>
      <w:bookmarkStart w:id="596" w:name="Tc_vuyyG2iYF0GUx_GAHADg7Q_9_11"/>
      <w:bookmarkStart w:id="597" w:name="Tc_DDeXmakRpkGnCduiHEQVuw_9_8"/>
      <w:bookmarkStart w:id="598" w:name="Tc_DiaA8sQgYk22QWf6AgAfMg_9_6"/>
      <w:bookmarkStart w:id="599" w:name="Tc_ujt7QLF8uEmK0ltSWm4_lQ_9_5"/>
      <w:bookmarkStart w:id="600" w:name="Tc_LY73Ez-dxEmEcbuszhdr-w_9_3"/>
      <w:bookmarkStart w:id="601" w:name="Tc_bzVNwqQqPUKmLQ9PSoM-aA_9_2"/>
      <w:bookmarkStart w:id="602" w:name="Tc_6BtUzpy1qkeX9O95Nfj4vg_9_0"/>
      <w:bookmarkStart w:id="603" w:name="Tc_fOx5W0IOfEqiZTR4RXZwfw_8_0"/>
      <w:bookmarkStart w:id="604" w:name="Tc_MLH4BHnR20S18Y3Qyco5jA_6_11"/>
      <w:bookmarkStart w:id="605" w:name="Tc_4z-ouYQEwEyITJY86qVFSw_6_9"/>
      <w:bookmarkStart w:id="606" w:name="Tc_jldikT7t9kqjiFapvzWs0g_6_8"/>
      <w:bookmarkStart w:id="607" w:name="Tc_ZWqO1quBP0uCu1GmWsM0hA_6_5"/>
      <w:bookmarkStart w:id="608" w:name="Tc_0VZPhebo90iiIvShn-jcBw_6_2"/>
      <w:bookmarkStart w:id="609" w:name="Tc_ji4AxFhtvEqdRfaHZy4OWQ_6_0"/>
      <w:bookmarkStart w:id="610" w:name="Tc_E8Jm4JKzMke6qjA60k_CKg_5_9"/>
      <w:bookmarkStart w:id="611" w:name="Tc_Jn7FH674uECqyIEBU8EUwg_5_3"/>
      <w:bookmarkStart w:id="612" w:name="Tc_JqWG8JwwT0OCHi3cqLOw8A_5_0"/>
      <w:bookmarkStart w:id="613" w:name="Tc_ZpqScG1q0kabqcDyHS6_OA_4_11"/>
      <w:bookmarkStart w:id="614" w:name="Tc_z450eP5OH0egq2SNiCyi1g_4_9"/>
      <w:bookmarkStart w:id="615" w:name="Tc_w8i88uClr0-IvGnkdbfu6w_4_8"/>
      <w:bookmarkStart w:id="616" w:name="Tc_M2SE7l1VIkyvuEyBWTQyBQ_4_6"/>
      <w:bookmarkStart w:id="617" w:name="Tc_9wi7ASkLFEKTfuXb1QVNrA_4_5"/>
      <w:bookmarkStart w:id="618" w:name="Tc_DqmaPcUxIUS96UhzRPW3Qw_4_2"/>
      <w:bookmarkStart w:id="619" w:name="Tc_WOU5CLjifkKXT0E9cYWVmw_4_0"/>
      <w:bookmarkStart w:id="620" w:name="Tc_2UrqRjmKZEeKKmpubg0odg_3_0"/>
      <w:bookmarkStart w:id="621" w:name="Tc_8dHY8XXVdkCXhjM1SzKE-Q_2_11"/>
      <w:bookmarkStart w:id="622" w:name="Tc_38LpasZvIkColPPXeaSDCA_2_8"/>
      <w:bookmarkStart w:id="623" w:name="Tc_ve1mOddngkOUOtUgps8rYA_2_5"/>
      <w:bookmarkStart w:id="624" w:name="Tc_c4rkWPQbw0S_Li9ihhb5VA_2_2"/>
      <w:bookmarkStart w:id="625" w:name="Tc_HfX24MwvOk2HAL2mdcIAAQ_2_0"/>
      <w:bookmarkStart w:id="626" w:name="Tc_dMAJ_ik-dU6a1m2EseiXEQ_1_2"/>
      <w:bookmarkStart w:id="627" w:name="_e83022e9_0b1f_4a77_b3d7_f934e5fc76d8"/>
      <w:bookmarkStart w:id="628" w:name="Tc_Y4cZwkzzkkOI-F5jHSw6UQ_8_11"/>
      <w:bookmarkStart w:id="629" w:name="Tc_Wkdh5g7sT0GLpu_wSPM6fQ_8_9"/>
      <w:bookmarkStart w:id="630" w:name="Tc_GzhA-tAVlEWSl0lL3uaaJA_8_8"/>
      <w:bookmarkStart w:id="631" w:name="Tc_3SpH3Aa3pES1pi8s9qu-Bw_8_5"/>
      <w:bookmarkStart w:id="632" w:name="Tc_oRaz42QidUyffTllyfPTzg_8_2"/>
      <w:bookmarkStart w:id="633" w:name="Tc_UocvT5NskESA0ShnZwLStg_8_0"/>
      <w:bookmarkStart w:id="634" w:name="Tc_svPo4WROLkWkgSc9p9ZSBQ_7_9"/>
      <w:bookmarkStart w:id="635" w:name="Tc_lTrXV2Fhbk6lCee4xiS4Tg_7_0"/>
      <w:bookmarkStart w:id="636" w:name="Tc_kAmg9zHa4Ui08CFG2pMPIw_6_11"/>
      <w:bookmarkStart w:id="637" w:name="Tc_rHUru0a0NEGzuMJLtm_Ghg_6_9"/>
      <w:bookmarkStart w:id="638" w:name="Tc_IjHluKxmHke5aNIFIHFiHw_6_8"/>
      <w:bookmarkStart w:id="639" w:name="Tc_hLyTnJx5ckqCbNwPb2ADAQ_6_5"/>
      <w:bookmarkStart w:id="640" w:name="Tc_MVhtT_CW8kKZP0robVu-Ug_6_2"/>
      <w:bookmarkStart w:id="641" w:name="Tc_e3Ik-2pLzk-koyi65hRF5A_6_0"/>
      <w:bookmarkStart w:id="642" w:name="Tc__kcPBele1UGXEc1DM6SXOQ_5_0"/>
      <w:bookmarkStart w:id="643" w:name="Tc_svOGI86GVU-akOg1QaU_Pw_4_11"/>
      <w:bookmarkStart w:id="644" w:name="Tc_NGAGNTCBrkW6I6WbvFCGuQ_4_8"/>
      <w:bookmarkStart w:id="645" w:name="Tc_u40biAYeu0OEs0QPObRdLg_4_5"/>
      <w:bookmarkStart w:id="646" w:name="Tc_YCHEnSg3xUCClWwMFWu2Lg_4_2"/>
      <w:bookmarkStart w:id="647" w:name="Tc_3ShZUKt2o0CK6c6CeM59Fw_4_0"/>
      <w:bookmarkStart w:id="648" w:name="Tc_YxbQ4r07gEmye_oDWyTgFg_3_11"/>
      <w:bookmarkStart w:id="649" w:name="Tc_LuIdZAJ750-JVErE-fzr5Q_3_8"/>
      <w:bookmarkStart w:id="650" w:name="Tc_aRlSPAPQT0yogwFgOQZJyA_3_5"/>
      <w:bookmarkStart w:id="651" w:name="Tc_GzI2NJsaQEmRR_-vnQovBA_3_2"/>
      <w:bookmarkStart w:id="652" w:name="Tc_l95afuLcD06fNHdSgM_WIQ_2_8"/>
      <w:bookmarkStart w:id="653" w:name="Tc_7RboBh7DjUGuNkXA369W7w_2_5"/>
      <w:bookmarkStart w:id="654" w:name="Tc_hpkOf4BfbU-hlg7IAdlXRQ_1_2"/>
      <w:bookmarkStart w:id="655" w:name="_7429c716_f171_414d_87ec_2f851617731d"/>
      <w:bookmarkStart w:id="656" w:name="Tc_e_88qNxLu0igpt_GwakJrQ_10_11"/>
      <w:bookmarkStart w:id="657" w:name="Tc_J0f-K8WWUECbGJfFmwOsxw_10_8"/>
      <w:bookmarkStart w:id="658" w:name="Tc_gPEfQdgtcE6JuPnOLjoDcg_10_5"/>
      <w:bookmarkStart w:id="659" w:name="Tc_9CYfyD5HGkGF36dB8f2tPg_10_2"/>
      <w:bookmarkStart w:id="660" w:name="Tc_h7eKe30IkE6NOQgtdvSGmA_10_0"/>
      <w:bookmarkStart w:id="661" w:name="Tc_oXsbbWnAi0euG25SVeUwDA_9_0"/>
      <w:bookmarkStart w:id="662" w:name="Tc_EIGZcZfC1UKuHoUOaRR9gQ_8_9"/>
      <w:bookmarkStart w:id="663" w:name="Tc_QcBa-dBj6EiQYDX2FJP0dg_8_6"/>
      <w:bookmarkStart w:id="664" w:name="Tc_tUKCCJXzHkOjwDc_KL7qmg_8_0"/>
      <w:bookmarkStart w:id="665" w:name="Tc_TEImL49o6Uau8TdZ-B_joA_7_6"/>
      <w:bookmarkStart w:id="666" w:name="Tc_R4_DsucNCEGMkJzzoXLOuw_7_0"/>
      <w:bookmarkStart w:id="667" w:name="Tc_4xiBGD2FYUiWqjXVLje5jQ_6_11"/>
      <w:bookmarkStart w:id="668" w:name="Tc_tJFoAl4Y2kqEwqaeaLFeaQ_6_8"/>
      <w:bookmarkStart w:id="669" w:name="Tc_PbU8OJnHpECGvthDgyQVGA_6_5"/>
      <w:bookmarkStart w:id="670" w:name="Tc_A-SG91lhv0GftdgDOMu3pA_6_2"/>
      <w:bookmarkStart w:id="671" w:name="Tc_qvdxdq96A0-krWrsJCAJSw_6_0"/>
      <w:bookmarkStart w:id="672" w:name="Tc__6puaALhakGqZs9uGZ7mnA_5_0"/>
      <w:bookmarkStart w:id="673" w:name="Tc_kc7DMxEx20eJJzAD_Y40dA_4_11"/>
      <w:bookmarkStart w:id="674" w:name="Tc_gIRUY-TlN0WoL6uI9n4z7w_4_8"/>
      <w:bookmarkStart w:id="675" w:name="Tc_BOezL58QYkKIwr1fZD8Mgw_4_5"/>
      <w:bookmarkStart w:id="676" w:name="Tc_7oJSx2CYj0SChIevvX95mA_4_2"/>
      <w:bookmarkStart w:id="677" w:name="Tc_0y1OuNjlk0O6g6rTaN4x-Q_4_0"/>
      <w:bookmarkStart w:id="678" w:name="Tc_uWqitSFlG0GW7t-k9LvpmA_3_11"/>
      <w:bookmarkStart w:id="679" w:name="Tc_BvP3mjAoG0KiFIKxbuyq8A_3_8"/>
      <w:bookmarkStart w:id="680" w:name="Tc_3ebQ6ZyI40KRJik2R--Fog_3_5"/>
      <w:bookmarkStart w:id="681" w:name="Tc_ARSYLPyOQk-4-olkhDYsjg_3_2"/>
      <w:bookmarkStart w:id="682" w:name="Tc_6MlhdIORrEqDlKR0e6aLHg_2_8"/>
      <w:bookmarkStart w:id="683" w:name="Tc_MtZaslgcrE6QbfIXLvg5xQ_2_5"/>
      <w:bookmarkStart w:id="684" w:name="Tc_OThWZqpW80KaYyu0j-UvPw_1_2"/>
      <w:bookmarkStart w:id="685" w:name="_8d1253ea_983a_45f8_8516_083887bb617c"/>
      <w:bookmarkStart w:id="686" w:name="Tc_AF4-UGEMfkmghdOAh-l7Dg_10_11"/>
      <w:bookmarkStart w:id="687" w:name="Tc_THsY5GowUUicJzPsJ-xhrg_10_8"/>
      <w:bookmarkStart w:id="688" w:name="Tc_8FmuxEdg2EO7TUCNVyI38g_10_6"/>
      <w:bookmarkStart w:id="689" w:name="Tc_Oq5jof4iFE2csPIKMAVf4Q_10_5"/>
      <w:bookmarkStart w:id="690" w:name="Tc_5Uj_hYsGf0a8URkSVqQiZg_10_3"/>
      <w:bookmarkStart w:id="691" w:name="Tc_umz1N-3WIUumWM4abW0M6g_10_2"/>
      <w:bookmarkStart w:id="692" w:name="Tc_wxODjhO9jkmluE0xOA3Aug_10_0"/>
      <w:bookmarkStart w:id="693" w:name="Tc_vuyyG2iYF0GUx_GAHADg7Q_9_11"/>
      <w:bookmarkStart w:id="694" w:name="Tc_DDeXmakRpkGnCduiHEQVuw_9_8"/>
      <w:bookmarkStart w:id="695" w:name="Tc_DiaA8sQgYk22QWf6AgAfMg_9_6"/>
      <w:bookmarkStart w:id="696" w:name="Tc_ujt7QLF8uEmK0ltSWm4_lQ_9_5"/>
      <w:bookmarkStart w:id="697" w:name="Tc_LY73Ez-dxEmEcbuszhdr-w_9_3"/>
      <w:bookmarkStart w:id="698" w:name="Tc_bzVNwqQqPUKmLQ9PSoM-aA_9_2"/>
      <w:bookmarkStart w:id="699" w:name="Tc_6BtUzpy1qkeX9O95Nfj4vg_9_0"/>
      <w:bookmarkStart w:id="700" w:name="Tc_fOx5W0IOfEqiZTR4RXZwfw_8_0"/>
      <w:bookmarkStart w:id="701" w:name="Tc_MLH4BHnR20S18Y3Qyco5jA_6_11"/>
      <w:bookmarkStart w:id="702" w:name="Tc_4z-ouYQEwEyITJY86qVFSw_6_9"/>
      <w:bookmarkStart w:id="703" w:name="Tc_jldikT7t9kqjiFapvzWs0g_6_8"/>
      <w:bookmarkStart w:id="704" w:name="Tc_ZWqO1quBP0uCu1GmWsM0hA_6_5"/>
      <w:bookmarkStart w:id="705" w:name="Tc_0VZPhebo90iiIvShn-jcBw_6_2"/>
      <w:bookmarkStart w:id="706" w:name="Tc_ji4AxFhtvEqdRfaHZy4OWQ_6_0"/>
      <w:bookmarkStart w:id="707" w:name="Tc_E8Jm4JKzMke6qjA60k_CKg_5_9"/>
      <w:bookmarkStart w:id="708" w:name="Tc_Jn7FH674uECqyIEBU8EUwg_5_3"/>
      <w:bookmarkStart w:id="709" w:name="Tc_JqWG8JwwT0OCHi3cqLOw8A_5_0"/>
      <w:bookmarkStart w:id="710" w:name="Tc_ZpqScG1q0kabqcDyHS6_OA_4_11"/>
      <w:bookmarkStart w:id="711" w:name="Tc_z450eP5OH0egq2SNiCyi1g_4_9"/>
      <w:bookmarkStart w:id="712" w:name="Tc_w8i88uClr0-IvGnkdbfu6w_4_8"/>
      <w:bookmarkStart w:id="713" w:name="Tc_M2SE7l1VIkyvuEyBWTQyBQ_4_6"/>
      <w:bookmarkStart w:id="714" w:name="Tc_9wi7ASkLFEKTfuXb1QVNrA_4_5"/>
      <w:bookmarkStart w:id="715" w:name="Tc_DqmaPcUxIUS96UhzRPW3Qw_4_2"/>
      <w:bookmarkStart w:id="716" w:name="Tc_WOU5CLjifkKXT0E9cYWVmw_4_0"/>
      <w:bookmarkStart w:id="717" w:name="Tc_2UrqRjmKZEeKKmpubg0odg_3_0"/>
      <w:bookmarkStart w:id="718" w:name="Tc_8dHY8XXVdkCXhjM1SzKE-Q_2_11"/>
      <w:bookmarkStart w:id="719" w:name="Tc_38LpasZvIkColPPXeaSDCA_2_8"/>
      <w:bookmarkStart w:id="720" w:name="Tc_ve1mOddngkOUOtUgps8rYA_2_5"/>
      <w:bookmarkStart w:id="721" w:name="Tc_c4rkWPQbw0S_Li9ihhb5VA_2_2"/>
      <w:bookmarkStart w:id="722" w:name="Tc_HfX24MwvOk2HAL2mdcIAAQ_2_0"/>
      <w:bookmarkStart w:id="723" w:name="Tc_dMAJ_ik-dU6a1m2EseiXEQ_1_2"/>
      <w:bookmarkStart w:id="724" w:name="_e83022e9_0b1f_4a77_b3d7_f934e5fc76d8"/>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tbl>
      <w:tblPr>
        <w:tblW w:w="7393" w:type="dxa"/>
        <w:jc w:val="left"/>
        <w:tblInd w:w="0" w:type="dxa"/>
        <w:tblLayout w:type="fixed"/>
        <w:tblCellMar>
          <w:top w:w="0" w:type="dxa"/>
          <w:left w:w="0" w:type="dxa"/>
          <w:bottom w:w="0" w:type="dxa"/>
          <w:right w:w="0" w:type="dxa"/>
        </w:tblCellMar>
      </w:tblPr>
      <w:tblGrid>
        <w:gridCol w:w="2206"/>
        <w:gridCol w:w="346"/>
        <w:gridCol w:w="211"/>
        <w:gridCol w:w="676"/>
        <w:gridCol w:w="346"/>
        <w:gridCol w:w="211"/>
        <w:gridCol w:w="781"/>
        <w:gridCol w:w="346"/>
        <w:gridCol w:w="211"/>
        <w:gridCol w:w="676"/>
        <w:gridCol w:w="346"/>
        <w:gridCol w:w="211"/>
        <w:gridCol w:w="82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00810" cy="175260"/>
                      <wp:effectExtent l="0" t="0" r="0" b="0"/>
                      <wp:wrapNone/>
                      <wp:docPr id="69" name="Frame69"/>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29260" cy="175260"/>
                      <wp:effectExtent l="0" t="0" r="0" b="0"/>
                      <wp:wrapNone/>
                      <wp:docPr id="72" name="Frame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95935" cy="175260"/>
                      <wp:effectExtent l="0" t="0" r="0" b="0"/>
                      <wp:wrapNone/>
                      <wp:docPr id="75" name="Frame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4510" cy="175260"/>
                      <wp:effectExtent l="0" t="0" r="0" b="0"/>
                      <wp:wrapNone/>
                      <wp:docPr id="81" name="Frame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  ​ ​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16,302</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131,403</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147,705</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11,000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the Company’s cash equivalents consisted of money market funds, which were valued based upon Level 1 inputs, and treasury bills, which were valued based on Level 2 inputs. As of December 31, 2025, the Company’s cash equivalents consisted of money market funds, which were valued based upon Level 1 inputs. The Company’s marketable securities as of March 31, 2026 consisted of corporate debt securities, commercial paper, treasury bills, and U.S. government debt securities, which were all valued based upon Level 2 inputs. The Company’s marketable securities as of December 31, 2025 consisted of corporate debt securities and U.S. government debt securities, which were all valued based upon Level 2 inputs.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determining the fair value of its Level 2 investments, the Company relies on quoted prices for identical securities in markets that are not active. These quoted prices are obtained by the Company with the assistance of a third-party pricing service based on available trade, bid and other observable market data for identical securities. During the three months ended March 31, 2026 and 2025, there were no transfers into or out of Level 3.</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was no change in the fair value of the contingent consideration liability during the three months ended March 31, 2026 due to offsetting impacts of the passage of time and changes in market rates.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2026 and December 31, 2025, the fair value of the Company’s available-for-sale marketable securities by type of security was as follows:</w:t>
      </w:r>
    </w:p>
    <w:p>
      <w:pPr>
        <w:pStyle w:val="TextBody"/>
        <w:bidi w:val="0"/>
        <w:spacing w:before="0" w:after="0"/>
        <w:ind w:left="0" w:right="0" w:firstLine="720"/>
        <w:jc w:val="both"/>
        <w:rPr/>
      </w:pPr>
      <w:r>
        <w:rPr/>
        <w:t>​</w:t>
      </w:r>
    </w:p>
    <w:tbl>
      <w:tblPr>
        <w:tblW w:w="7133" w:type="dxa"/>
        <w:jc w:val="left"/>
        <w:tblInd w:w="0" w:type="dxa"/>
        <w:tblLayout w:type="fixed"/>
        <w:tblCellMar>
          <w:top w:w="0" w:type="dxa"/>
          <w:left w:w="0" w:type="dxa"/>
          <w:bottom w:w="0" w:type="dxa"/>
          <w:right w:w="0" w:type="dxa"/>
        </w:tblCellMar>
      </w:tblPr>
      <w:tblGrid>
        <w:gridCol w:w="2836"/>
        <w:gridCol w:w="109"/>
        <w:gridCol w:w="211"/>
        <w:gridCol w:w="781"/>
        <w:gridCol w:w="109"/>
        <w:gridCol w:w="295"/>
        <w:gridCol w:w="591"/>
        <w:gridCol w:w="109"/>
        <w:gridCol w:w="270"/>
        <w:gridCol w:w="616"/>
        <w:gridCol w:w="109"/>
        <w:gridCol w:w="211"/>
        <w:gridCol w:w="886"/>
      </w:tblGrid>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7325" cy="175260"/>
                      <wp:effectExtent l="0" t="0" r="0" b="0"/>
                      <wp:wrapNone/>
                      <wp:docPr id="86" name="Frame8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75285" cy="175260"/>
                      <wp:effectExtent l="0" t="0" r="0" b="0"/>
                      <wp:wrapNone/>
                      <wp:docPr id="87" name="Frame8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71450" cy="175260"/>
                      <wp:effectExtent l="0" t="0" r="0" b="0"/>
                      <wp:wrapNone/>
                      <wp:docPr id="89" name="Frame8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91160" cy="175260"/>
                      <wp:effectExtent l="0" t="0" r="0" b="0"/>
                      <wp:wrapNone/>
                      <wp:docPr id="90" name="Frame9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2610" cy="175260"/>
                      <wp:effectExtent l="0" t="0" r="0" b="0"/>
                      <wp:wrapNone/>
                      <wp:docPr id="93" name="Frame9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1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Book </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83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Corporate debt securities</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104,789</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104,749</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bills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r>
      <w:tr>
        <w:trPr/>
        <w:tc>
          <w:tcPr>
            <w:tcW w:w="28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U.S. government debt securities</w:t>
            </w:r>
            <w:r>
              <w:rPr>
                <w:rFonts w:ascii="Times New Roman;Times;serif" w:hAnsi="Times New Roman;Times;serif"/>
                <w:sz w:val="12"/>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47,470</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47,536</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162,106</w:t>
            </w:r>
          </w:p>
        </w:tc>
        <w:tc>
          <w:tcPr>
            <w:tcW w:w="109"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162,128</w:t>
            </w:r>
          </w:p>
        </w:tc>
      </w:tr>
    </w:tbl>
    <w:tbl>
      <w:tblPr>
        <w:tblW w:w="8946" w:type="dxa"/>
        <w:jc w:val="left"/>
        <w:tblInd w:w="0" w:type="dxa"/>
        <w:tblLayout w:type="fixed"/>
        <w:tblCellMar>
          <w:top w:w="28" w:type="dxa"/>
          <w:left w:w="28" w:type="dxa"/>
          <w:bottom w:w="28" w:type="dxa"/>
          <w:right w:w="28" w:type="dxa"/>
        </w:tblCellMar>
      </w:tblPr>
      <w:tblGrid>
        <w:gridCol w:w="124"/>
        <w:gridCol w:w="331"/>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Corporate debt securities is $65.2</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tbl>
      <w:tblPr>
        <w:tblW w:w="9486" w:type="dxa"/>
        <w:jc w:val="left"/>
        <w:tblInd w:w="0" w:type="dxa"/>
        <w:tblLayout w:type="fixed"/>
        <w:tblCellMar>
          <w:top w:w="28" w:type="dxa"/>
          <w:left w:w="28" w:type="dxa"/>
          <w:bottom w:w="28" w:type="dxa"/>
          <w:right w:w="28" w:type="dxa"/>
        </w:tblCellMar>
      </w:tblPr>
      <w:tblGrid>
        <w:gridCol w:w="124"/>
        <w:gridCol w:w="331"/>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U.S. government debt securities is $20.1</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p>
      <w:pPr>
        <w:pStyle w:val="TextBody"/>
        <w:bidi w:val="0"/>
        <w:spacing w:before="0" w:after="0"/>
        <w:ind w:left="0" w:right="0" w:hanging="0"/>
        <w:jc w:val="left"/>
        <w:rPr/>
      </w:pPr>
      <w:r>
        <w:rPr/>
        <w:t>​</w:t>
      </w:r>
    </w:p>
    <w:tbl>
      <w:tblPr>
        <w:tblW w:w="7148" w:type="dxa"/>
        <w:jc w:val="left"/>
        <w:tblInd w:w="0" w:type="dxa"/>
        <w:tblLayout w:type="fixed"/>
        <w:tblCellMar>
          <w:top w:w="0" w:type="dxa"/>
          <w:left w:w="0" w:type="dxa"/>
          <w:bottom w:w="0" w:type="dxa"/>
          <w:right w:w="0" w:type="dxa"/>
        </w:tblCellMar>
      </w:tblPr>
      <w:tblGrid>
        <w:gridCol w:w="2851"/>
        <w:gridCol w:w="109"/>
        <w:gridCol w:w="211"/>
        <w:gridCol w:w="781"/>
        <w:gridCol w:w="109"/>
        <w:gridCol w:w="295"/>
        <w:gridCol w:w="591"/>
        <w:gridCol w:w="109"/>
        <w:gridCol w:w="335"/>
        <w:gridCol w:w="551"/>
        <w:gridCol w:w="109"/>
        <w:gridCol w:w="211"/>
        <w:gridCol w:w="886"/>
      </w:tblGrid>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6" name="Frame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7325" cy="175260"/>
                      <wp:effectExtent l="0" t="0" r="0" b="0"/>
                      <wp:wrapNone/>
                      <wp:docPr id="98" name="Frame9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75285" cy="175260"/>
                      <wp:effectExtent l="0" t="0" r="0" b="0"/>
                      <wp:wrapNone/>
                      <wp:docPr id="99" name="Frame99"/>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2725" cy="175260"/>
                      <wp:effectExtent l="0" t="0" r="0" b="0"/>
                      <wp:wrapNone/>
                      <wp:docPr id="101" name="Frame10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49885" cy="175260"/>
                      <wp:effectExtent l="0" t="0" r="0" b="0"/>
                      <wp:wrapNone/>
                      <wp:docPr id="102" name="Frame102"/>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62610" cy="175260"/>
                      <wp:effectExtent l="0" t="0" r="0" b="0"/>
                      <wp:wrapNone/>
                      <wp:docPr id="105" name="Frame1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1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8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85,222</w:t>
            </w:r>
          </w:p>
        </w:tc>
        <w:tc>
          <w:tcPr>
            <w:tcW w:w="109"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85,595</w:t>
            </w:r>
          </w:p>
        </w:tc>
      </w:tr>
      <w:tr>
        <w:trPr/>
        <w:tc>
          <w:tcPr>
            <w:tcW w:w="28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U.S. government debt securities</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45,571</w:t>
            </w:r>
          </w:p>
        </w:tc>
        <w:tc>
          <w:tcPr>
            <w:tcW w:w="109"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45,808</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130,793</w:t>
            </w:r>
          </w:p>
        </w:tc>
        <w:tc>
          <w:tcPr>
            <w:tcW w:w="109"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109"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131,403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46" w:type="dxa"/>
        <w:jc w:val="left"/>
        <w:tblInd w:w="0" w:type="dxa"/>
        <w:tblLayout w:type="fixed"/>
        <w:tblCellMar>
          <w:top w:w="28" w:type="dxa"/>
          <w:left w:w="28" w:type="dxa"/>
          <w:bottom w:w="28" w:type="dxa"/>
          <w:right w:w="28" w:type="dxa"/>
        </w:tblCellMar>
      </w:tblPr>
      <w:tblGrid>
        <w:gridCol w:w="124"/>
        <w:gridCol w:w="331"/>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Corporate debt securities is $45.4</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tbl>
      <w:tblPr>
        <w:tblW w:w="9486" w:type="dxa"/>
        <w:jc w:val="left"/>
        <w:tblInd w:w="0" w:type="dxa"/>
        <w:tblLayout w:type="fixed"/>
        <w:tblCellMar>
          <w:top w:w="28" w:type="dxa"/>
          <w:left w:w="28" w:type="dxa"/>
          <w:bottom w:w="28" w:type="dxa"/>
          <w:right w:w="28" w:type="dxa"/>
        </w:tblCellMar>
      </w:tblPr>
      <w:tblGrid>
        <w:gridCol w:w="124"/>
        <w:gridCol w:w="331"/>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Included in U.S. government debt securities is $15.2</w:t>
            </w:r>
            <w:r>
              <w:rPr>
                <w:caps w:val="false"/>
                <w:smallCaps w:val="false"/>
              </w:rPr>
              <w:t xml:space="preserve"> </w:t>
            </w:r>
            <w:r>
              <w:rPr>
                <w:rFonts w:ascii="Times New Roman;Times;serif" w:hAnsi="Times New Roman;Times;serif"/>
                <w:b w:val="false"/>
                <w:i w:val="false"/>
                <w:caps w:val="false"/>
                <w:smallCaps w:val="false"/>
                <w:sz w:val="20"/>
              </w:rPr>
              <w:t>million with maturity dates between one</w:t>
            </w:r>
            <w:r>
              <w:rPr>
                <w:caps w:val="false"/>
                <w:smallCaps w:val="false"/>
              </w:rPr>
              <w:t xml:space="preserve"> </w:t>
            </w:r>
            <w:r>
              <w:rPr>
                <w:rFonts w:ascii="Times New Roman;Times;serif" w:hAnsi="Times New Roman;Times;serif"/>
                <w:b w:val="false"/>
                <w:i w:val="false"/>
                <w:caps w:val="false"/>
                <w:smallCaps w:val="false"/>
                <w:sz w:val="20"/>
              </w:rPr>
              <w:t>and three years.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76"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725" w:name="Tc_vebvk5ZW1kujyquwdD2pow_7_5"/>
      <w:bookmarkStart w:id="726" w:name="Tc_aNGPW4_r4UGfnnDBQZDTZA_7_2"/>
      <w:bookmarkStart w:id="727" w:name="Tc_yi-v0i7_60G_2hAQNI2dVQ_7_0"/>
      <w:bookmarkStart w:id="728" w:name="Tc_9KdVEag2GUSkui7EPj2WZA_6_0"/>
      <w:bookmarkStart w:id="729" w:name="Tc_9WjSjRX91UyTkeQ-wljWLQ_5_0"/>
      <w:bookmarkStart w:id="730" w:name="Tc_5keAqajC9EW4TSrczzdKiQ_4_0"/>
      <w:bookmarkStart w:id="731" w:name="Tc_FQgMFFW7PUaM4Z3Uk9QKjg_3_5"/>
      <w:bookmarkStart w:id="732" w:name="Tc_zxpK_09o-EC5trIA4IDtZg_3_2"/>
      <w:bookmarkStart w:id="733" w:name="Tc_ZhQZyEA8UE6QwNo1gUhQ-A_3_0"/>
      <w:bookmarkStart w:id="734" w:name="Tc__4DJXXP9NUCZMrKD7YnDpg_2_5"/>
      <w:bookmarkStart w:id="735" w:name="Tc_LiWkLdd1ZESWrDzLZ_zazA_2_2"/>
      <w:bookmarkStart w:id="736" w:name="Tc_5PrHVdystEGudJdkkJh6GA_2_0"/>
      <w:bookmarkStart w:id="737" w:name="Tc_TqlPf-Pg1UqTammORLA21A_1_5"/>
      <w:bookmarkStart w:id="738" w:name="Tc_E8hwJrgrkUymn6pr-QvZYQ_1_2"/>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r>
        <w:rPr>
          <w:rFonts w:ascii="Times New Roman;Times;serif" w:hAnsi="Times New Roman;Times;serif"/>
          <w:b/>
          <w:sz w:val="20"/>
        </w:rPr>
        <w:t>4. Accrued Expenses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expenses consisted of the following:</w:t>
      </w:r>
    </w:p>
    <w:p>
      <w:pPr>
        <w:pStyle w:val="TextBody"/>
        <w:bidi w:val="0"/>
        <w:spacing w:before="0" w:after="0"/>
        <w:ind w:left="0" w:right="0" w:hanging="0"/>
        <w:jc w:val="left"/>
        <w:rPr/>
      </w:pPr>
      <w:r>
        <w:rPr/>
        <w:t>​</w:t>
      </w:r>
    </w:p>
    <w:tbl>
      <w:tblPr>
        <w:tblW w:w="5868" w:type="dxa"/>
        <w:jc w:val="left"/>
        <w:tblInd w:w="0" w:type="dxa"/>
        <w:tblLayout w:type="fixed"/>
        <w:tblCellMar>
          <w:top w:w="0" w:type="dxa"/>
          <w:left w:w="0" w:type="dxa"/>
          <w:bottom w:w="0" w:type="dxa"/>
          <w:right w:w="0" w:type="dxa"/>
        </w:tblCellMar>
      </w:tblPr>
      <w:tblGrid>
        <w:gridCol w:w="3091"/>
        <w:gridCol w:w="346"/>
        <w:gridCol w:w="242"/>
        <w:gridCol w:w="658"/>
        <w:gridCol w:w="346"/>
        <w:gridCol w:w="281"/>
        <w:gridCol w:w="904"/>
      </w:tblGrid>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3670" cy="175260"/>
                      <wp:effectExtent l="0" t="0" r="0" b="0"/>
                      <wp:wrapNone/>
                      <wp:docPr id="107" name="Frame10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17830" cy="175260"/>
                      <wp:effectExtent l="0" t="0" r="0" b="0"/>
                      <wp:wrapNone/>
                      <wp:docPr id="108" name="Frame10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8435" cy="175260"/>
                      <wp:effectExtent l="0" t="0" r="0" b="0"/>
                      <wp:wrapNone/>
                      <wp:docPr id="110" name="Frame11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4040" cy="175260"/>
                      <wp:effectExtent l="0" t="0" r="0" b="0"/>
                      <wp:wrapNone/>
                      <wp:docPr id="111" name="Frame11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8,791</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Stockholders’ Equity</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2026 and December 31, 2025, the Company’s amended and restated certificate of incorporation (the “Charter”) authorized the Company to issue 10,000,000 shares of undesignated preferred stock.  There were no shares of preferred stock outstanding as of March 31, 2026 or December 31,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2026 and December 31, 2025, the Company’s Charter authorized the Company to issue 400,000,000 shares of $0.00001 par value common stock. There were 139,652,849 and 120,499,433 shares of common stock issued and outstanding as of March 31, 2026 and December 31, 2025, respectively.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Each share of common stock entitles the holder to one vote on all matters submitted to a vote of the Company’s stockholders. Common stockholders are entitled to receive dividends, as may be declared by the board of directors, if any, subject to any preferential dividend rights of any series of preferred stock that may be outstanding. No dividends have been declared through March 31, 2026.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Company issued warrants to Biosion, Inc. (“Biosion”) and Chia Tai Tianqing Pharmaceutical Group, Co., Ltd. (“CTTQ”) to purchase, in the aggregate, 14,281,985 shares of the Company’s common stock (the “Warrants”). The Warrants have an initial exercise price of $0.00001 per share, subject to adjustment as provided in the Warrants. The Warrants are immediately exercisable, subject to any applicable overseas direct investment filing that may be required for the holders. The Warrants will terminate when exercised in full.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2026, 3,000,000 Warrants were unexercised.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of Common Stock Pursuant to At-The-Market Facility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2026, the Company sold an aggregate of 18.4 million shares of its common stock for gross proceeds of $59.8 million, pursuant to an amended and restated sales agreement with Leerink Partners LLC and Cantor Fitzgerald &amp; Co., as sales agents, dated February 27, 2025. The Company paid selling commissions and other fees of $1.8 million in connection with the sales.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 Stock-Based Awards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2025 Equity Incentive Plan</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2025, the Company’s board of directors adopted the 2025 Equity Incentive Plan (the “2025 Plan”), and in June 2025, the Company’s stockholders approved the 2025 Plan. Upon the 2025 Plan becoming effective, no further grants can be made under the Company’s 2015 Equity Incentive Plan (the “2015 Plan”). The 2025 Plan provides for the grant of incentive stock options, nonqualified stock options, stock appreciation rights, restricted stock awards, restricted stock unit (“RSU”) awards, cash-based awards, and other stock-based awards. The number of shares initially reserved for issuance under the 2025 Plan was 25,532,993 shares of common stock, which includes (i) 9,000,000 new shares of common stock, (ii) 3,957,232 shares of common stock that remained available for future grant under the 2015 Plan upon adoption of the 2025 Plan and (iii) up to 12,575,761 shares of common stock underlying outstanding awards under the 2015 Plan and the former 2012 Equity Compensation Plan, which may become available for issuance under the 2025 Plan if and as such awards expire, are otherwise terminated, settled in cash, or repurchased by the Company. The shares of common stock underlying any awards that expire, or are otherwise terminated, settled in cash or repurchased by the Company under the 2025 Plan will be added back to the shares of common stock available for issuance under the 2025 Plan. As of March 31, 2026, 6,674,876 shares remained available for grant under the 2025 Plan. The Company had 5,326,410 stock options and 1,852,140 RSUs outstanding as of March 31, 2026 under the 2025 Plan.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2024 Inducement Plan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2024, the Company’s board of directors adopted the 2024 Inducement Plan (the “2024 Inducement Plan”). The 2024 Inducement Plan is a non-stockholder approved stock plan adopted pursuant to the “inducement exception” provided under Nasdaq listing rules. The only employees eligible to receive grants of awards under the 2024 Inducement Plan are individuals who satisfy the standards for inducement grants under Nasdaq rules, generally including individuals who were not previously an employee or director of the Company. Under the terms of the 2024 Inducement Plan, the Company may grant up to 2,000,000 shares of common stock pursuant to nonqualified stock options, stock appreciation rights, restricted stock awards, RSU awards, and other stock awards. The shares of common stock underlying any awards that expire, or are otherwise terminated, settled in cash or repurchased by the Company under the 2024 Inducement Plan will be added back to the shares of common stock available for issuance under the 2024 Inducement Plan. As of March 31, 2026, 493,500 shares remained available for grant under the 2024 Inducement Plan. The Company had 1,172,000 stock options and 287,250 RSUs outstanding as of March 31, 2026 under the 2024 Inducement Plan.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2017 Inducement Plan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July 2017, the Company’s board of directors adopted the 2017 Inducement Plan (the “2017 Inducement Plan”). The 2017 Inducement Plan is a non-stockholder approved stock plan adopted pursuant to the “inducement exception” provided under Nasdaq listing rules. The Company had 323,500 stock options outstanding as of March 31, 2026 under the 2017 Inducement Plan. All shares of common stock that were eligible for issuance under the 2017 Inducement Plan after October 1, 2018, including any shares underlying any awards that expire or are otherwise terminated, reacquired to satisfy tax withholding obligations, settled in cash or repurchased by the Company in the future that would have been eligible for re-issuance under the 2017 Inducement Plan, were retired.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2015 Equity Incentive Plan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2015, the Company’s board of directors adopted the 2015 Plan, and the Company’s stockholders approved the 2015 Plan. The 2015 Plan became effective in connection with the Company’s initial public offering in October 2015. Upon the 2025 Plan becoming effective, no further grants can be made under the 2015 Plan. The Company had 8,674,464 stock options and 1,458,796 RSUs outstanding as of March 31, 2026 under the 2015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bookmarkStart w:id="739" w:name="Tc_F8GvIm4sPU6aBZ--EN-lyw_10_4"/>
      <w:bookmarkStart w:id="740" w:name="Tc_VIhmsZGg00K8Boy6azPZOA_10_0"/>
      <w:bookmarkStart w:id="741" w:name="Tc_4uSHlhRgFU2orXdCcT4EnA_9_0"/>
      <w:bookmarkStart w:id="742" w:name="Tc_jN-DT3zmTUilfMHPvXKR4Q_8_7"/>
      <w:bookmarkStart w:id="743" w:name="Tc_35SSigDF4k6CoLaKIVsg0w_8_0"/>
      <w:bookmarkStart w:id="744" w:name="Tc_TZ_EGB2jmUODMxDXpvVmNw_7_0"/>
      <w:bookmarkStart w:id="745" w:name="Tc_EzQbhlsfFEmN4f18q3z2Ng_6_4"/>
      <w:bookmarkStart w:id="746" w:name="Tc_tvNO-mwq9k-MCHNAN8NEew_6_0"/>
      <w:bookmarkStart w:id="747" w:name="Tc_1qy_INLyAkSWQTrZH_cc8g_5_7"/>
      <w:bookmarkStart w:id="748" w:name="Tc_fhFgLVKzV0-LSI3xpmMjZA_5_4"/>
      <w:bookmarkStart w:id="749" w:name="Tc_WBkBE20gc0mrdONxLBQxVg_5_2"/>
      <w:bookmarkStart w:id="750" w:name="Tc_uokxNK0uwEaqxX9NZteokg_4_7"/>
      <w:bookmarkStart w:id="751" w:name="Tc_2rB69elRv0SnQFjs_067pA_4_4"/>
      <w:bookmarkStart w:id="752" w:name="Tc_BeodIOqHZkiMrhZbFh6GzQ_4_2"/>
      <w:bookmarkStart w:id="753" w:name="Tc_lqyp_yHtn0yPU2u1TqHAYw_3_7"/>
      <w:bookmarkStart w:id="754" w:name="Tc_YzTYiFPBEUizGoPkKYUZSw_3_4"/>
      <w:bookmarkStart w:id="755" w:name="Tc_4t9nCTHR2kmdC0w0SY_4kw_2_7"/>
      <w:bookmarkStart w:id="756" w:name="Tc_V3dMt080GkeFppcZGvAJ9A_2_4"/>
      <w:bookmarkStart w:id="757" w:name="Tc_lNz4l90p_kCLpeVfnSIB4w_1_4"/>
      <w:bookmarkStart w:id="758" w:name="Tc_vLIUdc32K0-3MhFq4Tseyg_13_9"/>
      <w:bookmarkStart w:id="759" w:name="Tc_6MAk2gHrdkSfrNQef1naLQ_13_4"/>
      <w:bookmarkStart w:id="760" w:name="Tc_Yc448hEOsEaEvqYuZGOq7g_13_0"/>
      <w:bookmarkStart w:id="761" w:name="Tc_l9QcQbQCxUqGqsyOfXjL8g_12_9"/>
      <w:bookmarkStart w:id="762" w:name="Tc_edt6XL9jeE6krsjyQ7j8Pw_12_4"/>
      <w:bookmarkStart w:id="763" w:name="Tc_wwPSSmJqG0K2j37_PXaaMQ_12_0"/>
      <w:bookmarkStart w:id="764" w:name="Tc_mWBRlpWeNkqdAzm5Ar1_oA_11_9"/>
      <w:bookmarkStart w:id="765" w:name="Tc_avEgP4aFF066URpMGGjYTg_11_4"/>
      <w:bookmarkStart w:id="766" w:name="Tc_5RykOKUy9UiXas1gd9PoGQ_11_0"/>
      <w:bookmarkStart w:id="767" w:name="Tc_n41atpCoZkmOjYLEajonlg_10_0"/>
      <w:bookmarkStart w:id="768" w:name="Tc_TsS2Gqj8tU-dw7SsVt4p0w_9_0"/>
      <w:bookmarkStart w:id="769" w:name="Tc_AEokhc0dDkGNfU8e7cc9rg_8_0"/>
      <w:bookmarkStart w:id="770" w:name="Tc_tNMokmuWU0iqzxR_Rv2ZoQ_7_9"/>
      <w:bookmarkStart w:id="771" w:name="Tc_ymG-Z647vEK0vAhCD3a-mA_7_4"/>
      <w:bookmarkStart w:id="772" w:name="Tc_BQfP9gNiZkCacidcqUN1iA_7_0"/>
      <w:bookmarkStart w:id="773" w:name="Tc_E93LWKy8QkeHgvsGj_AQ9Q_6_9"/>
      <w:bookmarkStart w:id="774" w:name="Tc_56S06CpGZkGBQewaS6Ju2g_6_7"/>
      <w:bookmarkStart w:id="775" w:name="Tc_88N2a4tNPU-j6kJrC-IkgA_6_4"/>
      <w:bookmarkStart w:id="776" w:name="Tc_0DIYQq1OlE2dXYceGXZs9w_6_2"/>
      <w:bookmarkStart w:id="777" w:name="Tc_9ePaw1lGREeZsNexEM4TiQ_5_9"/>
      <w:bookmarkStart w:id="778" w:name="Tc_fnwyRnEQhEy1w9l4bb5pJw_5_7"/>
      <w:bookmarkStart w:id="779" w:name="Tc_h3tFrTCtb0S6gd8n7JDh6A_5_4"/>
      <w:bookmarkStart w:id="780" w:name="Tc_KULrAFOwkkOLeDigDpHyIQ_5_2"/>
      <w:bookmarkStart w:id="781" w:name="Tc_zDWk5MLJBESN0ZZby83oHA_4_9"/>
      <w:bookmarkStart w:id="782" w:name="Tc_u5J5q2cwAEOKwwyHZVad5w_4_7"/>
      <w:bookmarkStart w:id="783" w:name="Tc_8zAdlzJQ8k-r1gnjkRQ3_w_4_4"/>
      <w:bookmarkStart w:id="784" w:name="Tc_S_e8JUO8HEywf6U6DZWy9g_3_9"/>
      <w:bookmarkStart w:id="785" w:name="Tc_UphG_NYPzkKSXLo73QW9yw_3_7"/>
      <w:bookmarkStart w:id="786" w:name="Tc_xeipTHJmm0GsHZb2uYnfKw_3_4"/>
      <w:bookmarkStart w:id="787" w:name="Tc_0XiwGWAYFU22or-4I_Noow_2_7"/>
      <w:bookmarkStart w:id="788" w:name="Tc_bEnYW7lymEarm_-7js1bPw_1_7"/>
      <w:bookmarkStart w:id="789" w:name="_b4ac23f5_dd89_46f8_9cef_d892322d217f"/>
      <w:bookmarkStart w:id="790" w:name="Tc_fzEGFETmn0OnGDt4STZm5A_7_6"/>
      <w:bookmarkStart w:id="791" w:name="Tc_QogTOfSiZ06LdqCa6r8AQw_7_3"/>
      <w:bookmarkStart w:id="792" w:name="Tc_7ouXPrqVsUCLUHy_fRyDew_7_0"/>
      <w:bookmarkStart w:id="793" w:name="Tc_kno-0uuxb0KbFlGmRaQeYw_6_6"/>
      <w:bookmarkStart w:id="794" w:name="Tc_BHYjkWB3vUW7xeK4akJCLg_6_3"/>
      <w:bookmarkStart w:id="795" w:name="Tc_Qg9r_wQ0nkSdTgGAdQiQ3g_6_0"/>
      <w:bookmarkStart w:id="796" w:name="Tc_Zwyshmc3D0CvVpRrUWxflg_5_0"/>
      <w:bookmarkStart w:id="797" w:name="Tc_Ci_T9mAoG0S7c2M6WwAMcg_4_6"/>
      <w:bookmarkStart w:id="798" w:name="Tc_41mQuHYOkE-LE3AH_5PoWQ_4_3"/>
      <w:bookmarkStart w:id="799" w:name="Tc_XavNZvTNZ0iRx83CnR1njQ_4_0"/>
      <w:bookmarkStart w:id="800" w:name="Tc_3kPjPYP9o02N-SKAn2TdMQ_3_5"/>
      <w:bookmarkStart w:id="801" w:name="Tc_tBJDM-JXk0a7mHGL4p8h9Q_3_2"/>
      <w:bookmarkStart w:id="802" w:name="Tc_chKlMcyyIUKz6FNvlebeCA_2_2"/>
      <w:bookmarkStart w:id="803" w:name="Tc_j25GJPRox0-T2PxxlW3C5A_1_2"/>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Pr>
          <w:rFonts w:ascii="Times New Roman;Times;serif" w:hAnsi="Times New Roman;Times;serif"/>
          <w:b/>
          <w:sz w:val="20"/>
        </w:rPr>
        <w:t>Stock Option Valuation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weighted average assumptions the Company used to estimate the fair value of stock options granted during the three months ended March 31, 2026 and 2025 were as follows:</w:t>
      </w:r>
    </w:p>
    <w:p>
      <w:pPr>
        <w:pStyle w:val="TextBody"/>
        <w:bidi w:val="0"/>
        <w:spacing w:before="0" w:after="0"/>
        <w:ind w:left="0" w:right="0" w:hanging="0"/>
        <w:jc w:val="left"/>
        <w:rPr/>
      </w:pPr>
      <w:r>
        <w:rPr/>
        <w:t>​</w:t>
      </w:r>
    </w:p>
    <w:tbl>
      <w:tblPr>
        <w:tblW w:w="4315" w:type="dxa"/>
        <w:jc w:val="left"/>
        <w:tblInd w:w="0" w:type="dxa"/>
        <w:tblLayout w:type="fixed"/>
        <w:tblCellMar>
          <w:top w:w="0" w:type="dxa"/>
          <w:left w:w="0" w:type="dxa"/>
          <w:bottom w:w="0" w:type="dxa"/>
          <w:right w:w="0" w:type="dxa"/>
        </w:tblCellMar>
      </w:tblPr>
      <w:tblGrid>
        <w:gridCol w:w="2131"/>
        <w:gridCol w:w="346"/>
        <w:gridCol w:w="571"/>
        <w:gridCol w:w="271"/>
        <w:gridCol w:w="109"/>
        <w:gridCol w:w="57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53185" cy="175260"/>
                      <wp:effectExtent l="0" t="0" r="0" b="0"/>
                      <wp:wrapNone/>
                      <wp:docPr id="112" name="Frame112"/>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2585" cy="175260"/>
                      <wp:effectExtent l="0" t="0" r="0" b="0"/>
                      <wp:wrapNone/>
                      <wp:docPr id="114" name="Frame1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72085" cy="175260"/>
                      <wp:effectExtent l="0" t="0" r="0" b="0"/>
                      <wp:wrapNone/>
                      <wp:docPr id="115" name="Frame1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2585" cy="175260"/>
                      <wp:effectExtent l="0" t="0" r="0" b="0"/>
                      <wp:wrapNone/>
                      <wp:docPr id="117" name="Frame1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0660" cy="175260"/>
                      <wp:effectExtent l="0" t="0" r="0" b="0"/>
                      <wp:wrapNone/>
                      <wp:docPr id="118" name="Frame1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recognizes compensation expense for awards over their vesting period. Compensation expense for awards includes the impact of forfeitures in the period when they occur.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stock option activity for the three months ended March 31, 2026:</w:t>
      </w:r>
    </w:p>
    <w:p>
      <w:pPr>
        <w:pStyle w:val="TextBody"/>
        <w:bidi w:val="0"/>
        <w:spacing w:before="0" w:after="0"/>
        <w:ind w:left="0" w:right="0" w:hanging="0"/>
        <w:jc w:val="left"/>
        <w:rPr/>
      </w:pPr>
      <w:r>
        <w:rPr/>
        <w:t>​</w:t>
      </w:r>
    </w:p>
    <w:tbl>
      <w:tblPr>
        <w:tblW w:w="9267" w:type="dxa"/>
        <w:jc w:val="left"/>
        <w:tblInd w:w="0" w:type="dxa"/>
        <w:tblLayout w:type="fixed"/>
        <w:tblCellMar>
          <w:top w:w="0" w:type="dxa"/>
          <w:left w:w="0" w:type="dxa"/>
          <w:bottom w:w="0" w:type="dxa"/>
          <w:right w:w="0" w:type="dxa"/>
        </w:tblCellMar>
      </w:tblPr>
      <w:tblGrid>
        <w:gridCol w:w="4801"/>
        <w:gridCol w:w="146"/>
        <w:gridCol w:w="1036"/>
        <w:gridCol w:w="109"/>
        <w:gridCol w:w="214"/>
        <w:gridCol w:w="582"/>
        <w:gridCol w:w="109"/>
        <w:gridCol w:w="991"/>
        <w:gridCol w:w="109"/>
        <w:gridCol w:w="265"/>
        <w:gridCol w:w="905"/>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048635" cy="175260"/>
                      <wp:effectExtent l="0" t="0" r="0" b="0"/>
                      <wp:wrapNone/>
                      <wp:docPr id="119" name="Frame119"/>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2710" cy="175260"/>
                      <wp:effectExtent l="0" t="0" r="0" b="0"/>
                      <wp:wrapNone/>
                      <wp:docPr id="120" name="Frame1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57860" cy="175260"/>
                      <wp:effectExtent l="0" t="0" r="0" b="0"/>
                      <wp:wrapNone/>
                      <wp:docPr id="121" name="Frame1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5890" cy="175260"/>
                      <wp:effectExtent l="0" t="0" r="0" b="0"/>
                      <wp:wrapNone/>
                      <wp:docPr id="123" name="Frame12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69570" cy="175260"/>
                      <wp:effectExtent l="0" t="0" r="0" b="0"/>
                      <wp:wrapNone/>
                      <wp:docPr id="124" name="Frame124"/>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29285" cy="175260"/>
                      <wp:effectExtent l="0" t="0" r="0" b="0"/>
                      <wp:wrapNone/>
                      <wp:docPr id="126" name="Frame12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8275" cy="175260"/>
                      <wp:effectExtent l="0" t="0" r="0" b="0"/>
                      <wp:wrapNone/>
                      <wp:docPr id="128" name="Frame12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4675" cy="175260"/>
                      <wp:effectExtent l="0" t="0" r="0" b="0"/>
                      <wp:wrapNone/>
                      <wp:docPr id="129" name="Frame129"/>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265" w:type="dxa"/>
            <w:tcBorders/>
            <w:vAlign w:val="center"/>
          </w:tcPr>
          <w:p>
            <w:pPr>
              <w:pStyle w:val="TableContents"/>
              <w:bidi w:val="0"/>
              <w:spacing w:before="0" w:after="0"/>
              <w:ind w:left="0" w:right="0" w:hanging="0"/>
              <w:jc w:val="center"/>
              <w:rPr/>
            </w:pPr>
            <w:r>
              <w:rPr/>
              <w:t>​</w:t>
            </w:r>
          </w:p>
        </w:tc>
        <w:tc>
          <w:tcPr>
            <w:tcW w:w="905" w:type="dxa"/>
            <w:tcBorders/>
            <w:vAlign w:val="center"/>
          </w:tcPr>
          <w:p>
            <w:pPr>
              <w:pStyle w:val="TableContents"/>
              <w:bidi w:val="0"/>
              <w:spacing w:before="0" w:after="0"/>
              <w:ind w:left="0" w:right="0" w:hanging="0"/>
              <w:jc w:val="center"/>
              <w:rPr/>
            </w:pPr>
            <w:r>
              <w:rPr/>
              <w:t>​</w:t>
            </w:r>
          </w:p>
        </w:tc>
      </w:tr>
      <w:tr>
        <w:trPr/>
        <w:tc>
          <w:tcPr>
            <w:tcW w:w="4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center"/>
              <w:rPr/>
            </w:pPr>
            <w:r>
              <w:rPr/>
              <w:t>​</w:t>
            </w:r>
          </w:p>
        </w:tc>
        <w:tc>
          <w:tcPr>
            <w:tcW w:w="265" w:type="dxa"/>
            <w:tcBorders/>
            <w:vAlign w:val="center"/>
          </w:tcPr>
          <w:p>
            <w:pPr>
              <w:pStyle w:val="TableContents"/>
              <w:bidi w:val="0"/>
              <w:spacing w:before="0" w:after="0"/>
              <w:ind w:left="0" w:right="0" w:hanging="0"/>
              <w:jc w:val="center"/>
              <w:rPr/>
            </w:pPr>
            <w:r>
              <w:rPr/>
              <w:t>​</w:t>
            </w:r>
          </w:p>
        </w:tc>
        <w:tc>
          <w:tcPr>
            <w:tcW w:w="905" w:type="dxa"/>
            <w:tcBorders/>
            <w:vAlign w:val="center"/>
          </w:tcPr>
          <w:p>
            <w:pPr>
              <w:pStyle w:val="TableContents"/>
              <w:bidi w:val="0"/>
              <w:spacing w:before="0" w:after="0"/>
              <w:ind w:left="0" w:right="0" w:hanging="0"/>
              <w:jc w:val="center"/>
              <w:rPr/>
            </w:pPr>
            <w:r>
              <w:rPr/>
              <w:t>​</w:t>
            </w:r>
          </w:p>
        </w:tc>
      </w:tr>
      <w:tr>
        <w:trPr/>
        <w:tc>
          <w:tcPr>
            <w:tcW w:w="4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8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11,269,399</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8,597</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4,318,500</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(90,025)</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2026</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15,496,374</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14,681</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as of March 31, 2026</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15,496,374</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14,681</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as of March 31, 2026</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5,746,605</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5,660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weighted average grant date fair value of stock options granted during the three months ended March 31, 2026 was $2.45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Restricted Stock Units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RSU activity for the three months ended March 31, 2026:</w:t>
      </w:r>
    </w:p>
    <w:p>
      <w:pPr>
        <w:pStyle w:val="TextBody"/>
        <w:bidi w:val="0"/>
        <w:spacing w:before="0" w:after="0"/>
        <w:ind w:left="0" w:right="0" w:hanging="0"/>
        <w:jc w:val="left"/>
        <w:rPr/>
      </w:pPr>
      <w:r>
        <w:rPr/>
        <w:t>​</w:t>
      </w:r>
    </w:p>
    <w:tbl>
      <w:tblPr>
        <w:tblW w:w="6539" w:type="dxa"/>
        <w:jc w:val="left"/>
        <w:tblInd w:w="0" w:type="dxa"/>
        <w:tblLayout w:type="fixed"/>
        <w:tblCellMar>
          <w:top w:w="0" w:type="dxa"/>
          <w:left w:w="0" w:type="dxa"/>
          <w:bottom w:w="0" w:type="dxa"/>
          <w:right w:w="0" w:type="dxa"/>
        </w:tblCellMar>
      </w:tblPr>
      <w:tblGrid>
        <w:gridCol w:w="3166"/>
        <w:gridCol w:w="109"/>
        <w:gridCol w:w="931"/>
        <w:gridCol w:w="109"/>
        <w:gridCol w:w="294"/>
        <w:gridCol w:w="651"/>
        <w:gridCol w:w="109"/>
        <w:gridCol w:w="297"/>
        <w:gridCol w:w="873"/>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10410" cy="175260"/>
                      <wp:effectExtent l="0" t="0" r="0" b="0"/>
                      <wp:wrapNone/>
                      <wp:docPr id="130" name="Frame130"/>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91185" cy="175260"/>
                      <wp:effectExtent l="0" t="0" r="0" b="0"/>
                      <wp:wrapNone/>
                      <wp:docPr id="132" name="Frame1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6690" cy="175260"/>
                      <wp:effectExtent l="0" t="0" r="0" b="0"/>
                      <wp:wrapNone/>
                      <wp:docPr id="134" name="Frame13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13385" cy="175260"/>
                      <wp:effectExtent l="0" t="0" r="0" b="0"/>
                      <wp:wrapNone/>
                      <wp:docPr id="135" name="Frame135"/>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8595" cy="175260"/>
                      <wp:effectExtent l="0" t="0" r="0" b="0"/>
                      <wp:wrapNone/>
                      <wp:docPr id="137" name="Frame13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54355" cy="175260"/>
                      <wp:effectExtent l="0" t="0" r="0" b="0"/>
                      <wp:wrapNone/>
                      <wp:docPr id="138" name="Frame138"/>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2,803,231</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1,555,411</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(724,606)</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(35,850)</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2026</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3,598,186</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bookmarkStart w:id="804" w:name="Tc_mJQVUbEqGkeJ-F16Rlnn7Q_7_5"/>
      <w:bookmarkStart w:id="805" w:name="Tc_4rqmAuysR0GmHYxI_oeq3Q_7_2"/>
      <w:bookmarkStart w:id="806" w:name="Tc_jFQVHjrT6EWpRE_-Vru74Q_7_0"/>
      <w:bookmarkStart w:id="807" w:name="Tc_TcwvS-uC1EiYbL0B8rwDhA_6_0"/>
      <w:bookmarkStart w:id="808" w:name="Tc_4MwvmefhU0aX5uEYKdQyGw_5_0"/>
      <w:bookmarkStart w:id="809" w:name="Tc_klD5ObLC6E6gmQA0CBkr8w_4_5"/>
      <w:bookmarkStart w:id="810" w:name="Tc_c6Av28Ks_kK8dS3yxYcuwg_4_2"/>
      <w:bookmarkStart w:id="811" w:name="Tc_IcIO3d_mbE-3XYrmnSwtGg_4_0"/>
      <w:bookmarkStart w:id="812" w:name="Tc_nctGi1Hywk2loT2xtSKgcw_3_5"/>
      <w:bookmarkStart w:id="813" w:name="Tc_iHHYnBEdQ06h1eluXRqu2w_3_2"/>
      <w:bookmarkStart w:id="814" w:name="Tc_bAGdvHzqXUyI0GiuOJQ2Zg_3_0"/>
      <w:bookmarkStart w:id="815" w:name="Tc_QfkALMJKtkuY1zYyEwI0MA_2_2"/>
      <w:bookmarkStart w:id="816" w:name="Tc_Sh-XGkOnM0OdTh8kXUUF6g_1_2"/>
      <w:bookmarkEnd w:id="804"/>
      <w:bookmarkEnd w:id="805"/>
      <w:bookmarkEnd w:id="806"/>
      <w:bookmarkEnd w:id="807"/>
      <w:bookmarkEnd w:id="808"/>
      <w:bookmarkEnd w:id="809"/>
      <w:bookmarkEnd w:id="810"/>
      <w:bookmarkEnd w:id="811"/>
      <w:bookmarkEnd w:id="812"/>
      <w:bookmarkEnd w:id="813"/>
      <w:bookmarkEnd w:id="814"/>
      <w:bookmarkEnd w:id="815"/>
      <w:bookmarkEnd w:id="816"/>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Stock-based compensation expense included in total costs and expenses on the condensed consolidated statement of operations and comprehensive loss included the following:</w:t>
      </w:r>
    </w:p>
    <w:p>
      <w:pPr>
        <w:pStyle w:val="TextBody"/>
        <w:bidi w:val="0"/>
        <w:spacing w:before="0" w:after="0"/>
        <w:ind w:left="0" w:right="0" w:hanging="0"/>
        <w:jc w:val="left"/>
        <w:rPr/>
      </w:pPr>
      <w:r>
        <w:rPr/>
        <w:t>​</w:t>
      </w:r>
    </w:p>
    <w:tbl>
      <w:tblPr>
        <w:tblW w:w="5792" w:type="dxa"/>
        <w:jc w:val="left"/>
        <w:tblInd w:w="0" w:type="dxa"/>
        <w:tblLayout w:type="fixed"/>
        <w:tblCellMar>
          <w:top w:w="0" w:type="dxa"/>
          <w:left w:w="0" w:type="dxa"/>
          <w:bottom w:w="0" w:type="dxa"/>
          <w:right w:w="0" w:type="dxa"/>
        </w:tblCellMar>
      </w:tblPr>
      <w:tblGrid>
        <w:gridCol w:w="3451"/>
        <w:gridCol w:w="326"/>
        <w:gridCol w:w="211"/>
        <w:gridCol w:w="571"/>
        <w:gridCol w:w="346"/>
        <w:gridCol w:w="211"/>
        <w:gridCol w:w="676"/>
      </w:tblGrid>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62585" cy="175260"/>
                      <wp:effectExtent l="0" t="0" r="0" b="0"/>
                      <wp:wrapNone/>
                      <wp:docPr id="141" name="Frame1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29260" cy="175260"/>
                      <wp:effectExtent l="0" t="0" r="0" b="0"/>
                      <wp:wrapNone/>
                      <wp:docPr id="144" name="Frame1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3,535</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2026, the Company had unrecognized stock-based compensation expense for stock options and RSUs of $19.7 million and $10.4 million, respectively, which is each expected to be recognized over a </w:t>
      </w:r>
      <w:r>
        <w:rPr>
          <w:rFonts w:ascii="Times New Roman;Times;serif" w:hAnsi="Times New Roman;Times;serif"/>
          <w:b w:val="false"/>
          <w:i w:val="false"/>
          <w:caps w:val="false"/>
          <w:smallCaps w:val="false"/>
          <w:sz w:val="20"/>
        </w:rPr>
        <w:t>weighted</w:t>
      </w:r>
      <w:r>
        <w:rPr>
          <w:rFonts w:ascii="Times New Roman;Times;serif" w:hAnsi="Times New Roman;Times;serif"/>
          <w:sz w:val="20"/>
        </w:rPr>
        <w:t xml:space="preserve"> average period of 3.1 years.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17" w:name="Tc_m20s-i7-iEGdhArU_ahsKg_6_0"/>
      <w:bookmarkStart w:id="818" w:name="Tc_Gi7xD4hsbUuyMojjvOhKCw_5_0"/>
      <w:bookmarkStart w:id="819" w:name="Tc_KVNQhKMy5Ei6lndl9U4MEw_4_0"/>
      <w:bookmarkStart w:id="820" w:name="Tc_pHQRyRP6ZEuGBQLx6iYcMA_3_4"/>
      <w:bookmarkStart w:id="821" w:name="Tc_jIIuanzvhUek3llLARR5aQ_3_2"/>
      <w:bookmarkStart w:id="822" w:name="Tc_Tp4Cu9CEyUaFCNQ4aF536g_2_2"/>
      <w:bookmarkStart w:id="823" w:name="Tc_apOfDBIwvUy6bX02lAyGPw_1_2"/>
      <w:bookmarkStart w:id="824" w:name="Tc_Bkvih7gHnki2LTtuKyCjnA_8_5"/>
      <w:bookmarkStart w:id="825" w:name="Tc_xaO5Ne3SyUuREPwsiRYiGA_8_2"/>
      <w:bookmarkStart w:id="826" w:name="Tc_-H98ACXNykKUwfEvf0uK_A_8_0"/>
      <w:bookmarkStart w:id="827" w:name="Tc_XPHOMRJBEkiYxCzwJpyb_g_7_0"/>
      <w:bookmarkStart w:id="828" w:name="Tc_FTFy2Q5YGE2rkaZofJlq-g_6_0"/>
      <w:bookmarkStart w:id="829" w:name="Tc_pjXY196-B0C10Vjj0GSirw_5_5"/>
      <w:bookmarkStart w:id="830" w:name="Tc_8Wckb1WCREWJFl9zYjvoqg_5_2"/>
      <w:bookmarkStart w:id="831" w:name="Tc_RSntc8ZMrUe8oleOqUXx-g_5_0"/>
      <w:bookmarkStart w:id="832" w:name="Tc_ha2JhtueI0qgk9FnQu-LAQ_4_0"/>
      <w:bookmarkStart w:id="833" w:name="Tc_MAMrgDjg0UOatmWLzLtCvg_3_5"/>
      <w:bookmarkStart w:id="834" w:name="Tc_aru1sQ0y0E-_lT8CegKIRQ_3_2"/>
      <w:bookmarkStart w:id="835" w:name="Tc_CUJCXo5giECDVDrkznnriA_3_0"/>
      <w:bookmarkStart w:id="836" w:name="Tc_cUFBjj3Xq0uF3Yd8FqB10w_2_2"/>
      <w:bookmarkStart w:id="837" w:name="Tc_rtzOLv5e30qncnHvtke5tw_1_2"/>
      <w:bookmarkStart w:id="838" w:name="_6dfe3a38_d3bc_4155_a4d3_10a0db9a9a17"/>
      <w:bookmarkStart w:id="839" w:name="_1f461d05_c315_45a2_bf21_501a51e98819"/>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b/>
          <w:sz w:val="20"/>
        </w:rPr>
        <w:t>7. Net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and diluted net loss per share is summarized in the following table:</w:t>
      </w:r>
    </w:p>
    <w:p>
      <w:pPr>
        <w:pStyle w:val="TextBody"/>
        <w:bidi w:val="0"/>
        <w:spacing w:before="0" w:after="0"/>
        <w:ind w:left="0" w:right="0" w:hanging="0"/>
        <w:jc w:val="left"/>
        <w:rPr/>
      </w:pPr>
      <w:r>
        <w:rPr/>
        <w:t>​</w:t>
      </w:r>
    </w:p>
    <w:tbl>
      <w:tblPr>
        <w:tblW w:w="9517" w:type="dxa"/>
        <w:jc w:val="left"/>
        <w:tblInd w:w="0" w:type="dxa"/>
        <w:tblLayout w:type="fixed"/>
        <w:tblCellMar>
          <w:top w:w="0" w:type="dxa"/>
          <w:left w:w="0" w:type="dxa"/>
          <w:bottom w:w="0" w:type="dxa"/>
          <w:right w:w="0" w:type="dxa"/>
        </w:tblCellMar>
      </w:tblPr>
      <w:tblGrid>
        <w:gridCol w:w="6076"/>
        <w:gridCol w:w="346"/>
        <w:gridCol w:w="211"/>
        <w:gridCol w:w="1141"/>
        <w:gridCol w:w="346"/>
        <w:gridCol w:w="211"/>
        <w:gridCol w:w="118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858260" cy="175260"/>
                      <wp:effectExtent l="0" t="0" r="0" b="0"/>
                      <wp:wrapNone/>
                      <wp:docPr id="145" name="Frame145"/>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24535" cy="175260"/>
                      <wp:effectExtent l="0" t="0" r="0" b="0"/>
                      <wp:wrapNone/>
                      <wp:docPr id="148" name="Frame14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53110" cy="175260"/>
                      <wp:effectExtent l="0" t="0" r="0" b="0"/>
                      <wp:wrapNone/>
                      <wp:docPr id="151" name="Frame15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for share and per share data)</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  ​ ​ ​</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basic and diluted</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128,810,050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122,390,303</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potentially dilutive securities, which included stock options and RSUs, have been excluded from the computation of diluted net loss per share because including them would have an anti-dilutive effect. Therefore, the weighted average number of shares of common stock outstanding used to calculate both basic and diluted net loss per share is the same. For the three months ended March 31, 2026 and 2025, the basic and diluted weighted average shares outstanding included the shares of common stock issuable upon exercise of the outstanding Warrants, as there were no outstanding contingencies associated with the vesting or exercisability of the Warrants.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potential shares of common stock excluded from the calculation of diluted net loss per share for the three months ended March 31, 2026 and 2025. All share amounts presented in the table below represent the total number outstanding as of March 31, 2026 and 2025.</w:t>
      </w:r>
    </w:p>
    <w:p>
      <w:pPr>
        <w:pStyle w:val="TextBody"/>
        <w:bidi w:val="0"/>
        <w:spacing w:before="0" w:after="0"/>
        <w:ind w:left="0" w:right="0" w:firstLine="720"/>
        <w:jc w:val="both"/>
        <w:rPr/>
      </w:pPr>
      <w:r>
        <w:rPr/>
        <w:t>​</w:t>
      </w:r>
    </w:p>
    <w:tbl>
      <w:tblPr>
        <w:tblW w:w="5711" w:type="dxa"/>
        <w:jc w:val="left"/>
        <w:tblInd w:w="0" w:type="dxa"/>
        <w:tblLayout w:type="fixed"/>
        <w:tblCellMar>
          <w:top w:w="0" w:type="dxa"/>
          <w:left w:w="0" w:type="dxa"/>
          <w:bottom w:w="0" w:type="dxa"/>
          <w:right w:w="0" w:type="dxa"/>
        </w:tblCellMar>
      </w:tblPr>
      <w:tblGrid>
        <w:gridCol w:w="3316"/>
        <w:gridCol w:w="109"/>
        <w:gridCol w:w="1036"/>
        <w:gridCol w:w="109"/>
        <w:gridCol w:w="114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05660" cy="175260"/>
                      <wp:effectExtent l="0" t="0" r="0" b="0"/>
                      <wp:wrapNone/>
                      <wp:docPr id="152" name="Frame15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57860" cy="175260"/>
                      <wp:effectExtent l="0" t="0" r="0" b="0"/>
                      <wp:wrapNone/>
                      <wp:docPr id="154" name="Frame1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24535" cy="175260"/>
                      <wp:effectExtent l="0" t="0" r="0" b="0"/>
                      <wp:wrapNone/>
                      <wp:docPr id="156" name="Frame15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8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8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15,496,374</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10,550,202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3,598,186</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3,410,857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of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19,094,560</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13,961,059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40" w:name="Tc_u1dm9uOdbEuCBoLnWsXEmQ_10_5"/>
      <w:bookmarkStart w:id="841" w:name="Tc_Q1CynqbDkUaKy8oGwQ9fEg_10_2"/>
      <w:bookmarkStart w:id="842" w:name="Tc_PAwn_eVyp0Gk5TRA2N3bDA_10_0"/>
      <w:bookmarkStart w:id="843" w:name="Tc_VVgrBNK-6EW7ZzyeX6fBwQ_8_5"/>
      <w:bookmarkStart w:id="844" w:name="Tc_IIpStY09UUWwtpgztuL0HA_8_2"/>
      <w:bookmarkStart w:id="845" w:name="Tc_Eb_iZVjfHEeRGjavuZUtew_6_5"/>
      <w:bookmarkStart w:id="846" w:name="Tc_X5BISKiHlE2s-iIu0LimDw_6_2"/>
      <w:bookmarkStart w:id="847" w:name="Tc_edlBcaiKiUSGMILM_YP6qA_6_0"/>
      <w:bookmarkStart w:id="848" w:name="Tc_kqDMl6pm7Uqxp7Qtdqb5aw_5_0"/>
      <w:bookmarkStart w:id="849" w:name="Tc_O2yb-q2i4UeFowloaTY5Cg_4_5"/>
      <w:bookmarkStart w:id="850" w:name="Tc_IQvrIG58V0WOl34URljdsw_4_2"/>
      <w:bookmarkStart w:id="851" w:name="Tc_VzyyzKPrL0GFGFmMdy-t7w_4_0"/>
      <w:bookmarkStart w:id="852" w:name="Tc_WKz7gPG-nUatGEkSydADNw_3_0"/>
      <w:bookmarkStart w:id="853" w:name="Tc_7mwpTfliYkmYz8egLHvQRg_2_5"/>
      <w:bookmarkStart w:id="854" w:name="Tc_XbGLU_zNYEKIQxErWE_j5w_2_2"/>
      <w:bookmarkStart w:id="855" w:name="Tc_Yc8IOe40DUOp63WiZwSQfw_2_0"/>
      <w:bookmarkStart w:id="856" w:name="Tc_aMKuFtFC3kiW_-A9dWrYjg_1_5"/>
      <w:bookmarkStart w:id="857" w:name="Tc_c3MuE7AieE6Tec9baSVb9A_1_2"/>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rFonts w:ascii="Times New Roman;Times;serif" w:hAnsi="Times New Roman;Times;serif"/>
          <w:b/>
          <w:sz w:val="20"/>
        </w:rPr>
        <w:t>8. Leases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Operating Leases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Agreements for Office and Laboratory Space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2023, the Company entered into a lease agreement pursuant to which it leases 11,564 square feet of office space for its headquarters in Wayne, Pennsylvania. The lease commenced in November 2023 and has a term that runs through February 2029.</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2019, the Company entered into a sublease agreement for 20,433 square feet of office and laboratory space in St. Louis, Missouri. The lease commenced in June 2019 and has a term that runs through May 2029.</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Supplemental balance sheet information related to operating leases is as follows:  </w:t>
      </w:r>
    </w:p>
    <w:p>
      <w:pPr>
        <w:pStyle w:val="TextBody"/>
        <w:bidi w:val="0"/>
        <w:spacing w:before="0" w:after="0"/>
        <w:ind w:left="0" w:right="0" w:hanging="0"/>
        <w:jc w:val="both"/>
        <w:rPr/>
      </w:pPr>
      <w:r>
        <w:rPr/>
        <w:t>​</w:t>
      </w:r>
    </w:p>
    <w:tbl>
      <w:tblPr>
        <w:tblW w:w="5171" w:type="dxa"/>
        <w:jc w:val="left"/>
        <w:tblInd w:w="0" w:type="dxa"/>
        <w:tblLayout w:type="fixed"/>
        <w:tblCellMar>
          <w:top w:w="0" w:type="dxa"/>
          <w:left w:w="0" w:type="dxa"/>
          <w:bottom w:w="0" w:type="dxa"/>
          <w:right w:w="0" w:type="dxa"/>
        </w:tblCellMar>
      </w:tblPr>
      <w:tblGrid>
        <w:gridCol w:w="2866"/>
        <w:gridCol w:w="109"/>
        <w:gridCol w:w="211"/>
        <w:gridCol w:w="691"/>
        <w:gridCol w:w="109"/>
        <w:gridCol w:w="281"/>
        <w:gridCol w:w="904"/>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19910" cy="175260"/>
                      <wp:effectExtent l="0" t="0" r="0" b="0"/>
                      <wp:wrapNone/>
                      <wp:docPr id="157" name="Frame157"/>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8785" cy="175260"/>
                      <wp:effectExtent l="0" t="0" r="0" b="0"/>
                      <wp:wrapNone/>
                      <wp:docPr id="160" name="Frame1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78435" cy="175260"/>
                      <wp:effectExtent l="0" t="0" r="0" b="0"/>
                      <wp:wrapNone/>
                      <wp:docPr id="162" name="Frame16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74040" cy="175260"/>
                      <wp:effectExtent l="0" t="0" r="0" b="0"/>
                      <wp:wrapNone/>
                      <wp:docPr id="163" name="Frame16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4" w:type="dxa"/>
            <w:tcBorders/>
            <w:shd w:fill="CCEEFF" w:val="clear"/>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2,137</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109"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2,116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related to operating lease right-of-use assets and accretion of operating lease liabilities totaled $0.1 million for each of the three months ended March 31, 2026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xml:space="preserve"> </w:t>
      </w:r>
      <w:r>
        <w:rPr>
          <w:rFonts w:ascii="Times New Roman;Times;serif" w:hAnsi="Times New Roman;Times;serif"/>
          <w:b/>
          <w:sz w:val="20"/>
        </w:rPr>
        <w:t>Agreements Related to Intellectual Property</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Exclusive License Agreement – Biosion, Inc.</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November 2024, the Company entered into an exclusive license agreement (the “Biosion Agreement”) with Biosion, pursuant to which it received the exclusive rights to develop, manufacture and commercialize bosakitug (ATI-045) and ATI-052 worldwide, excluding Mainland China, Macau, Hong Kong and Taiwan (“Greater China”). In connection with the Biosion Agreement, the Company also entered into a collaboration agreement (together with the Biosion Agreement, the “Biosion Agreements”) with Biosion and CTTQ, a licensee of bosakitug in Greater China.</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As partial consideration for the rights and licenses under the Biosion Agreements, the Company, in the aggregate, (i) paid $30.0 million in upfront cash consideration, plus $4.5 million for the reimbursement of certain development costs, (ii) issued the Warrants, and (iii) paid $6.2 million for the reimbursement of certain development costs and drug product material.</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In addition, the Company agreed to pay, in the aggregate, (i) up to $125 million upon the achievement of specified regulatory milestones commencing with product approval, (ii) up to $795 million upon the achievement of specified sales milestones, (iii) a tiered low-to-mid single digit royalty based upon a percentage of annual net sales, subject to specified reductions as set forth in the Biosion Agreement, and (iv) a portion of any sublicense consideration received from the grant of any sublicense or similar rights under any of the rights or licenses granted to the Company under the Biosion Agreement. The Company will expense these payments in the period when either they are determined to be probable of occurring or when the payment is triggered.</w:t>
      </w:r>
    </w:p>
    <w:p>
      <w:pPr>
        <w:pStyle w:val="TextBody"/>
        <w:bidi w:val="0"/>
        <w:spacing w:before="100" w:after="10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License Agreement – Sun Pharmaceutical Industries, Inc.</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2023, the Company entered into an exclusive patent license agreement with Sun Pharmaceutical Industries, Inc. (“Sun Pharma”). Under the license agreement, the Company granted Sun Pharma exclusive rights under certain patents that the Company exclusively licenses from a third party. The patents relate to the use of deuruxolitinib, Sun Pharma’s Janus kinase (“JAK”) inhibitor, or other isotopic forms of ruxolitinib, to treat alopecia areata or androgenetic alopecia. Under the license agreement, Sun Pharma has paid the Company upfront, regulatory and commercial milestone payments, and has agreed to pay the Company other regulatory and commercial milestone payments upon the achievement of specified milestones set forth in the agreement, and a mid single-digit tiered royalty calculated as a percentage of Sun Pharma’s net sales. The Company has separate contractual obligations under which the Company has agreed to pay to third parties a portion of the consideration it may receive under the license agreement.</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recognized $0.2 million of licensing revenue during the three months ended March 31, 2026, a portion of which was payable to third parties.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License Agreement </w:t>
      </w:r>
      <w:r>
        <w:rPr>
          <w:rFonts w:ascii="Times New Roman;Times;serif" w:hAnsi="Times New Roman;Times;serif"/>
          <w:sz w:val="20"/>
        </w:rPr>
        <w:t xml:space="preserve">– </w:t>
      </w:r>
      <w:r>
        <w:rPr>
          <w:rFonts w:ascii="Times New Roman;Times;serif" w:hAnsi="Times New Roman;Times;serif"/>
          <w:b/>
          <w:sz w:val="20"/>
        </w:rPr>
        <w:t>Pediatrix Therapeutics, Inc.</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2022, the Company entered into a license agreement with Pediatrix Therapeutics, Inc. (“Pediatrix”), under which the Company granted Pediatrix the exclusive rights to develop, manufacture and commercialize lepzacitinib in Greater China. Pediatrix has paid the Company an upfront payment, and has agreed to pay the Company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 received from Pediatrix is payable to the former Confluence equity holders as described below under the caption “</w:t>
      </w:r>
      <w:r>
        <w:rPr>
          <w:rFonts w:ascii="Times New Roman;Times;serif" w:hAnsi="Times New Roman;Times;serif"/>
          <w:sz w:val="20"/>
          <w:shd w:fill="FFFFFF" w:val="clear"/>
        </w:rPr>
        <w:t>—</w:t>
      </w:r>
      <w:r>
        <w:rPr>
          <w:rFonts w:ascii="Times New Roman;Times;serif" w:hAnsi="Times New Roman;Times;serif"/>
          <w:sz w:val="20"/>
        </w:rPr>
        <w:t xml:space="preserve">Agreement and Plan of Merger - Confluence.” </w:t>
      </w:r>
    </w:p>
    <w:p>
      <w:pPr>
        <w:pStyle w:val="TextBody"/>
        <w:bidi w:val="0"/>
        <w:spacing w:before="100" w:after="10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License Agreement </w:t>
      </w:r>
      <w:r>
        <w:rPr>
          <w:rFonts w:ascii="Times New Roman;Times;serif" w:hAnsi="Times New Roman;Times;serif"/>
          <w:sz w:val="20"/>
        </w:rPr>
        <w:t xml:space="preserve">– </w:t>
      </w:r>
      <w:r>
        <w:rPr>
          <w:rFonts w:ascii="Times New Roman;Times;serif" w:hAnsi="Times New Roman;Times;serif"/>
          <w:b/>
          <w:sz w:val="20"/>
        </w:rPr>
        <w:t>Eli Lilly and Company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August 2022, the Company entered into a non-exclusive patent license agreement with Eli Lilly and Company (“Lilly”). Under the license agreement, the Company granted Lilly non-exclusive rights under certain patents and patent applications that the Company exclusively licenses from a third party. The patents and patent applications relate to the use of baricitinib, Lilly’s JAK inhibitor, to treat alopecia areata. Under the license agreement, Lilly has paid the Company upfront, anniversary, regulatory and commercial milestone payments. In addition, Lilly has agreed to pay the Company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The Company has separate contractual obligations under which the Company has agreed to pay to third parties an amount equal to any regulatory and commercial milestone payments it receives under the Lilly license agreement, as well as a portion of the upfront consideration and a portion of the royalties it may receive under the license agreement. In July 2024, the Company entered into a royalty purchase agreement with OCM IP Healthcare Portfolio LP, an investment vehicle for Ontario Municipal Employees Retirement System (“OMERS”), pursuant to which the Company sold to OMERS a portion of the Company’s future royalty payments and the remaining anniversary milestone payments associated with the license to Lilly (see Note 10).</w:t>
      </w:r>
    </w:p>
    <w:p>
      <w:pPr>
        <w:pStyle w:val="TextBody"/>
        <w:bidi w:val="0"/>
        <w:spacing w:before="0" w:after="0"/>
        <w:ind w:left="0" w:right="0" w:firstLine="720"/>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The Company recognized $1.3 million and $1.0 million of licensing revenue during the three months ended March 31, 2026 and 2025, respectively, all of which was payable to third parties.</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b/>
          <w:sz w:val="20"/>
        </w:rPr>
      </w:pPr>
      <w:r>
        <w:rPr>
          <w:rFonts w:ascii="Times New Roman;Times;serif" w:hAnsi="Times New Roman;Times;serif"/>
          <w:b/>
          <w:sz w:val="20"/>
        </w:rPr>
        <w:t>Asset Purchase Agreement – EPI Health, LLC</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 xml:space="preserve">In October 2019, the Company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the Company’s asset purchase agreement with EPI Health and the outstanding amounts due. The sale was approved by the bankruptcy court in September 2023. As a result of the bankruptcy proceedings, all amounts that were due and outstanding by EPI Health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60" w:right="59" w:hanging="0"/>
        <w:jc w:val="both"/>
        <w:rPr>
          <w:rFonts w:ascii="Times New Roman;Times;serif" w:hAnsi="Times New Roman;Times;serif"/>
          <w:sz w:val="20"/>
        </w:rPr>
      </w:pPr>
      <w:r>
        <w:rPr>
          <w:rFonts w:ascii="Times New Roman;Times;serif" w:hAnsi="Times New Roman;Times;serif"/>
          <w:sz w:val="20"/>
        </w:rPr>
        <w:t>had been fully reserved. In September 2025, the Company sold all of its right, title and interest in its bankruptcy claims against EPI Health and wrote off the remaining reserved balance as it was deemed uncollectible.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Agreement and Plan of Merger – Confluence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2017, the Company entered into an Agreement and Plan of Merger, pursuant to which it acquired Confluence (the “Confluence Agreement”). Under the Confluence Agreement, the Company agreed to pay the former Confluence equity holders aggregate remaining contingent consideration of up to $75.0 million based upon the achievement of specified regulatory and commercial milestones set forth in the Confluence Agreement. In addition, the Company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In addition to the payments described above, if the Company sells, licenses or transfers any of the intellectual property acquired from Confluence pursuant to the Confluence Agreement to a third party, the Company will be obligated to pay the former Confluence equity holders a portion of any consideration received from such sale, license or transfer in specified circumstances.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each of March 31, 2026 and December 31, 2025, the balance of the Company’s contingent consideration liability was $11.0 million (see Note 3).</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Sale of Future Royalties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July 2024, the Company entered into a royalty purchase agreement with OMERS. Under the royalty purchase agreement, the Company sold to OMERS a portion of the Company’s future royalty payments and the remaining anniversary milestone payments associated with the Company’s existing license to Lilly relating to OLUMIANT® (baricitinib) for the treatment of alopecia areata.</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terms of the royalty purchase agreement, the Company received an upfront payment of $26.5 million. In exchange, OMERS acquired a portion of the royalty payable by Lilly to the Company for worldwide net sales of OLUMIANT for the treatment of alopecia areata from April 1, 2024 through the remainder of the royalty term under the Company’s license agreement with Lilly, and 100% of the remaining anniversary milestone payments payable by Lilly to the Company under the license agreement.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evaluated the arrangement and concluded that the proceeds from the sale of future royalties should be recorded as deferred income on the condensed consolidated balance sheet, as the criteria for debt classification were not met in accordance with ASC Topic 470. In particular, the Company does not have significant continuing involvement in the generation of the cash flows due to OMERS and there are no guaranteed rates of return to OMERS. For the three months ended March 31, 2026 and 2025, the Company recognized $0.9 million and $0.8 million of non-cash royalty income, respectively. As of March 31, 2026, the current and non-current portions of the remaining deferred income recognized under the units-of-revenue method were $4.0 million and $15.3 million, respectively. As of December 31, 2025, the current and non-current portions of the remaining deferred income recognized under the units-of-revenue method were $3.9 million and $16.2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did not record a federal or state income tax benefit for losses incurred during the three months ended March 31, 2026 and 2025. The Company concluded that it is more likely than not that its deferred tax assets will not be realized which resulted in recording a full valuation allowance during those periods.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58" w:name="Tc_kHkH697gZUy73JOBBp3NTg_23_5"/>
      <w:bookmarkStart w:id="859" w:name="Tc_1aL3FV5PA0OGq3eJghNOgA_23_2"/>
      <w:bookmarkStart w:id="860" w:name="Tc_C2TgWDx2fkqVYbHKABmxBw_23_0"/>
      <w:bookmarkStart w:id="861" w:name="Tc_QoqFCCm660mdRXRFLiDKww_22_0"/>
      <w:bookmarkStart w:id="862" w:name="Tc_6RxdTODJSkiWkYdrtNDitw_21_5"/>
      <w:bookmarkStart w:id="863" w:name="Tc_v_TbDX32SkSQHM6IDgpNrA_21_2"/>
      <w:bookmarkStart w:id="864" w:name="Tc_3xuI3c7BFUyFCMNlGIpyLg_21_0"/>
      <w:bookmarkStart w:id="865" w:name="Tc_7ExdcMAUiEePFdWe4JdYwQ_20_3"/>
      <w:bookmarkStart w:id="866" w:name="Tc_TfVjILSNGkmucI-3PskP0w_20_0"/>
      <w:bookmarkStart w:id="867" w:name="Tc_ssFKLhQWaEueJJ3LfsYoBA_19_0"/>
      <w:bookmarkStart w:id="868" w:name="Tc_nCI0SXfbRkOZ3QBnju1ZJQ_18_0"/>
      <w:bookmarkStart w:id="869" w:name="Tc_bOAggO8ulUuK7n2XAQ0cFQ_17_0"/>
      <w:bookmarkStart w:id="870" w:name="Tc_kDNK2-G0akG85WPDEi7J5g_16_0"/>
      <w:bookmarkStart w:id="871" w:name="Tc_Yx1ekmGD_ESMhKkqECPxBg_15_0"/>
      <w:bookmarkStart w:id="872" w:name="Tc_VqULlmEiAEOmnlNwCLE7og_14_0"/>
      <w:bookmarkStart w:id="873" w:name="Tc_oyknne24o06MbO7_BKtzUA_13_0"/>
      <w:bookmarkStart w:id="874" w:name="Tc_KinAO97vGUmmIrmzcd5OFA_12_0"/>
      <w:bookmarkStart w:id="875" w:name="Tc_XPMUZF8y3ES7YMp7CeCWWg_11_0"/>
      <w:bookmarkStart w:id="876" w:name="Tc_JFxDCub-WESfc9ZsrzWV6g_10_0"/>
      <w:bookmarkStart w:id="877" w:name="Tc_BfO3gGr9tU-dcBwPNAVVwQ_9_0"/>
      <w:bookmarkStart w:id="878" w:name="Tc_n5ydSicCU0Gt6dufUHbnew_8_0"/>
      <w:bookmarkStart w:id="879" w:name="Tc_BpxYZfseoE2kewXPnJEfTw_7_0"/>
      <w:bookmarkStart w:id="880" w:name="Tc_Z-Lb26mfl0OM9xBKBjM8OQ_6_0"/>
      <w:bookmarkStart w:id="881" w:name="Tc_Be6JUtZ1h0a4R7KD_h-PJw_5_0"/>
      <w:bookmarkStart w:id="882" w:name="Tc_WdcOsymwuECkcJW97BDhDQ_4_5"/>
      <w:bookmarkStart w:id="883" w:name="Tc_JuCQdd1dJEyB2z5Y7I04eg_4_2"/>
      <w:bookmarkStart w:id="884" w:name="Tc_b83zOhVDr0q_ziXe9vLuPQ_4_0"/>
      <w:bookmarkStart w:id="885" w:name="Tc_jGMdnuE4ckiKJtkt3HrWhw_3_5"/>
      <w:bookmarkStart w:id="886" w:name="Tc_wjZixLMLt0ygYdxqaXPNYQ_3_2"/>
      <w:bookmarkStart w:id="887" w:name="Tc_ctuEdCv4UUCKsCgjwwWcZg_3_0"/>
      <w:bookmarkStart w:id="888" w:name="Tc_t6RJ7W_kDEODU1SlmedQOQ_2_2"/>
      <w:bookmarkStart w:id="889" w:name="Tc_D7w9ew7SsE6k4TWi5JudLg_1_2"/>
      <w:bookmarkStart w:id="890" w:name="_5317bda5_d6f8_423d_ae2c_2c92010f0b6e"/>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b/>
          <w:sz w:val="20"/>
        </w:rPr>
        <w:t>12. Segment Information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operates and reports as one reportable segment, which focuses on identifying and developing innovative therapies to address significant unmet needs for immuno-inflammatory diseases. The segment earns revenue through the licensing of the Company’s intellectual property and the provision of laboratory services. All customers and revenue pertaining to the reportable segment are based in the United States.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When evaluating the Company’s financial performance, the chief operating decision maker (“CODM”), the Company’s Chief Executive Officer, regularly reviews consolidated segment loss, total expense, and direct expenses by project. The CODM allocates resources based on the Company’s available cash resources and forecasted expenditures on a consolidated basis. Segment asset information regularly provided to the CODM is consistent with that reported on the consolidated balance sheet with particular emphasis on the Company’s available liquidity, including its cash, cash equivalents and marketable securities balances.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significant segment expenses and other segment items regularly reviewed by the CODM for the three months ended March 31, 2026 and 2025:</w:t>
      </w:r>
    </w:p>
    <w:p>
      <w:pPr>
        <w:pStyle w:val="TextBody"/>
        <w:bidi w:val="0"/>
        <w:spacing w:before="0" w:after="0"/>
        <w:ind w:left="0" w:right="0" w:hanging="0"/>
        <w:jc w:val="left"/>
        <w:rPr/>
      </w:pPr>
      <w:r>
        <w:rPr/>
        <w:t>​</w:t>
      </w:r>
    </w:p>
    <w:tbl>
      <w:tblPr>
        <w:tblW w:w="6478" w:type="dxa"/>
        <w:jc w:val="left"/>
        <w:tblInd w:w="0" w:type="dxa"/>
        <w:tblLayout w:type="fixed"/>
        <w:tblCellMar>
          <w:top w:w="0" w:type="dxa"/>
          <w:left w:w="0" w:type="dxa"/>
          <w:bottom w:w="0" w:type="dxa"/>
          <w:right w:w="0" w:type="dxa"/>
        </w:tblCellMar>
      </w:tblPr>
      <w:tblGrid>
        <w:gridCol w:w="4201"/>
        <w:gridCol w:w="109"/>
        <w:gridCol w:w="211"/>
        <w:gridCol w:w="796"/>
        <w:gridCol w:w="109"/>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667635" cy="175260"/>
                      <wp:effectExtent l="0" t="0" r="0" b="0"/>
                      <wp:wrapNone/>
                      <wp:docPr id="164" name="Frame164"/>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05460" cy="175260"/>
                      <wp:effectExtent l="0" t="0" r="0" b="0"/>
                      <wp:wrapNone/>
                      <wp:docPr id="167" name="Frame1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34035" cy="175260"/>
                      <wp:effectExtent l="0" t="0" r="0" b="0"/>
                      <wp:wrapNone/>
                      <wp:docPr id="170" name="Frame17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research</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Bosakitug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ATI-052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ATI-2138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ATI-9494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42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project expense</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42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11,584</w:t>
            </w:r>
          </w:p>
        </w:tc>
      </w:tr>
      <w:tr>
        <w:trPr/>
        <w:tc>
          <w:tcPr>
            <w:tcW w:w="42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loss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consist of direct costs incurred to specific programs, including costs to conduct clinical trials and to manufacture clinical drug supply.</w:t>
            </w:r>
          </w:p>
        </w:tc>
      </w:tr>
    </w:tbl>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research and development expenses primarily consist of indirect costs incurred in support of overall research and development activities and non-specific programs, including activities that benefit multiple programs, as well as stock-based compensation.</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principally of salaries and related costs, including stock-based compensation, for personnel in executive, administrative, finance and legal functions, as well as facility-related costs, professional fees, business development costs, insurance costs, and travel expenses.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91" w:name="Item2ManagementsDiscussionandAnalysis_76"/>
      <w:bookmarkStart w:id="892" w:name="_b531a8a6_1f79_4591_89d6_b4a9a20ff342"/>
      <w:bookmarkEnd w:id="891"/>
      <w:bookmarkEnd w:id="892"/>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statements contained in this Quarterly Report on Form 10-Q may constitute forward-looking statements within the meaning of Section 27A of the Securities Act of 1933, as amended, and Section 21E of the Securities Exchange Act of 1934, as amended (the “Exchange Act”). The words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under the caption “Risk Factors” in this Quarterly Report on Form 10-Q, our Annual Report on Form 10-K filed with the SEC on February 26, 2026 (“Annual Report”), and in our other filings with the Securities and Exchange Commission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2025, which are included in our Annual Report.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clinical-stage biopharmaceutical company focused on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 In addition, we provide contract research services to third parties enabled by our early-stage research and development expertise.</w:t>
      </w:r>
    </w:p>
    <w:p>
      <w:pPr>
        <w:pStyle w:val="TextBody"/>
        <w:bidi w:val="0"/>
        <w:spacing w:before="0" w:after="0"/>
        <w:ind w:left="0" w:right="0" w:firstLine="720"/>
        <w:jc w:val="both"/>
        <w:rPr>
          <w:shd w:fill="FFFFFF" w:val="clear"/>
        </w:rPr>
      </w:pPr>
      <w:r>
        <w:rPr>
          <w:shd w:fill="FFFFFF" w:val="clear"/>
        </w:rPr>
        <w:t>​</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Our Key Product Candidates</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Bosakitug, an Investigational, Novel Anti-TSLP Monoclonal Antibody</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Bosakitug (ATI-045) is an investigational, novel, humanized anti-thymic stromal lymphopoietin (“TSLP”) monoclonal antibody that specifically binds to human TSLP, blocking its interaction with the receptor complex and disrupting signal transduction. This mechanism prevents immune cells targeted by TSLP from releasing proinflammatory cytokines. Bosakitug has potential best-in-class properties, including a very high affinity to TSLP, very high potency, an extremely low dissociation rate from TSLP leading to long residence time and enhanced neutralization activity, and a half-life that can potentially support an extended dosing interval. The high affinity and low dissociation observed with bosakitug is the result of a unique binding interface that extends from the N-terminus to the C-terminus of TSLP. Bosakitug has the potential to treat a variety of atopic, immunologic and respiratory diseases. We exclusively license global rights (excluding Mainland China, Macau, Hong Kong and Taiwan (“Greater China”)) to bosakitug from Biosion, Inc. (“Biosion”).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 Phase 2a, single-arm, proof-of-concept trial in 22 U.S. patients with moderate to severe atopic dermatitis conducted by Biosion, 94% of patients receiving bosakitug achieved at least a 75% improvement in the Eczema Area and Severity Index (“EASI”), 65% of patients achieved EASI-90, and 88% of patients achieved an Investigator’s Global Assessment (“IGA”) score of 0 or 1 (clear or almost clear skin), at week 26 (n=17). Bosakitug demonstrated a strong pharmacodynamic profile and was generally well-tolerated with no serious adverse events reported.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2025, we initiated a Phase 2 trial to investigate the efficacy, safety, tolerability, pharmacokinetics (“PK”) and pharmacodynamics (“PD”) of bosakitug compared to placebo in 109 patients with moderate to severe atopic dermatitis.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primary endpoint is percent change from baseline in EASI at week 24. Secondary endpoints at week 24 include EASI response (EASI-50, EASI-75, EASI-90), validated IGA response, body surface area (“BSA”) response, and Peak Pruritus Numerical Rating Scale (“PP-NRS”) score, relative to baseline. We expect to announce top-line data in the fourth quarter of 2026.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Bosakitug is also currently being studied in severe asthma, chronic rhinosinusitis with nasal polyps and moderate to severe chronic obstructive pulmonary disease in China by </w:t>
      </w:r>
      <w:r>
        <w:rPr>
          <w:rFonts w:ascii="Times New Roman;Times;serif" w:hAnsi="Times New Roman;Times;serif"/>
          <w:color w:val="212529"/>
          <w:sz w:val="20"/>
        </w:rPr>
        <w:t>Chia Tai Tianqing Pharmaceutical Group, Co., Ltd. (“CTTQ”)</w:t>
      </w:r>
      <w:r>
        <w:rPr>
          <w:rFonts w:ascii="Times New Roman;Times;serif" w:hAnsi="Times New Roman;Times;serif"/>
          <w:sz w:val="20"/>
        </w:rPr>
        <w:t>. CTTQ licenses bosakitug from Biosion in Greater China. Our clinical focus for bosakitug will remain on dermatological immuno-inflammatory indications and further global (excluding Greater China) development in respiratory indications will be dependent on entering into potential partnerships.</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ATI-2138, an Investigational, Oral Covalent ITK/JAK3 Inhibitor</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ATI-2138 is a highly potent and selective novel investigational dual inhibitor of interleukin-2-inducible T cell kinase (“ITK”) and Janus kinase 3 (“JAK3”) for the potential treatment of T cell-mediated autoimmune diseases. The unique dual pharmacology of ATI-2138 regulates T cell development and function both upstream (ITK) and downstream (JAK3), inhibiting both TCR-mediated and cytokine-mediated activation of T cells, which may provide a more potent and complete anti-inflammatory response.</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July 2025, we announced positive top-line results from our open-label, single-arm Phase 2a trial of ATI-2138 in patients with moderate to severe atopic dermatitis. The trial met the primary and key secondary safety, efficacy, and pharmacodynamic endpoints. ATI-2138 demonstrated near complete and sustained inhibition and occupancy of ITK. Proteome and transcriptome lesional skin tape strip analyses showed significant reductions of multiple inflammatory pathways associated with ITK, including strong downregulation of Th2, Th17, and TCR pathways, along with the Th1 pathway and fibrosis-related markers. </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2026, we announced plans to conduct a phased multi-part Phase 2b basket study of ATI-2138 in the three most common subtypes of lichen planus: erosive mucosal, cutaneous and lichen planopilaris. Lichen planus is an unaddressed chronic, inflammatory, CD8 cytotoxic T-cell-driven interface dermatitis. We expect to initiate Part A (erosive mucosal; cutaneous) of this trial in the second half of 2026 and intend to initiate Part B (lichen planopilaris) soon thereafter. We are also exploring the potential of ATI-2138 in additional indications that are relevant to the dual pharmacology and mechanism of action, including other inflammatory disorders. </w:t>
      </w:r>
    </w:p>
    <w:p>
      <w:pPr>
        <w:pStyle w:val="TextBody"/>
        <w:bidi w:val="0"/>
        <w:spacing w:before="100" w:after="10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ATI-052, an Investigational, Novel Anti-TSLP and Anti-IL-4Rα Bispecific Antibody</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ATI-052 is an investigational, novel, humanized anti-TSLP and anti-interleukin-4 receptor (“IL-4R</w:t>
      </w:r>
      <w:r>
        <w:rPr>
          <w:rFonts w:ascii="Times New Roman;Times;serif" w:hAnsi="Times New Roman;Times;serif"/>
          <w:sz w:val="20"/>
          <w:shd w:fill="FFFFFF" w:val="clear"/>
        </w:rPr>
        <w:t>α</w:t>
      </w:r>
      <w:r>
        <w:rPr>
          <w:rFonts w:ascii="Times New Roman;Times;serif" w:hAnsi="Times New Roman;Times;serif"/>
          <w:sz w:val="20"/>
        </w:rPr>
        <w:t>”) bispecific antibody that exhibits high binding affinity to and dual blockage of both the upstream TSLP receptor signal transduction and downstream IL-4R</w:t>
      </w:r>
      <w:r>
        <w:rPr>
          <w:rFonts w:ascii="Times New Roman;Times;serif" w:hAnsi="Times New Roman;Times;serif"/>
          <w:sz w:val="20"/>
          <w:shd w:fill="FFFFFF" w:val="clear"/>
        </w:rPr>
        <w:t>α</w:t>
      </w:r>
      <w:r>
        <w:rPr>
          <w:rFonts w:ascii="Times New Roman;Times;serif" w:hAnsi="Times New Roman;Times;serif"/>
          <w:sz w:val="20"/>
        </w:rPr>
        <w:t xml:space="preserve"> activation thereby inhibiting this central proinflammatory pathway. ATI-052 binds TSLP, which sits at the top of the inflammatory cascade; by targeting IL-4R</w:t>
      </w:r>
      <w:r>
        <w:rPr>
          <w:rFonts w:ascii="Times New Roman;Times;serif" w:hAnsi="Times New Roman;Times;serif"/>
          <w:sz w:val="20"/>
          <w:shd w:fill="FFFFFF" w:val="clear"/>
        </w:rPr>
        <w:t>α</w:t>
      </w:r>
      <w:r>
        <w:rPr>
          <w:rFonts w:ascii="Times New Roman;Times;serif" w:hAnsi="Times New Roman;Times;serif"/>
          <w:sz w:val="20"/>
        </w:rPr>
        <w:t>, it blocks downstream signaling of both IL-4 and IL-13, two anti-inflammatory cytokines, which are critical components of Th2-mediated immunity and play a crucial role in the pathogenesis of inflammation and allergic diseases. ATI-052 utilizes the same TSLP antigen-binding fragment (“Fab”) as bosakitug but is engineered to bind more tightly to the neonatal Fc receptor (“FcRn”), potentially extending its half-life. In addition, the AQQ mutation in the Fc limits effector functionality, reducing off-target binding and potential toxicity. ATI-052 has the potential to treat a variety of atopic, immunologic and respiratory diseases. We exclusively license global rights (excluding Greater China) to ATI-052 from Biosion.</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2026, we announced positive full top-line results from our Phase 1a single ascending dose (“SAD”) and multiple ascending dose (“MAD”) portion of our first-in-human study evaluating ATI-052 in healthy volunteers. The randomized, blinded, placebo-controlled study enrolled 48 participants across four SAD cohorts (receiving single doses of 30, 120, 360, or 720 mg or placebo) and two MAD cohorts (receiving five doses of 240 or 480 mg or placebo administered every seven days). ATI-052 was well tolerated and demonstrated a favorable safety and tolerability profile across all dose levels. The PK profile showed dose proportionality across the pharmacologic dose range with an estimated half-life of approximately 45 days (based on accumulation ratio at 240 mg weekly dosing). PD results demonstrated robust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target engagement, including complete and sustained inhibition through at least week 20 (four months post last dose) of ex vivo TSLP stimulated CCL17 (TARC) and at least week 12 of ex vivo IL-4 stimulated CCL17 in the 480 mg MAD cohort. These combined PK and PD characteristics support the potential for dosing intervals of up to every three months. No impact of anti-drug antibodies on PK or PD was observed.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initiated a Phase 1b proof-of-concept trial with ATI-052 in atopic dermatitis in January 2026 and a Phase 1b proof-of-concept trial in asthma in February 2026, with top-line data from both studies expected in the second half of 2026. We plan to initiate a Phase 2b program for ATI-052 initially targeting asthma in the fourth quarter of 2026, with atopic dermatitis as a potential second indication.</w:t>
      </w:r>
    </w:p>
    <w:p>
      <w:pPr>
        <w:pStyle w:val="TextBody"/>
        <w:bidi w:val="0"/>
        <w:spacing w:before="100" w:after="10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ATI-9494, an Investigational, Oral Covalent ITK Inhibitor, and Other JAK-Sparing ITK Inhibitors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developing ATI-9494, a highly potent, oral, covalent, investigational dual inhibitor of ITK and Resting Lymphocyte Kinase (TXK), and other covalent JAK-sparing ITK inhibitors with differentiated pharmacological properties and selectivity profiles. These inhibitors have the potential to differentially modulate T cell biology across a broad range of disease indications with extended half-lives and potential best-in-class potency, ITK occupancy, and ITK activation at low doses. We expect to file an IND application for ATI-9494 in the second half of 2026.</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Discovery and Preclinical Programs</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conduct small molecule drug discovery through KINect, our proprietary drug discovery platform. We also engage in discovery efforts for novel, injectable, multi-specific antibodies. Through our integrated discovery approach, we can progress product candidates from concept through lead optimization, employing robust screening cascades and protein characterization techniques to identify molecules with desired therapeutic properties.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KINect platform allows us to address challenges associated with difficult to drug kinases including selectivity and biochemical efficiency, through a unique combination of our proprietary chemical library of kinase inhibitors, our novel approaches to inhibitor modalities, our expertise in structure-based drug design, and our custom kinase assays. Our approach involves the following mechanisms: (1) reversible and irreversible covalent inhibitors, (2) molecular glue/complex targeted inhibitors, (3) tissue specific inhibitors, and (4) targeted protein degraders. These novel approaches are currently being utilized to prosecute additional validated, difficult to drug kinase targets with the goal of demonstrating broad target utility. Our small molecule discovery efforts center on targeting kinases that play pivotal roles in various inflammatory and autoimmune pathways.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discovery efforts to develop multi-specific antibodies are focused on generating antibodies with superior target affinity, specificity, and potency utilizing combinations of (a) two or more clinically validated targets with non-overlapping biology, (b) clinically validated targets with novel biology, and/or (c) synergistic target combinations in an effort to address shortcomings of single drug administration. This complementary approach to our small molecule programs enables us to pursue optimal therapeutic modalities for each target and indication of interest. For example, we are progressing several bispecific antibodies utilizing the bosakitug anti-TSLP binding region paired with binding fragments targeting other undisclosed cytokine signaling pathways.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intend to evaluate both internal and external development options, including strategic partnerships, for these assets.</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sz w:val="20"/>
          <w:shd w:fill="FFFFFF" w:val="clear"/>
        </w:rPr>
      </w:pPr>
      <w:r>
        <w:rPr>
          <w:rFonts w:ascii="Times New Roman;Times;serif" w:hAnsi="Times New Roman;Times;serif"/>
          <w:b/>
          <w:sz w:val="20"/>
          <w:shd w:fill="FFFFFF" w:val="clear"/>
        </w:rPr>
        <w:t>Other Investigational Product Candidates</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Lepzacitinib, an Investigational Topical “Soft” JAK 1/3 Inhibitor</w:t>
      </w:r>
    </w:p>
    <w:p>
      <w:pPr>
        <w:pStyle w:val="TextBody"/>
        <w:bidi w:val="0"/>
        <w:spacing w:before="100" w:after="100"/>
        <w:ind w:left="0" w:right="0" w:firstLine="720"/>
        <w:jc w:val="left"/>
        <w:rPr>
          <w:shd w:fill="FFFFFF" w:val="clear"/>
        </w:rPr>
      </w:pPr>
      <w:r>
        <w:rPr>
          <w:shd w:fill="FFFFFF" w:val="clear"/>
        </w:rPr>
        <w:t>​</w:t>
      </w:r>
    </w:p>
    <w:p>
      <w:pPr>
        <w:pStyle w:val="TextBody"/>
        <w:bidi w:val="0"/>
        <w:spacing w:before="0" w:after="0"/>
        <w:ind w:left="58" w:right="58" w:firstLine="648"/>
        <w:jc w:val="both"/>
        <w:rPr>
          <w:rFonts w:ascii="Times New Roman;Times;serif" w:hAnsi="Times New Roman;Times;serif"/>
          <w:sz w:val="20"/>
        </w:rPr>
      </w:pPr>
      <w:r>
        <w:rPr>
          <w:rFonts w:ascii="Times New Roman;Times;serif" w:hAnsi="Times New Roman;Times;serif"/>
          <w:sz w:val="20"/>
        </w:rPr>
        <w:t xml:space="preserve">Lepzacitinib (ATI-1777) is an investigational topical “soft” JAK 1/3 inhibitor for the potential treatment of atopic dermatitis and potentially other dermatologic conditions. “Soft” JAK inhibitors are designed to be topically applied and active in the skin, but rapidly metabolized and inactivated when they enter the bloodstream, which may result in low systemic exposure. We are currently seeking a global development and commercialization partner for this program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8" w:right="58" w:hanging="0"/>
        <w:jc w:val="both"/>
        <w:rPr>
          <w:rFonts w:ascii="Times New Roman;Times;serif" w:hAnsi="Times New Roman;Times;serif"/>
          <w:sz w:val="20"/>
        </w:rPr>
      </w:pPr>
      <w:r>
        <w:rPr>
          <w:rFonts w:ascii="Times New Roman;Times;serif" w:hAnsi="Times New Roman;Times;serif"/>
          <w:sz w:val="20"/>
        </w:rPr>
        <w:t>(excluding Greater China). In 2022, we granted Pediatrix Therapeutics, Inc. (“Pediatrix”) exclusive rights to develop and commercialize lepzacitinib in Greater China.</w:t>
      </w:r>
    </w:p>
    <w:p>
      <w:pPr>
        <w:pStyle w:val="TextBody"/>
        <w:bidi w:val="0"/>
        <w:spacing w:before="0" w:after="0"/>
        <w:ind w:left="58" w:right="58" w:firstLine="648"/>
        <w:jc w:val="both"/>
        <w:rPr/>
      </w:pPr>
      <w:r>
        <w:rPr/>
        <w:t>​</w:t>
      </w:r>
    </w:p>
    <w:p>
      <w:pPr>
        <w:pStyle w:val="TextBody"/>
        <w:bidi w:val="0"/>
        <w:spacing w:before="0" w:after="0"/>
        <w:ind w:left="58" w:right="58" w:firstLine="648"/>
        <w:jc w:val="both"/>
        <w:rPr>
          <w:rFonts w:ascii="Times New Roman;Times;serif" w:hAnsi="Times New Roman;Times;serif"/>
          <w:b/>
          <w:sz w:val="20"/>
        </w:rPr>
      </w:pPr>
      <w:r>
        <w:rPr>
          <w:rFonts w:ascii="Times New Roman;Times;serif" w:hAnsi="Times New Roman;Times;serif"/>
          <w:b/>
          <w:sz w:val="20"/>
        </w:rPr>
        <w:t>Financial Overview</w:t>
      </w:r>
    </w:p>
    <w:p>
      <w:pPr>
        <w:pStyle w:val="TextBody"/>
        <w:shd w:fill="FFFFFF" w:val="clear"/>
        <w:bidi w:val="0"/>
        <w:spacing w:before="100" w:after="10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Since our inception, we have incurred significant net losses. Our net loss was $19.8 million for the three months ended March 31, 2026 and $64.9 million for the year ended December 31, 2025. As of March 31, 2026, we had an accumulated deficit of $987.6 million. We expect to incur significant expenses and operating losses for the foreseeable future as we advance our product candidates from discovery through preclinical and clinical development. In addition, our product candidates, even if they are approved by regulatory agencies for marketing, may not achieve commercial success. We may also not be successful in identifying and consummating transactions with third-party partners to further develop, obtain marketing approval for and/or commercialize our product candidates. Furthermore, we have incurred and expect to continue to incur significant costs associated with operating as a public company, including legal, accounting, investor relations and other expenses. As a result, we will need substantial additional funding to support our continuing operations.</w:t>
      </w:r>
    </w:p>
    <w:p>
      <w:pPr>
        <w:pStyle w:val="TextBody"/>
        <w:shd w:fill="FFFFFF" w:val="clear"/>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have historically financed our operations primarily with sales of equity securities and non-dilutive financing. In the near term, we expect to finance our operations through these and other capital sources, including potential partnerships with other companies or other strategic transactions. We may be unable to raise additional funds or enter into such other agreements or arrangements when needed on commercially acceptable terms, or at all. If we fail to raise capital or enter into such agreements as, and when needed, we may have to significantly delay, scale back or discontinue the development of one or more of our product candidates.</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700" w:right="0" w:hanging="0"/>
        <w:jc w:val="left"/>
        <w:rPr>
          <w:rFonts w:ascii="Times New Roman;Times;serif" w:hAnsi="Times New Roman;Times;serif"/>
          <w:b/>
          <w:sz w:val="20"/>
        </w:rPr>
      </w:pPr>
      <w:r>
        <w:rPr>
          <w:rFonts w:ascii="Times New Roman;Times;serif" w:hAnsi="Times New Roman;Times;serif"/>
          <w:b/>
          <w:sz w:val="20"/>
        </w:rPr>
        <w:t>Impact of Macroeconomic Conditions on Our Business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Unfavorable conditions in the economy both in the United States and abroad may negatively affect the growth of our business and our results of operations. For example, macroeconomic events, including inflationary pressure, tariff policies, and geopolitical conflicts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w:t>
      </w:r>
    </w:p>
    <w:p>
      <w:pPr>
        <w:pStyle w:val="TextBody"/>
        <w:bidi w:val="0"/>
        <w:spacing w:before="0" w:after="0"/>
        <w:ind w:left="0" w:right="0" w:firstLine="720"/>
        <w:jc w:val="both"/>
        <w:rPr/>
      </w:pPr>
      <w:r>
        <w:rPr/>
        <w:t>​</w:t>
      </w:r>
    </w:p>
    <w:p>
      <w:pPr>
        <w:pStyle w:val="TextBody"/>
        <w:bidi w:val="0"/>
        <w:spacing w:before="0" w:after="200"/>
        <w:ind w:left="0" w:right="0" w:firstLine="720"/>
        <w:jc w:val="both"/>
        <w:rPr>
          <w:rFonts w:ascii="Times New Roman;Times;serif" w:hAnsi="Times New Roman;Times;serif"/>
          <w:b/>
          <w:sz w:val="20"/>
        </w:rPr>
      </w:pPr>
      <w:r>
        <w:rPr>
          <w:rFonts w:ascii="Times New Roman;Times;serif" w:hAnsi="Times New Roman;Times;serif"/>
          <w:b/>
          <w:sz w:val="20"/>
        </w:rPr>
        <w:t>Acquisition and License Agreements</w:t>
      </w:r>
    </w:p>
    <w:p>
      <w:pPr>
        <w:pStyle w:val="TextBody"/>
        <w:bidi w:val="0"/>
        <w:spacing w:before="0" w:after="200"/>
        <w:ind w:left="0" w:right="0" w:firstLine="720"/>
        <w:jc w:val="both"/>
        <w:rPr>
          <w:rFonts w:ascii="Times New Roman;Times;serif" w:hAnsi="Times New Roman;Times;serif"/>
          <w:b/>
          <w:i/>
          <w:sz w:val="20"/>
        </w:rPr>
      </w:pPr>
      <w:r>
        <w:rPr>
          <w:rFonts w:ascii="Times New Roman;Times;serif" w:hAnsi="Times New Roman;Times;serif"/>
          <w:b/>
          <w:i/>
          <w:sz w:val="20"/>
        </w:rPr>
        <w:t>Exclusive License Agreement with Biosion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November 2024, we entered into an exclusive license agreement (the “Biosion Agreement”) with Biosion pursuant to which we received the exclusive rights to develop, manufacture and commercialize bosakitug (ATI-045) and ATI-052 worldwide, excluding Greater China. In connection with the Biosion Agreement, we also entered into a collaboration agreement (together with the Biosion Agreement, the “Biosion Agreements”) with Biosion and CTTQ, a licensee of bosakitug in Greater China.</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partial consideration for the rights and licenses under the Biosion Agreements, we, in the aggregate, (i) paid $30.0 million in upfront cash consideration, plus $4.5 million for the reimbursement of certain development costs, (ii) issued warrants (the “Warrants”) to purchase 14,281,985 shares of our common stock and (iii) paid $6.2 million for the reimbursement of certain development costs and drug product material. As of March 31, 2026, Warrants exercisable for 3,000,000 shares of our common stock remained unexercised.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we agreed to pay, in the aggregate, (i) up to $125 million upon the achievement of specified regulatory milestones commencing with product approval, (ii) up to $795 million upon the achievement of specified sales milestones, (iii) a tiered low-to-mid single digit royalty based upon a percentage of annual net sales, subject to specified reductions as set forth in the Biosion Agreement, and (iv) a portion of any sublicense consideration received from the grant of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sublicense or similar rights under any of the rights or licenses granted to us under the Biosion Agreement. We will expense these payments in the period when either they are determined to be probable of occurring or when the payment is triggered.</w:t>
      </w:r>
    </w:p>
    <w:p>
      <w:pPr>
        <w:pStyle w:val="TextBody"/>
        <w:bidi w:val="0"/>
        <w:spacing w:before="0" w:after="200"/>
        <w:ind w:left="58" w:right="58" w:firstLine="648"/>
        <w:jc w:val="both"/>
        <w:rPr>
          <w:rFonts w:ascii="Times New Roman;Times;serif" w:hAnsi="Times New Roman;Times;serif"/>
          <w:b/>
          <w:i/>
          <w:sz w:val="20"/>
        </w:rPr>
      </w:pPr>
      <w:r>
        <w:rPr>
          <w:rFonts w:ascii="Times New Roman;Times;serif" w:hAnsi="Times New Roman;Times;serif"/>
          <w:b/>
          <w:i/>
          <w:sz w:val="20"/>
        </w:rPr>
        <w:t>Royalty Purchase Agreement with OCM IP Healthcare Portfolio LP</w:t>
      </w:r>
    </w:p>
    <w:p>
      <w:pPr>
        <w:pStyle w:val="TextBody"/>
        <w:bidi w:val="0"/>
        <w:spacing w:before="0" w:after="200"/>
        <w:ind w:left="60" w:right="59" w:firstLine="648"/>
        <w:jc w:val="both"/>
        <w:rPr>
          <w:rFonts w:ascii="Times New Roman;Times;serif" w:hAnsi="Times New Roman;Times;serif"/>
          <w:sz w:val="20"/>
        </w:rPr>
      </w:pPr>
      <w:r>
        <w:rPr>
          <w:rFonts w:ascii="Times New Roman;Times;serif" w:hAnsi="Times New Roman;Times;serif"/>
          <w:sz w:val="20"/>
        </w:rPr>
        <w:t>In July 2024, we entered into a royalty purchase agreement with OCM IP Healthcare Portfolio LP, an investment vehicle for Ontario Municipal Employees Retirement System (“OMERS”). Under the royalty purchase agreement, we sold to OMERS a portion of the future royalty payments and the remaining anniversary milestone payments associated with our existing license to Eli Lilly and Company (“Lilly”), relating to OLUMIANT® (baricitinib) for the treatment of alopecia areata (see “—License Agreement with Eli Lilly and Company”). Under the terms of the royalty purchase agreement, we received an upfront payment of $26.5 million. In exchange, OMERS acquired a portion of the royalty payable by Lilly to us for worldwide net sales of OLUMIANT for the treatment of alopecia areata from April 1, 2024 through the remainder of the royalty term under our license agreement with Lilly, and 100% of the remaining anniversary milestone payments payable by Lilly to us under the license agreement. The royalty payments and milestones we sold to OMERS represent our entire financial interest in the Lilly license agreement after taking into account our other contractual third-party obligations.</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We recognized $0.9 million and $0.8 million of non-cash royalty income related to the OMERS agreement during the three months ended March 31, 2026 and 2025, respectively.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License Agreement with Sun Pharmaceutical Industries, Inc.</w:t>
      </w:r>
    </w:p>
    <w:p>
      <w:pPr>
        <w:pStyle w:val="TextBody"/>
        <w:bidi w:val="0"/>
        <w:spacing w:before="100" w:after="100"/>
        <w:ind w:left="0" w:right="0" w:firstLine="720"/>
        <w:jc w:val="both"/>
        <w:rPr/>
      </w:pPr>
      <w:r>
        <w:rPr/>
        <w:t>​</w:t>
      </w:r>
    </w:p>
    <w:p>
      <w:pPr>
        <w:pStyle w:val="TextBody"/>
        <w:bidi w:val="0"/>
        <w:spacing w:before="0" w:after="0"/>
        <w:ind w:left="0" w:right="0" w:firstLine="700"/>
        <w:jc w:val="both"/>
        <w:rPr>
          <w:rFonts w:ascii="Times New Roman;Times;serif" w:hAnsi="Times New Roman;Times;serif"/>
          <w:sz w:val="20"/>
        </w:rPr>
      </w:pPr>
      <w:r>
        <w:rPr>
          <w:rFonts w:ascii="Times New Roman;Times;serif" w:hAnsi="Times New Roman;Times;serif"/>
          <w:sz w:val="20"/>
        </w:rPr>
        <w:t>In December 2023, we entered into an exclusive patent license agreement with Sun Pharmaceutical Industries, Inc. (“Sun Pharma”). Under the license agreement, we granted Sun Pharma exclusive rights under certain patents that we exclusively license from a third party. The patents relate to the use of deuruxolitinib, Sun Pharma’s JAK inhibitor, or other isotopic forms of ruxolitinib, to treat alopecia areata or androgenetic alopecia. Under the license agreement, Sun Pharma has paid us upfront, regulatory and commercial milestone payments, and has agreed to pay us other regulatory and commercial milestone payments upon the achievement of specified milestones set forth in the agreement, and a mid single-digit tiered royalty calculated as a percentage of Sun Pharma’s net sales. We have separate contractual obligations under which we have agreed to pay to third parties a portion of the consideration we may receive under the license agreement. We may seek to monetize this asset.</w:t>
      </w:r>
    </w:p>
    <w:p>
      <w:pPr>
        <w:pStyle w:val="TextBody"/>
        <w:bidi w:val="0"/>
        <w:spacing w:before="0" w:after="0"/>
        <w:ind w:left="0" w:right="0" w:firstLine="700"/>
        <w:jc w:val="both"/>
        <w:rPr/>
      </w:pPr>
      <w:r>
        <w:rPr/>
        <w:t>​</w:t>
      </w:r>
    </w:p>
    <w:p>
      <w:pPr>
        <w:pStyle w:val="TextBody"/>
        <w:bidi w:val="0"/>
        <w:spacing w:before="0" w:after="0"/>
        <w:ind w:left="0" w:right="0" w:firstLine="700"/>
        <w:jc w:val="both"/>
        <w:rPr>
          <w:rFonts w:ascii="Times New Roman;Times;serif" w:hAnsi="Times New Roman;Times;serif"/>
          <w:sz w:val="20"/>
        </w:rPr>
      </w:pPr>
      <w:r>
        <w:rPr>
          <w:rFonts w:ascii="Times New Roman;Times;serif" w:hAnsi="Times New Roman;Times;serif"/>
          <w:sz w:val="20"/>
        </w:rPr>
        <w:t>We recognized $0.2 million of licensing revenue related to the Sun Pharma agreement during the three months ended March 31, 2026, a portion of which was payable to third parties.</w:t>
      </w:r>
    </w:p>
    <w:p>
      <w:pPr>
        <w:pStyle w:val="TextBody"/>
        <w:bidi w:val="0"/>
        <w:spacing w:before="0" w:after="0"/>
        <w:ind w:left="0" w:right="0" w:hanging="0"/>
        <w:jc w:val="left"/>
        <w:rPr/>
      </w:pPr>
      <w:r>
        <w:rPr/>
        <w:t>​</w:t>
      </w:r>
    </w:p>
    <w:p>
      <w:pPr>
        <w:pStyle w:val="TextBody"/>
        <w:bidi w:val="0"/>
        <w:spacing w:before="0" w:after="0"/>
        <w:ind w:left="700" w:right="0" w:hanging="0"/>
        <w:jc w:val="left"/>
        <w:rPr>
          <w:rFonts w:ascii="Times New Roman;Times;serif" w:hAnsi="Times New Roman;Times;serif"/>
          <w:b/>
          <w:i/>
          <w:sz w:val="20"/>
        </w:rPr>
      </w:pPr>
      <w:r>
        <w:rPr>
          <w:rFonts w:ascii="Times New Roman;Times;serif" w:hAnsi="Times New Roman;Times;serif"/>
          <w:b/>
          <w:i/>
          <w:sz w:val="20"/>
        </w:rPr>
        <w:t>License Agreement with Pediatrix Therapeutics, Inc.</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In November 2022, we entered into a license agreement with Pediatrix under which we granted Pediatrix the exclusive rights to develop, manufacture and commercialize lepzacitinib in Greater China. Pediatrix has paid us an upfront payment, and has agreed to pay us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 received from Pediatrix is payable to the former Confluence (as defined below) equity holders as described below under the caption “—Agreement and Plan of Merger with Confluence.”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License Agreement with Eli Lilly and Company </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 xml:space="preserve">In August 2022, we entered into a non-exclusive patent license agreement with Lilly. Under the license agreement, we granted Lilly non-exclusive rights under certain patents and patent applications that we exclusively license from a third party. The patents and patent applications relate to the use of baricitinib, Lilly’s JAK inhibitor, to treat alopecia areata. Under the license agreement, Lilly has paid us upfront, anniversary, regulatory and commercial milestone payments. In addition, Lilly has agreed to pay us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We have separate contractual obligations under which we have agreed to pay to third parties an amount equal to any regulatory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60" w:right="59" w:hanging="0"/>
        <w:jc w:val="both"/>
        <w:rPr>
          <w:rFonts w:ascii="Times New Roman;Times;serif" w:hAnsi="Times New Roman;Times;serif"/>
          <w:sz w:val="20"/>
        </w:rPr>
      </w:pPr>
      <w:r>
        <w:rPr>
          <w:rFonts w:ascii="Times New Roman;Times;serif" w:hAnsi="Times New Roman;Times;serif"/>
          <w:sz w:val="20"/>
        </w:rPr>
        <w:t>commercial milestone payments we receive under the Lilly license agreement, as well as a portion of the upfront consideration and a portion of the royalties we may receive under the license agreement. In July 2024, we entered into a royalty purchase agreement with OMERS pursuant to which we sold to OMERS a portion of our future royalty payments and the remaining anniversary milestone payments associated with the license to Lilly (see “—Royalty Purchase Agreement with OCM IP Healthcare Portfolio LP” above).</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 xml:space="preserve">We recognized $1.3 million and $1.0 million of licensing revenue related to the Lilly agreement during the three months ended March 31, 2026 and 2025, respectively, all of which was payable to third parties. </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b/>
          <w:i/>
          <w:sz w:val="20"/>
        </w:rPr>
      </w:pPr>
      <w:r>
        <w:rPr>
          <w:rFonts w:ascii="Times New Roman;Times;serif" w:hAnsi="Times New Roman;Times;serif"/>
          <w:b/>
          <w:i/>
          <w:sz w:val="20"/>
        </w:rPr>
        <w:t>Asset Purchase Agreement with EPI Health, LLC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October 2019, we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our asset purchase agreement with EPI Health and the outstanding amounts due. The sale was approved by the bankruptcy court in September 2023. As a result of the bankruptcy proceedings, all amounts that were due and outstanding by EPI Health had been fully reserved. In September 2025, we sold all of our right, title and interest in our bankruptcy claims against EPI Health and wrote off the remaining reserved balance as it was deemed uncollectible.</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b/>
          <w:i/>
          <w:sz w:val="20"/>
        </w:rPr>
      </w:pPr>
      <w:r>
        <w:rPr>
          <w:rFonts w:ascii="Times New Roman;Times;serif" w:hAnsi="Times New Roman;Times;serif"/>
          <w:b/>
          <w:i/>
          <w:sz w:val="20"/>
        </w:rPr>
        <w:t>Agreement and Plan of Merger with Confluence</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In 2017, we entered into an Agreement and Plan of Merger (the “Confluence Agreement”) with Confluence Life Sciences, Inc. (now known as Aclaris Life Sciences, Inc.) (“Confluence”), Aclaris Life Sciences, Inc., our wholly owned subsidiary (“Merger Sub”), and Fortis Advisors LLC, as representative of the equity holders of Confluence.  Pursuant to the terms of the Confluence Agreement, Merger Sub merged with and into Confluence, with Confluence surviving as our wholly owned subsidiary.</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Under the Confluence Agreement, we agreed to pay the former Confluence equity holders aggregate remaining contingent consideration of up to $75.0 million based upon the achievement of specified regulatory and commercial milestones set forth in the Confluence Agreement. In addition, we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In addition to the payments described above, if we sell, license or transfer any of the intellectual property acquired from Confluence pursuant to the Confluence Agreement to a third party, we will be obligated to pay the former Confluence equity holders a portion of any consideration received from such sale, license or transfer in specified circumstances.</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Revenue</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Contract Research</w:t>
      </w:r>
    </w:p>
    <w:p>
      <w:pPr>
        <w:pStyle w:val="TextBody"/>
        <w:bidi w:val="0"/>
        <w:spacing w:before="0" w:after="0"/>
        <w:ind w:left="60" w:right="59" w:firstLine="648"/>
        <w:jc w:val="both"/>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We earn revenue from the provision of laboratory services. Contract research revenue is generally evidenced by contracts with clients which are on an agreed upon fixed-price, fee-for-service basis and are generally billed on a monthly basis in arrears for services rendered.</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 xml:space="preserve">Licensing </w:t>
      </w:r>
    </w:p>
    <w:p>
      <w:pPr>
        <w:pStyle w:val="TextBody"/>
        <w:shd w:fill="FFFFFF" w:val="clear"/>
        <w:bidi w:val="0"/>
        <w:spacing w:before="0" w:after="0"/>
        <w:ind w:left="0" w:right="0" w:firstLine="720"/>
        <w:jc w:val="both"/>
        <w:rPr/>
      </w:pPr>
      <w:r>
        <w:rPr/>
        <w:t>​</w:t>
      </w:r>
    </w:p>
    <w:p>
      <w:pPr>
        <w:pStyle w:val="TextBody"/>
        <w:bidi w:val="0"/>
        <w:spacing w:before="0" w:after="0"/>
        <w:ind w:left="58" w:right="58" w:firstLine="648"/>
        <w:jc w:val="both"/>
        <w:rPr>
          <w:rFonts w:ascii="Times New Roman;Times;serif" w:hAnsi="Times New Roman;Times;serif"/>
          <w:sz w:val="20"/>
        </w:rPr>
      </w:pPr>
      <w:r>
        <w:rPr>
          <w:rFonts w:ascii="Times New Roman;Times;serif" w:hAnsi="Times New Roman;Times;serif"/>
          <w:sz w:val="20"/>
        </w:rPr>
        <w:t>Licensing revenue primarily consists of upfront consideration, royalties and milestone payments earned pursuant to license and acquisition agreements with third parties, as described above.</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Cost and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 consists of the costs incurred in connection with the provision of contract research services. Cost of revenue primarily includes:</w:t>
      </w:r>
    </w:p>
    <w:p>
      <w:pPr>
        <w:pStyle w:val="TextBody"/>
        <w:bidi w:val="0"/>
        <w:spacing w:before="0" w:after="0"/>
        <w:ind w:left="0" w:right="0" w:hanging="0"/>
        <w:jc w:val="both"/>
        <w:rPr/>
      </w:pPr>
      <w:r>
        <w:rPr/>
        <w:t>​</w:t>
      </w:r>
    </w:p>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which include salaries, benefits, and stock-based compensation;</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professional scientific services;</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laboratory equipment;</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costs; and</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materials and supplies used to support the services provided.</w:t>
            </w:r>
          </w:p>
        </w:tc>
      </w:tr>
    </w:tbl>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Research and Development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of expenses incurred in connection with the discovery and development of our product candidates. These expenses primarily include:</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contract research organizations (“CROs”), as well as clinical trial sites and consultants that conduct our clinical trials and preclinical studies, and investigator-initiated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scale-up expenses and the cost of acquiring and manufacturing active pharmaceutical ingredients and preclinical and clinical trial materials, including domestic technology transfer expenses;</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and quality control costs;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professional scientific development services;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affairs expenses related to our product candidates;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which include salaries, benefits, and stock-based compensation;</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relating to regulatory activities, including filing fees paid to regulatory agencies;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materials and supplies used to support our research activities.</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in the near term as we continue the development of our product candidates and pursue our discovery programs. We expense research and development costs as incurred. Our direct research and development expenses primarily consist of external costs including fees paid to CROs, consultants, clinical trial sites, regulatory agencies and third parties that manufacture our preclinical and clinical trial materials and are tracked on a program-by-program basis. We do not allocate personnel costs or other indirect expenses to specific research and development programs.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successful development of our product candidates is highly uncertain.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discovery, as well as clinical trials, which vary significantly over the life of a project as a result of many factors, including:</w:t>
      </w:r>
    </w:p>
    <w:p>
      <w:pPr>
        <w:pStyle w:val="TextBody"/>
        <w:bidi w:val="0"/>
        <w:spacing w:before="0" w:after="0"/>
        <w:ind w:left="0" w:right="0" w:hanging="0"/>
        <w:jc w:val="left"/>
        <w:rPr/>
      </w:pPr>
      <w:r>
        <w:rPr/>
        <w:t>​</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subjects;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subjects that ultimately participate in the trials;</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subjects receive;</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subject follow-up; and</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clinical trials.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expenditures are subject to additional uncertainties, including the preparation of regulatory filings for our product candidates. We may obtain unexpected results from our clinical trials or other development activities. We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elect to discontinue, delay or modify the development, including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General and Administrative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principally of salaries and related costs, including stock-based compensation, for personnel in executive, administrative, finance, and legal functions. General and administrative expenses also include facility-related costs, patent filing and prosecution costs, professional fees for legal, auditing and tax services, investor relations costs, business development costs, insurance costs, and travel expenses.</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Licensing </w:t>
      </w:r>
    </w:p>
    <w:p>
      <w:pPr>
        <w:pStyle w:val="TextBody"/>
        <w:bidi w:val="0"/>
        <w:spacing w:before="0" w:after="0"/>
        <w:ind w:left="0" w:right="0" w:hanging="0"/>
        <w:jc w:val="left"/>
        <w:rPr/>
      </w:pPr>
      <w:r>
        <w:rPr/>
        <w:t>​</w:t>
      </w:r>
    </w:p>
    <w:p>
      <w:pPr>
        <w:pStyle w:val="TextBody"/>
        <w:bidi w:val="0"/>
        <w:spacing w:before="0" w:after="0"/>
        <w:ind w:left="60" w:right="59" w:firstLine="648"/>
        <w:jc w:val="both"/>
        <w:rPr>
          <w:rFonts w:ascii="Times New Roman;Times;serif" w:hAnsi="Times New Roman;Times;serif"/>
          <w:sz w:val="20"/>
        </w:rPr>
      </w:pPr>
      <w:r>
        <w:rPr>
          <w:rFonts w:ascii="Times New Roman;Times;serif" w:hAnsi="Times New Roman;Times;serif"/>
          <w:sz w:val="20"/>
        </w:rPr>
        <w:t>Licensing expenses consist of third-party contractual obligations incurred under license and acquisition agreements with third parties, as described above.</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Revaluation of Contingent Consideration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Revaluation of contingent consideration consists of changes in the fair value of our contingent consideration liability between reporting dates, as described below.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Other Income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Interest income primarily consists of interest earned on our cash, cash equivalents and marketable securities.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Non-cash Royalty Income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Non-cash royalty income includes income related to the proceeds from the sale of future royalties to OMERS, recognized under the “units-of-revenue” method.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This discussion and analysis of our financial condition and results of operations is based on our condensed consolidated financial statements, which have been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revenues and expenses and the disclosure of contingent assets and liabilities in our condensed consolidated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 There have been no material changes to our significant accounting policies and use of estimates as disclosed in the footnotes to our audited consolidated financial statements for the year ended December 31, 2025 included in our Annual Report.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Contingent Consideration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record a contingent consideration liability related to future potential payments resulting from the acquisition of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These assumptions are considered Level 3 inputs. Revaluation of our contingent consideration liability can result from changes to one or more of these assumptions. These assumptions are highly dependent on the outcome and timing of the development of certain of our product candidates. We evaluate the fair value estimate of our contingent consideration liability on a quarterly basis with changes, if any, recorded as income or expense in our condensed consolidated statement of operations and comprehensive loss. Any such changes could have a material impact on our financial results.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our estimates include the probability of achieving regulatory milestones and commencing commercialization (collectively referred to as “probability of success”), which are based on an asset’s current stage of development and a review of existing clinical data. Probability of success assumptions ranged between 21% and 40% at March 31, 2026. Additionally, estimated future sales levels and the risk-adjusted discount rate applied to the potential payments are also significant assumptions used in calculating the fair value. As of March 31, 2026, the discount rate ranged between 7.5% and 9.3% depending on the year of each potential payment. </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was no change in the fair value of the contingent consideration liability during the three months ended March 31, 2026 due to offsetting impacts of the passage of time and changes in market rates.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March 31, 2026 and 2025</w:t>
      </w:r>
    </w:p>
    <w:p>
      <w:pPr>
        <w:pStyle w:val="TextBody"/>
        <w:bidi w:val="0"/>
        <w:spacing w:before="0" w:after="0"/>
        <w:ind w:left="0" w:right="0" w:hanging="0"/>
        <w:jc w:val="left"/>
        <w:rPr/>
      </w:pPr>
      <w:r>
        <w:rPr/>
        <w:t>​</w:t>
      </w:r>
    </w:p>
    <w:tbl>
      <w:tblPr>
        <w:tblW w:w="7420" w:type="dxa"/>
        <w:jc w:val="left"/>
        <w:tblInd w:w="0" w:type="dxa"/>
        <w:tblLayout w:type="fixed"/>
        <w:tblCellMar>
          <w:top w:w="0" w:type="dxa"/>
          <w:left w:w="0" w:type="dxa"/>
          <w:bottom w:w="0" w:type="dxa"/>
          <w:right w:w="0" w:type="dxa"/>
        </w:tblCellMar>
      </w:tblPr>
      <w:tblGrid>
        <w:gridCol w:w="3421"/>
        <w:gridCol w:w="346"/>
        <w:gridCol w:w="211"/>
        <w:gridCol w:w="796"/>
        <w:gridCol w:w="346"/>
        <w:gridCol w:w="211"/>
        <w:gridCol w:w="796"/>
        <w:gridCol w:w="346"/>
        <w:gridCol w:w="211"/>
        <w:gridCol w:w="73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72335" cy="175260"/>
                      <wp:effectExtent l="0" t="0" r="0" b="0"/>
                      <wp:wrapNone/>
                      <wp:docPr id="171" name="Frame17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5460" cy="175260"/>
                      <wp:effectExtent l="0" t="0" r="0" b="0"/>
                      <wp:wrapNone/>
                      <wp:docPr id="174" name="Frame1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05460" cy="175260"/>
                      <wp:effectExtent l="0" t="0" r="0" b="0"/>
                      <wp:wrapNone/>
                      <wp:docPr id="177" name="Frame1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67360" cy="175260"/>
                      <wp:effectExtent l="0" t="0" r="0" b="0"/>
                      <wp:wrapNone/>
                      <wp:docPr id="180" name="Frame18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6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research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449</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541</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604</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Revaluation of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4,649</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(4,108)</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(652)</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royalty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Contract research</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increase in contract research revenue for the three months ended March 31, 2026 compared to the three months ended March 31, 2025 was driven by higher overall hours billed, which was partially offset by a lower average billing rate. </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Licensing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increase in licensing revenue during the three months ended March 31, 2026 compared to the three months ended March 31, 2025 was due to higher royalties earned under the Lilly and Sun Pharma license agreements.</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Costs and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decrease in cost of revenue for the three months ended March 31, 2026 compared to the three months ended March 31, 2025 was driven by a decrease in personnel related costs.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 xml:space="preserve">Research and Development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by product candidate or, for unallocated expenses, by type:</w:t>
      </w:r>
    </w:p>
    <w:p>
      <w:pPr>
        <w:pStyle w:val="TextBody"/>
        <w:bidi w:val="0"/>
        <w:spacing w:before="0" w:after="0"/>
        <w:ind w:left="0" w:right="0" w:hanging="0"/>
        <w:jc w:val="left"/>
        <w:rPr/>
      </w:pPr>
      <w:r>
        <w:rPr/>
        <w:t>​</w:t>
      </w:r>
    </w:p>
    <w:tbl>
      <w:tblPr>
        <w:tblW w:w="7135" w:type="dxa"/>
        <w:jc w:val="left"/>
        <w:tblInd w:w="0" w:type="dxa"/>
        <w:tblLayout w:type="fixed"/>
        <w:tblCellMar>
          <w:top w:w="0" w:type="dxa"/>
          <w:left w:w="0" w:type="dxa"/>
          <w:bottom w:w="0" w:type="dxa"/>
          <w:right w:w="0" w:type="dxa"/>
        </w:tblCellMar>
      </w:tblPr>
      <w:tblGrid>
        <w:gridCol w:w="3496"/>
        <w:gridCol w:w="346"/>
        <w:gridCol w:w="211"/>
        <w:gridCol w:w="676"/>
        <w:gridCol w:w="346"/>
        <w:gridCol w:w="211"/>
        <w:gridCol w:w="676"/>
        <w:gridCol w:w="226"/>
        <w:gridCol w:w="211"/>
        <w:gridCol w:w="736"/>
      </w:tblGrid>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3510" cy="175260"/>
                      <wp:effectExtent l="0" t="0" r="0" b="0"/>
                      <wp:wrapNone/>
                      <wp:docPr id="187" name="Frame1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67360" cy="175260"/>
                      <wp:effectExtent l="0" t="0" r="0" b="0"/>
                      <wp:wrapNone/>
                      <wp:docPr id="189" name="Frame18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Bosakitug</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ATI-2138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ATI-9494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1,547</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4,073</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Bosakitug</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decrease in expenses for bosakitug for the three months ended March 31, 2026 compared to the three months ended March 31, 2025 was primarily due to lower product candidate manufacturing costs, partially offset by an increase in clinical development expenses associated with a Phase 2 trial in atopic dermatitis. </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ATI-052</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expenses for ATI-052 for the three months ended March 31, 2026 compared to the three months ended March 31, 2025 was primarily due to an increase in clinical development expenses associated with a Phase 1a program, as well as Phase 1b programs in atopic dermatitis and asthma.</w:t>
      </w:r>
    </w:p>
    <w:p>
      <w:pPr>
        <w:pStyle w:val="TextBody"/>
        <w:bidi w:val="0"/>
        <w:spacing w:before="0" w:after="0"/>
        <w:ind w:left="0" w:right="0" w:firstLine="72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ATI-2138</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decrease in expenses for ATI-2138 during the three months ended March 31, 2026 compared to the three months ended March 31, 2025 was primarily due to a decrease in preclinical development expenses associated with toxicity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studies and clinical development expenses associated with a Phase 2a trial in atopic dermatitis, which was completed in July 2025.</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ATI-9494</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expenses for ATI-9494 during the three months ended March 31, 2026 compared to the three months ended March 31, 2025 was primarily due to an increase in product candidate manufacturing costs to support IND enabling studies.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Discovery</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discovery expenses during the three months ended March 31, 2026 compared to the three months ended March 31, 2025 was primarily due to increased investment in JAK-sparing ITK inhibitors as we progress toward candidate selection.</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Other research and development</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other research and development expenses during the three months ended March 31, 2026 compared to the three months ended March 31, 2025 was primarily due to consulting costs associated with our clinical programs during the three months ended March 31, 2026.</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Personnel</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increase in personnel expenses during the three months ended March 31, 2026 compared to the three months ended March 31, 2025 was primarily due to higher headcount. </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 xml:space="preserve">General and Administrative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general and administrative expenses:</w:t>
      </w:r>
    </w:p>
    <w:p>
      <w:pPr>
        <w:pStyle w:val="TextBody"/>
        <w:bidi w:val="0"/>
        <w:spacing w:before="0" w:after="0"/>
        <w:ind w:left="0" w:right="0" w:hanging="0"/>
        <w:jc w:val="left"/>
        <w:rPr/>
      </w:pPr>
      <w:r>
        <w:rPr/>
        <w:t>​</w:t>
      </w:r>
    </w:p>
    <w:tbl>
      <w:tblPr>
        <w:tblW w:w="6820" w:type="dxa"/>
        <w:jc w:val="left"/>
        <w:tblInd w:w="0" w:type="dxa"/>
        <w:tblLayout w:type="fixed"/>
        <w:tblCellMar>
          <w:top w:w="0" w:type="dxa"/>
          <w:left w:w="0" w:type="dxa"/>
          <w:bottom w:w="0" w:type="dxa"/>
          <w:right w:w="0" w:type="dxa"/>
        </w:tblCellMar>
      </w:tblPr>
      <w:tblGrid>
        <w:gridCol w:w="3541"/>
        <w:gridCol w:w="346"/>
        <w:gridCol w:w="211"/>
        <w:gridCol w:w="571"/>
        <w:gridCol w:w="346"/>
        <w:gridCol w:w="211"/>
        <w:gridCol w:w="571"/>
        <w:gridCol w:w="226"/>
        <w:gridCol w:w="211"/>
        <w:gridCol w:w="586"/>
      </w:tblGrid>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92" name="Frame1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62585" cy="175260"/>
                      <wp:effectExtent l="0" t="0" r="0" b="0"/>
                      <wp:wrapNone/>
                      <wp:docPr id="195" name="Frame1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3510" cy="175260"/>
                      <wp:effectExtent l="0" t="0" r="0" b="0"/>
                      <wp:wrapNone/>
                      <wp:docPr id="196" name="Frame19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72110" cy="175260"/>
                      <wp:effectExtent l="0" t="0" r="0" b="0"/>
                      <wp:wrapNone/>
                      <wp:docPr id="198" name="Frame1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3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and legal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462</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 and support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604</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Personnel</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personnel expenses during the three months ended March 31, 2026 compared to the three months ended March 31, 2025 was primarily due to higher headcount.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Professional and legal fees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increase in professional and legal fees during the three months ended March 31, 2026 compared to the three months ended March 31, 2025 was primarily due to higher compliance and business development-related expenses during the three months ended March 31, 2026. </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Licensing</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increase in licensing expense during the three months ended March 31, 2026 compared to the three months ended March 31, 2025 was due to higher royalties earned under the Lilly and Sun Pharma license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Revaluation of Contingent Consideration</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revaluation of contingent consideration loss decreased during the three months ended March 31, 2026 compared to the three months ended March 31, 2025 mainly due to changes in estimated sales levels and market rates during the three months ended March 31, 2026, which offset an increase to the liability due to the passage of time. This resulted in no change to the contingent consideration liability during the three months ended March 31,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Other Income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Interest Income</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Interest income decreased during the three months ended March 31, 2026 compared to the three months ended March 31, 2025 due to a lower average investment balance and lower interest rates during the three months ended March 31, 2026.</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Non-cash Royalty Income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Non-cash royalty income was consistent during the three months ended March 31, 2026 and March 31, 2025 and includes income related to the proceeds from the sale of a portion of our OLUMIANT® royalty payments to OMERS in July 2024.</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Since our inception, we have incurred net losses and negative cash flows from our operations. We have financed our operations over the last several years primarily through sales of our equity securities and non-dilutive financing. We may engage in additional equity and other financing transactions in order to raise funds.  We may receive royalties and milestone payments under third-party licensing and acquisition agreements. In addition, to the extent we are able to consummate transactions with potential third-party partners to further develop, obtain marketing approval for and/or commercialize our product candidates, we may receive upfront payments, milestone payments or royalties from such arrangements that would increase our liquidity.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2026, we had cash, cash equivalents and marketable securities of $190.8 million.</w:t>
      </w:r>
      <w:r>
        <w:rPr>
          <w:rFonts w:ascii="Times New Roman;Times;serif" w:hAnsi="Times New Roman;Times;serif"/>
          <w:sz w:val="20"/>
          <w:shd w:fill="FFFFFF" w:val="clear"/>
        </w:rPr>
        <w:t xml:space="preserve"> </w:t>
      </w:r>
      <w:r>
        <w:rPr>
          <w:rFonts w:ascii="Times New Roman;Times;serif" w:hAnsi="Times New Roman;Times;serif"/>
          <w:sz w:val="20"/>
        </w:rPr>
        <w:t>Cash in excess of immediate requirements is invested in accordance with our investment policy, primarily with a view towards liquidity and capital preservation.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currently have no ongoing material financing commitments, such as lines of credit or guarantees, that are expected to affect our liquidity, other than our contingent obligations under the Confluence Agreement and Biosion Agreements, which are summarized above under “Overview—Acquisition and License Agreements,</w:t>
      </w:r>
      <w:r>
        <w:rPr>
          <w:rFonts w:ascii="Times New Roman;Times;serif" w:hAnsi="Times New Roman;Times;serif"/>
          <w:sz w:val="20"/>
          <w:shd w:fill="FFFFFF" w:val="clear"/>
        </w:rPr>
        <w:t>” and our lease obligations.</w:t>
      </w:r>
      <w:r>
        <w:rPr>
          <w:rFonts w:ascii="Times New Roman;Times;serif" w:hAnsi="Times New Roman;Times;serif"/>
          <w:sz w:val="20"/>
        </w:rPr>
        <w:t xml:space="preserv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Equity Financing</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Sales of Common Stock Pursuant to At-The-Market Facility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2026, we sold an aggregate of 18.4 million shares of our common stock for gross proceeds of $59.8 million, pursuant to an amended and restated sales agreement with Leerink Partners LLC and Cantor Fitzgerald &amp; Co., as sales agents, dated February 27, 2025. We paid selling commissions and other fees of $1.8 million in connection with the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Cash and cash equivalents were $28.7 million as of March 31, 2026 compared to $20.0 million as of December 31, 2025. We also had $162.1 million in short- and long-term marketable securities as of March 31, 2026 compared to $131.4 million as of December 31, 2025.</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sources and uses of cash that contributed to the change in cash and cash equivalents were:</w:t>
      </w:r>
    </w:p>
    <w:p>
      <w:pPr>
        <w:pStyle w:val="TextBody"/>
        <w:bidi w:val="0"/>
        <w:spacing w:before="0" w:after="0"/>
        <w:ind w:left="0" w:right="0" w:firstLine="720"/>
        <w:jc w:val="left"/>
        <w:rPr/>
      </w:pPr>
      <w:r>
        <w:rPr/>
        <w:t>​</w:t>
      </w:r>
    </w:p>
    <w:tbl>
      <w:tblPr>
        <w:tblW w:w="6967" w:type="dxa"/>
        <w:jc w:val="left"/>
        <w:tblInd w:w="0" w:type="dxa"/>
        <w:tblLayout w:type="fixed"/>
        <w:tblCellMar>
          <w:top w:w="0" w:type="dxa"/>
          <w:left w:w="0" w:type="dxa"/>
          <w:bottom w:w="0" w:type="dxa"/>
          <w:right w:w="0" w:type="dxa"/>
        </w:tblCellMar>
      </w:tblPr>
      <w:tblGrid>
        <w:gridCol w:w="4216"/>
        <w:gridCol w:w="346"/>
        <w:gridCol w:w="211"/>
        <w:gridCol w:w="796"/>
        <w:gridCol w:w="34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677160" cy="175260"/>
                      <wp:effectExtent l="0" t="0" r="0" b="0"/>
                      <wp:wrapNone/>
                      <wp:docPr id="199" name="Frame19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05460" cy="175260"/>
                      <wp:effectExtent l="0" t="0" r="0" b="0"/>
                      <wp:wrapNone/>
                      <wp:docPr id="202" name="Frame2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34035" cy="175260"/>
                      <wp:effectExtent l="0" t="0" r="0" b="0"/>
                      <wp:wrapNone/>
                      <wp:docPr id="205" name="Frame20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19,119</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30,357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flow related to operating activities was the result of:</w:t>
      </w:r>
    </w:p>
    <w:tbl>
      <w:tblPr>
        <w:tblW w:w="9487" w:type="dxa"/>
        <w:jc w:val="left"/>
        <w:tblInd w:w="0" w:type="dxa"/>
        <w:tblLayout w:type="fixed"/>
        <w:tblCellMar>
          <w:top w:w="0" w:type="dxa"/>
          <w:left w:w="0" w:type="dxa"/>
          <w:bottom w:w="0" w:type="dxa"/>
          <w:right w:w="0" w:type="dxa"/>
        </w:tblCellMar>
      </w:tblPr>
      <w:tblGrid>
        <w:gridCol w:w="6736"/>
        <w:gridCol w:w="346"/>
        <w:gridCol w:w="211"/>
        <w:gridCol w:w="796"/>
        <w:gridCol w:w="346"/>
        <w:gridCol w:w="211"/>
        <w:gridCol w:w="841"/>
      </w:tblGrid>
      <w:tr>
        <w:trPr/>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277360" cy="175260"/>
                      <wp:effectExtent l="0" t="0" r="0" b="0"/>
                      <wp:wrapNone/>
                      <wp:docPr id="206" name="Frame206"/>
                      <a:graphic xmlns:a="http://schemas.openxmlformats.org/drawingml/2006/main">
                        <a:graphicData uri="http://schemas.microsoft.com/office/word/2010/wordprocessingShape">
                          <wps:wsp>
                            <wps:cNvSpPr txBox="1"/>
                            <wps:spPr>
                              <a:xfrm>
                                <a:off x="0" y="0"/>
                                <a:ext cx="427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5460" cy="175260"/>
                      <wp:effectExtent l="0" t="0" r="0" b="0"/>
                      <wp:wrapNone/>
                      <wp:docPr id="209" name="Frame2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34035" cy="175260"/>
                      <wp:effectExtent l="0" t="0" r="0" b="0"/>
                      <wp:wrapNone/>
                      <wp:docPr id="212" name="Frame21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(15,085)</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adjustments to reconcile net loss to 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accounts receivable, 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(9,378)</w:t>
            </w:r>
          </w:p>
        </w:tc>
      </w:tr>
      <w:tr>
        <w:trPr/>
        <w:tc>
          <w:tcPr>
            <w:tcW w:w="6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6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(13,057)</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increased for the three months ended March 31, 2026 compared to the three months ended March 31, 2025 primarily as a result of higher net losses after adjusting for non-cash items during the three months ended March 31, 2026. This increase was partially offset by a net decrease in cash used for accounts payable and accrued expenses, after adjusting for the receipt and corresponding payment of a third-party milestone during the three months ended March 31, 2025.</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flow related to investing activities was the result of:</w:t>
      </w:r>
    </w:p>
    <w:p>
      <w:pPr>
        <w:pStyle w:val="TextBody"/>
        <w:bidi w:val="0"/>
        <w:spacing w:before="0" w:after="0"/>
        <w:ind w:left="0" w:right="0" w:firstLine="720"/>
        <w:jc w:val="left"/>
        <w:rPr/>
      </w:pPr>
      <w:r>
        <w:rPr/>
        <w:t>​</w:t>
      </w:r>
    </w:p>
    <w:tbl>
      <w:tblPr>
        <w:tblW w:w="8332" w:type="dxa"/>
        <w:jc w:val="left"/>
        <w:tblInd w:w="0" w:type="dxa"/>
        <w:tblLayout w:type="fixed"/>
        <w:tblCellMar>
          <w:top w:w="0" w:type="dxa"/>
          <w:left w:w="0" w:type="dxa"/>
          <w:bottom w:w="0" w:type="dxa"/>
          <w:right w:w="0" w:type="dxa"/>
        </w:tblCellMar>
      </w:tblPr>
      <w:tblGrid>
        <w:gridCol w:w="5641"/>
        <w:gridCol w:w="346"/>
        <w:gridCol w:w="211"/>
        <w:gridCol w:w="796"/>
        <w:gridCol w:w="346"/>
        <w:gridCol w:w="211"/>
        <w:gridCol w:w="78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582035" cy="175260"/>
                      <wp:effectExtent l="0" t="0" r="0" b="0"/>
                      <wp:wrapNone/>
                      <wp:docPr id="213" name="Frame213"/>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05460" cy="175260"/>
                      <wp:effectExtent l="0" t="0" r="0" b="0"/>
                      <wp:wrapNone/>
                      <wp:docPr id="216" name="Frame2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95935" cy="175260"/>
                      <wp:effectExtent l="0" t="0" r="0" b="0"/>
                      <wp:wrapNone/>
                      <wp:docPr id="219" name="Frame2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(9,996)</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and maturities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29,991</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of deferred transaction consideration for in-licensed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19,119</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change in net cash used in investing activities for the three months ended March 31, 2026 compared to the net cash provided by investing activities for the three months ended March 31, 2025 resulted primarily from greater purchases of marketable securities and lower proceeds from sales and maturities of marketable securities during the three months ended March 31, 2026.</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flow related to financing activities was the result of:</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833"/>
        <w:gridCol w:w="346"/>
        <w:gridCol w:w="211"/>
        <w:gridCol w:w="676"/>
        <w:gridCol w:w="346"/>
        <w:gridCol w:w="211"/>
        <w:gridCol w:w="582"/>
      </w:tblGrid>
      <w:tr>
        <w:trPr/>
        <w:tc>
          <w:tcPr>
            <w:tcW w:w="7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73955" cy="175260"/>
                      <wp:effectExtent l="0" t="0" r="0" b="0"/>
                      <wp:wrapNone/>
                      <wp:docPr id="220" name="Frame220"/>
                      <a:graphic xmlns:a="http://schemas.openxmlformats.org/drawingml/2006/main">
                        <a:graphicData uri="http://schemas.microsoft.com/office/word/2010/wordprocessingShape">
                          <wps:wsp>
                            <wps:cNvSpPr txBox="1"/>
                            <wps:spPr>
                              <a:xfrm>
                                <a:off x="0" y="0"/>
                                <a:ext cx="4973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3" name="Frame2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9570" cy="175260"/>
                      <wp:effectExtent l="0" t="0" r="0" b="0"/>
                      <wp:wrapNone/>
                      <wp:docPr id="226" name="Frame226"/>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2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8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8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the at-the-market sales agreement,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pPr>
            <w:r>
              <w:rPr/>
              <w:t>—</w:t>
            </w:r>
          </w:p>
        </w:tc>
      </w:tr>
      <w:tr>
        <w:trPr/>
        <w:tc>
          <w:tcPr>
            <w:tcW w:w="7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 of employee withholding taxes related to restricted stock unit award vesting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r>
        <w:trPr/>
        <w:tc>
          <w:tcPr>
            <w:tcW w:w="78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employee stock options and the 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change in net cash provided by financing activities for the three months ended March 31, 2026 compared to net cash used in financing activities for the three months ended March 31, 2025 was primarily due to proceeds from sales under our at-the-market sales agreement in March 2026.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Funding Requirements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anticipate we will incur net losses in the near term as we continue the development of our product candidates and continue to discover and develop additional product candidates. We may not be able to generate revenue from these programs if, among other things, our clinical trials are not successful, the FDA does not approve our product candidates currently in clinical trials when we expect, or at all, or we are not able to identify and consummate transactions with third-party partners to further develop, obtain marketing approval for and/or commercialize our product candidates.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primary uses of capital are, and we expect will continue to be, compensation and related expenses, research and development expenses, laboratory and related supplies, professional and legal expenses, and administrative and overhead costs. Our future funding requirements will be heavily determined by the resources needed to support the development of our product candidates, without taking into account any potential business development activities.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a publicly traded company, we incur and will continue to incur significant legal, accounting and other similar expenses. In addition, the Sarbanes-Oxley Act of 2002, as well as rules adopted by the SEC and the Nasdaq Stock Market LLC, requires public companies to implement specified corporate governance practices that could increase our compliance costs.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our existing cash, cash equivalents and marketable securities are sufficient to fund our operating and capital expenditure requirements for a period greater than 12 months from the date of issuance of our condensed consolidated financial statements that appear in Item 1 of this Quarterly Report on Form 10-Q based on our current operating assumptions. We will require additional capital to develop our product candidates and to support our discovery efforts. Additional funds may not be available on a timely basis, on commercially acceptable terms, or at all, and such funds, if raised, may not be sufficient to enable us to continue to implement our long-term business strategy. Our ability to raise additional capital may be adversely impacted by a variety of factors including changes in investor sentiment, geopolitical tensions, tariff policies, and inflationary pressures. If we are unable to raise sufficient additional capital or generate revenue from transactions with potential third-party partners for the development and/or commercialization of our product candidates, we may need to substantially curtail our planned operations.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may raise additional capital through the sale of equity or debt securities. In such an event, our stockholders’ ownership may be diluted, and the terms of these securities may include liquidation or other preferences that adversely affect the rights of a holder of our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and development of pharmaceutical product candidates, we are unable to estimate the exact amount of our working capital requirements. Our funding requirements in the near term will depend on many factors, including:</w:t>
      </w:r>
    </w:p>
    <w:p>
      <w:pPr>
        <w:pStyle w:val="TextBody"/>
        <w:bidi w:val="0"/>
        <w:spacing w:before="0" w:after="0"/>
        <w:ind w:left="0" w:right="0" w:firstLine="720"/>
        <w:jc w:val="both"/>
        <w:rPr/>
      </w:pPr>
      <w:r>
        <w:rPr/>
        <w:t>​</w:t>
      </w:r>
    </w:p>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the product candidates that we may pursue;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preclinical development, laboratory testing and conducting preclinical and clinical trials for our product candidates;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product candidates;</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in-license or acquire additional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and timing of preparing, filing and prosecuting patent applications, maintaining and enforcing our intellectual property rights and defending any intellectual property-related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consummate transactions with third-party partners to further develop, obtain marketing approval for and/or commercialize our product candidates; and</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earn revenue as a result of licenses to, or partnerships or other arrangements with, third parties.</w:t>
            </w:r>
          </w:p>
        </w:tc>
      </w:tr>
    </w:tbl>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occupy space for our headquarters in Wayne, Pennsylvania under a lease agreement which has a term through February 2029. We also occupy office and laboratory space in St. Louis, Missouri under a sublease agreement which has a term through May 2029.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aggregate remaining lease payment obligation for these two spaces was $2.3 million as of March 31, 2026.</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Agreement and Plan of Merger with Confluence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agreed to certain payment obligations in accordance with and subject to the terms of the Confluence Agreement (see “Overview—Acquisition and License Agreements—Agreement and Plan of Merger with Confluence”). As of March 31, 2026, the balance of our contingent consideration liability was $11.0 million.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Exclusive License Agreement with Biosion; Collaboration Agreement with Biosion and CTTQ</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agreed to certain payment obligations in accordance with and subject to the terms of the Biosion Agreements (see “Overview—Acquisition and License Agreements—Exclusive License Agreement with Biosion”).</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R&amp;D Obligations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enter into contracts in the normal course of business with CROs, contract manufacturing organizations and other service providers for clinical trials, preclinical studies and testing, manufacturing and other services and products for operating purposes. These contracts generally provide for termination upon notice, and therefore we believe that our non-cancelable obligations under these agreements are not material.</w:t>
      </w:r>
    </w:p>
    <w:p>
      <w:pPr>
        <w:pStyle w:val="TextBody"/>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 Information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and report as one reportable segment, which focuses on identifying and developing innovative therapies to address significant unmet needs for immuno-inflammatory diseases. The segment earns revenue through the licensing of our intellectual property and the provision of laboratory services. Our chief operating decision maker, our Chief Executive Officer, manages our operations on a consolidated basis for the purpose of making operating decisions, assessing financial performance, and allocating resources.</w:t>
      </w:r>
    </w:p>
    <w:p>
      <w:pPr>
        <w:pStyle w:val="TextBody"/>
        <w:bidi w:val="0"/>
        <w:spacing w:before="280" w:after="0"/>
        <w:ind w:left="0" w:right="0" w:hanging="0"/>
        <w:jc w:val="left"/>
        <w:rPr>
          <w:rFonts w:ascii="Times New Roman;Times;serif" w:hAnsi="Times New Roman;Times;serif"/>
          <w:b/>
          <w:sz w:val="20"/>
        </w:rPr>
      </w:pPr>
      <w:bookmarkStart w:id="893" w:name="Item3QuantitativeandQualitative_779367"/>
      <w:bookmarkStart w:id="894" w:name="_d25b9c24_ee1f_4873_959e_5eb7c560a762"/>
      <w:bookmarkEnd w:id="893"/>
      <w:bookmarkEnd w:id="89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under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95" w:name="Item4ControlsandProcedures_474377"/>
      <w:bookmarkStart w:id="896" w:name="_bed9b982_5882_4601_afd2_8d162872e34c"/>
      <w:bookmarkEnd w:id="895"/>
      <w:bookmarkEnd w:id="896"/>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Under the supervision of and with the participation of our management, including our principal executive officer and our principal financial officer, we conducted an evaluation of the effectiveness of our disclosure controls and procedures as of March 31, 2026, the end of the period covered by this Quarterly Report on Form 10-Q. The term “disclosure controls and procedures,” as set forth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the reasonable assurance level.</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connection with the evaluation required by Rules 13a-15(d) and 15d-15(d) of the Exchange Act that occurred during the quarter ended March 31, 2026 that has materially affected, or is reasonably likely to materially affect, our internal control over financial reporting.</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897" w:name="PARTIIOTHERINFORMATION_777976"/>
      <w:bookmarkStart w:id="898" w:name="_9082eb63_2a53_4eb6_8a03_18d118211868"/>
      <w:bookmarkEnd w:id="897"/>
      <w:bookmarkEnd w:id="898"/>
      <w:r>
        <w:rPr>
          <w:rFonts w:ascii="Times New Roman;Times;serif" w:hAnsi="Times New Roman;Times;serif"/>
          <w:b/>
          <w:sz w:val="20"/>
        </w:rPr>
        <w:t xml:space="preserve">PART II. OTHER INFORMATION </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bookmarkStart w:id="899" w:name="Item1LegalProceedings_682668"/>
      <w:bookmarkEnd w:id="899"/>
      <w:r>
        <w:rPr>
          <w:rFonts w:ascii="Times New Roman;Times;serif" w:hAnsi="Times New Roman;Times;serif"/>
          <w:b/>
          <w:sz w:val="20"/>
        </w:rPr>
        <w:t>Item 1. Legal Proceedings</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We are not currently a party to any material legal proceedings, and we are not aware of any other pending or threatened legal proceeding against us that we believe could have a material adverse effect on our business, operating results, cash flows or financial condition.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900" w:name="Item1ARiskFactors_634620"/>
      <w:bookmarkStart w:id="901" w:name="_93c5356c_8955_40d1_adfa_7063e55b1eb2"/>
      <w:bookmarkEnd w:id="900"/>
      <w:bookmarkEnd w:id="901"/>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Our risk factors have not changed materially from those described in “Part I, Item 1A. Risk Factors” of our Annual Report.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902" w:name="Item5OtherInformation_505397"/>
      <w:bookmarkStart w:id="903" w:name="_76ff5430_a422_429d_9707_95e2960f1dbf"/>
      <w:bookmarkEnd w:id="902"/>
      <w:bookmarkEnd w:id="903"/>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color w:val="0E0E0E"/>
          <w:sz w:val="20"/>
        </w:rPr>
      </w:pPr>
      <w:r>
        <w:rPr>
          <w:rFonts w:ascii="Times New Roman;Times;serif" w:hAnsi="Times New Roman;Times;serif"/>
          <w:b/>
          <w:i/>
          <w:color w:val="0E0E0E"/>
          <w:sz w:val="20"/>
        </w:rPr>
        <w:t>Adoption, Modification and Termination of Rule 10b5-1 Plans and Certain Other Trading Arrangements.</w:t>
      </w:r>
    </w:p>
    <w:p>
      <w:pPr>
        <w:pStyle w:val="TextBody"/>
        <w:bidi w:val="0"/>
        <w:spacing w:before="0" w:after="0"/>
        <w:ind w:left="0" w:right="0" w:hanging="0"/>
        <w:jc w:val="left"/>
        <w:rPr>
          <w:color w:val="0E0E0E"/>
        </w:rPr>
      </w:pPr>
      <w:r>
        <w:rPr>
          <w:color w:val="0E0E0E"/>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quarter ended March 31, 2026, none of our directors or officers (as defined in Rule 16a-1(f) under the Exchange Act) adopted, modified or terminated a “Rule 10b5-1 trading arrangement” or a “non-Rule 10b5-1 trading arrangement” (as each term is defined in Item 408 of Regulation S-K).</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04" w:name="Item6Exhibits_510492"/>
      <w:bookmarkStart w:id="905" w:name="_08e3050b_b873_4158_957f_d5da58206245"/>
      <w:bookmarkEnd w:id="904"/>
      <w:bookmarkEnd w:id="905"/>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5"/>
        <w:gridCol w:w="346"/>
        <w:gridCol w:w="9124"/>
      </w:tblGrid>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the Registrant (incorporated herein by reference to Exhibit 3.1 to the Registrant’s Current Report on Form 8-K (File No. 001-37581), filed with the SEC on October 13, 2015).</w:t>
              </w:r>
            </w:hyperlink>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r>
              <w:rPr/>
              <w: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to the Amended and Restated Certificate of Incorporation of the Registrant (incorporated herein by reference to Exhibit 3.1 to the Registrant’s Current Report on Form 8-K (File No. 001-37581), filed with the SEC on June 5, 2025).</w:t>
              </w:r>
            </w:hyperlink>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r>
              <w:rPr/>
              <w: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Amended and Restated Bylaws of the Registrant (incorporated herein by reference to Exhibit 3.1 to the Registrant’s Current Report on Form 8-K (File No. 001-37581), filed with the SEC on June 24, 2020).</w:t>
              </w:r>
            </w:hyperlink>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r>
              <w:rPr/>
              <w:t>​</w:t>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w:anchor="acrs-20260331xex31d1.htm">
              <w:r>
                <w:rPr>
                  <w:rStyle w:val="InternetLink"/>
                  <w:rFonts w:ascii="Times New Roman;Times;serif" w:hAnsi="Times New Roman;Times;serif"/>
                  <w:b w:val="false"/>
                  <w:i w:val="false"/>
                  <w:caps w:val="false"/>
                  <w:smallCaps w:val="false"/>
                  <w:sz w:val="20"/>
                </w:rPr>
                <w:t>Certification of Principal Executive Officer under Section 302 of the Sarbanes-Oxley Act.</w:t>
              </w:r>
            </w:hyperlink>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w:anchor="acrs-20260331xex31d2.htm">
              <w:r>
                <w:rPr>
                  <w:rStyle w:val="InternetLink"/>
                  <w:rFonts w:ascii="Times New Roman;Times;serif" w:hAnsi="Times New Roman;Times;serif"/>
                  <w:b w:val="false"/>
                  <w:i w:val="false"/>
                  <w:caps w:val="false"/>
                  <w:smallCaps w:val="false"/>
                  <w:sz w:val="20"/>
                </w:rPr>
                <w:t>Certification of Principal Financial Officer under Section 302 of the Sarbanes-Oxley Act.</w:t>
              </w:r>
            </w:hyperlink>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pPr>
            <w:hyperlink w:anchor="acrs-20260331xex32d1.htm">
              <w:r>
                <w:rPr>
                  <w:rStyle w:val="InternetLink"/>
                  <w:rFonts w:ascii="Times New Roman;Times;serif" w:hAnsi="Times New Roman;Times;serif"/>
                  <w:b w:val="false"/>
                  <w:i w:val="false"/>
                  <w:caps w:val="false"/>
                  <w:smallCaps w:val="false"/>
                  <w:sz w:val="20"/>
                </w:rPr>
                <w:t>Certifications of Principal Executive Officer and Principal Financial Officer under Section 906 of the Sarbanes-Oxley Act.</w:t>
              </w:r>
            </w:hyperlink>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(the instance document does not appear in the Interactive Data File because its XBRL tags are embedded within the Inline XBRL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3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283"/>
              <w:ind w:left="0" w:right="0" w:hanging="0"/>
              <w:jc w:val="left"/>
              <w:rPr>
                <w:sz w:val="4"/>
                <w:szCs w:val="4"/>
              </w:rPr>
            </w:pPr>
            <w:r>
              <w:rPr>
                <w:sz w:val="4"/>
                <w:szCs w:val="4"/>
              </w:rPr>
            </w:r>
          </w:p>
        </w:tc>
      </w:tr>
      <w:tr>
        <w:trPr/>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These certifications are being furnished solely to accompany this quarterly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tc>
      </w:tr>
    </w:tbl>
    <w:p>
      <w:pPr>
        <w:pStyle w:val="TextBody"/>
        <w:pBdr/>
        <w:bidi w:val="0"/>
        <w:spacing w:before="0" w:after="0"/>
        <w:ind w:left="0" w:right="0" w:hanging="360"/>
        <w:jc w:val="both"/>
        <w:rPr/>
      </w:pPr>
      <w:r>
        <w:rPr/>
        <w:t>​</w:t>
      </w:r>
    </w:p>
    <w:p>
      <w:pPr>
        <w:pStyle w:val="TextBody"/>
        <w:bidi w:val="0"/>
        <w:spacing w:before="24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06" w:name="SIGNATURES_208937"/>
      <w:bookmarkStart w:id="907" w:name="_4e3fdf87_b58f_4523_9013_cf40be2f270e"/>
      <w:bookmarkEnd w:id="906"/>
      <w:bookmarkEnd w:id="907"/>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ind w:left="0" w:right="0" w:hanging="0"/>
        <w:jc w:val="left"/>
        <w:rPr/>
      </w:pPr>
      <w:r>
        <w:rPr/>
        <w:t>​</w:t>
      </w:r>
    </w:p>
    <w:tbl>
      <w:tblPr>
        <w:tblW w:w="4563" w:type="dxa"/>
        <w:jc w:val="left"/>
        <w:tblInd w:w="0" w:type="dxa"/>
        <w:tblLayout w:type="fixed"/>
        <w:tblCellMar>
          <w:top w:w="0" w:type="dxa"/>
          <w:left w:w="0" w:type="dxa"/>
          <w:bottom w:w="0" w:type="dxa"/>
          <w:right w:w="0" w:type="dxa"/>
        </w:tblCellMar>
      </w:tblPr>
      <w:tblGrid>
        <w:gridCol w:w="1636"/>
        <w:gridCol w:w="406"/>
        <w:gridCol w:w="2521"/>
      </w:tblGrid>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ACLARIS THERAPEUTICS, INC.</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Walker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Walker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(On behalf of the Registrant)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Kevin Balthaser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0"/>
        <w:ind w:left="0" w:right="0" w:hanging="0"/>
        <w:jc w:val="right"/>
        <w:rPr>
          <w:rFonts w:ascii="Times New Roman;Times;serif" w:hAnsi="Times New Roman;Times;serif"/>
          <w:b/>
          <w:sz w:val="20"/>
        </w:rPr>
      </w:pPr>
      <w:bookmarkStart w:id="908" w:name="acrs-20260331xex31d1.htm"/>
      <w:bookmarkStart w:id="909" w:name="ksacrs20260331xex31d1"/>
      <w:bookmarkEnd w:id="908"/>
      <w:bookmarkEnd w:id="909"/>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Neal Walker,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March 31, 2026 of Aclaris Therapeutics, Inc. (the “registrant”);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969"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lineRule="auto" w:line="285"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Neal Walker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Neal Walker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10" w:name="acrs-20260331xex31d2.htm"/>
      <w:bookmarkStart w:id="911" w:name="ksacrs20260331xex31d2"/>
      <w:bookmarkEnd w:id="910"/>
      <w:bookmarkEnd w:id="911"/>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Kevin Balthaser,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March 31, 2026 of Aclaris Therapeutics, Inc. (the “registrant”);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969"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7, 2026</w:t>
      </w:r>
    </w:p>
    <w:p>
      <w:pPr>
        <w:pStyle w:val="TextBody"/>
        <w:bidi w:val="0"/>
        <w:spacing w:lineRule="auto" w:line="285" w:before="0" w:after="0"/>
        <w:ind w:left="0" w:right="0" w:hanging="0"/>
        <w:jc w:val="left"/>
        <w:rPr/>
      </w:pPr>
      <w:r>
        <w:rPr/>
        <w:t>​</w:t>
      </w:r>
    </w:p>
    <w:tbl>
      <w:tblPr>
        <w:tblW w:w="5120" w:type="dxa"/>
        <w:jc w:val="left"/>
        <w:tblInd w:w="0" w:type="dxa"/>
        <w:tblLayout w:type="fixed"/>
        <w:tblCellMar>
          <w:top w:w="0" w:type="dxa"/>
          <w:left w:w="0" w:type="dxa"/>
          <w:bottom w:w="0" w:type="dxa"/>
          <w:right w:w="0" w:type="dxa"/>
        </w:tblCellMar>
      </w:tblPr>
      <w:tblGrid>
        <w:gridCol w:w="124"/>
        <w:gridCol w:w="4996"/>
      </w:tblGrid>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Kevin Balthaser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12" w:name="acrs-20260331xex32d1.htm"/>
      <w:bookmarkStart w:id="913" w:name="ksacrs20260331xex32d1"/>
      <w:bookmarkEnd w:id="912"/>
      <w:bookmarkEnd w:id="913"/>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OF</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 AND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Neal Walker, Chief Executive Officer of Aclaris Therapeutics, Inc. (the “Company”), and Kevin Balthaser, Chief Financial Officer of the Company, each hereby certifies that, to the best of his knowledge:</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1.</w:t>
            </w:r>
          </w:p>
        </w:tc>
        <w:tc>
          <w:tcPr>
            <w:tcW w:w="1006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Company’s Quarterly Report on Form 10-Q for the period ended March 31, 2026, to which this Certification is attached as Exhibit 32.1 (the “Periodic Report”), fully complies with the requirements of Section 13(a) or Section 15(d) of the Exchange Act;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lineRule="auto" w:line="285" w:before="0" w:after="0"/>
              <w:jc w:val="left"/>
              <w:rPr>
                <w:rFonts w:ascii="Times New Roman;Times;serif" w:hAnsi="Times New Roman;Times;serif"/>
                <w:b/>
                <w:sz w:val="20"/>
              </w:rPr>
            </w:pPr>
            <w:r>
              <w:rPr>
                <w:rFonts w:ascii="Times New Roman;Times;serif" w:hAnsi="Times New Roman;Times;serif"/>
                <w:b/>
                <w:sz w:val="20"/>
              </w:rPr>
              <w:t>2.</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Periodic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undersigned have set their hands hereto as of the 7</w:t>
      </w:r>
      <w:r>
        <w:rPr>
          <w:rFonts w:ascii="Times New Roman;Times;serif" w:hAnsi="Times New Roman;Times;serif"/>
          <w:sz w:val="15"/>
        </w:rPr>
        <w:t>th</w:t>
      </w:r>
      <w:r>
        <w:rPr>
          <w:rFonts w:ascii="Times New Roman;Times;serif" w:hAnsi="Times New Roman;Times;serif"/>
          <w:sz w:val="20"/>
        </w:rPr>
        <w:t xml:space="preserve"> day of May 2026.</w:t>
      </w:r>
    </w:p>
    <w:p>
      <w:pPr>
        <w:pStyle w:val="TextBody"/>
        <w:bidi w:val="0"/>
        <w:spacing w:lineRule="auto" w:line="285" w:before="0" w:after="0"/>
        <w:ind w:left="0" w:right="0" w:hanging="0"/>
        <w:jc w:val="center"/>
        <w:rPr/>
      </w:pPr>
      <w:r>
        <w:rPr/>
        <w:t>​</w:t>
      </w:r>
    </w:p>
    <w:tbl>
      <w:tblPr>
        <w:tblW w:w="7491" w:type="dxa"/>
        <w:jc w:val="left"/>
        <w:tblInd w:w="0" w:type="dxa"/>
        <w:tblLayout w:type="fixed"/>
        <w:tblCellMar>
          <w:top w:w="0" w:type="dxa"/>
          <w:left w:w="0" w:type="dxa"/>
          <w:bottom w:w="0" w:type="dxa"/>
          <w:right w:w="0" w:type="dxa"/>
        </w:tblCellMar>
      </w:tblPr>
      <w:tblGrid>
        <w:gridCol w:w="2386"/>
        <w:gridCol w:w="109"/>
        <w:gridCol w:w="4996"/>
      </w:tblGrid>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Neal Walker</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Kevin Balthaser</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Neal Walker</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Balthaser</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t>(principal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49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officer and principal accounting officer)</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Aclaris Therapeutics, Inc. under the Securities Act of 1933, as amended, or the Exchange Act (whether made before or after the date of the Form 10-Q), irrespective of any general incorporation language contained in such filing.</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57746/000110465915070341/a15-21034_1ex3d1.htm" TargetMode="External"/><Relationship Id="rId3" Type="http://schemas.openxmlformats.org/officeDocument/2006/relationships/hyperlink" Target="https://www.sec.gov/Archives/edgar/data/1557746/000155837025008430/acrs-20250605xex3d1.htm" TargetMode="External"/><Relationship Id="rId4" Type="http://schemas.openxmlformats.org/officeDocument/2006/relationships/hyperlink" Target="https://www.sec.gov/Archives/edgar/data/1557746/000155837020007743/tmb-20200623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18013</Words>
  <Characters>102424</Characters>
  <CharactersWithSpaces>121573</CharactersWithSpaces>
  <Paragraphs>4028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