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ACLARIS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7,626,705.00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7,626,705.00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7,626,705.00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7,626,705.00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7,626,705.00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7,626,705.00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7,626,705.00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7,626,705.00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7,626,705.00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7,626,705.00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7,626,705.00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7,626,705.00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ACLARIS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701 LEE ROAD, SUITE 103, WAYNE, PA, 19087.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ectPr>
          <w:pgSz w:w="11900" w:h="16838" w:orient="portrait"/>
          <w:cols w:equalWidth="0" w:num="1">
            <w:col w:w="11120"/>
          </w:cols>
          <w:pgMar w:left="360" w:top="112" w:right="41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RA Capital Management, L.P., 200 Berkeley Street, 18th Floor, Boston MA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2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Fund directly holds 7,626,705 shares of the Issuer's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w:t>
      </w:r>
    </w:p>
    <w:p>
      <w:pPr>
        <w:spacing w:after="0" w:line="3" w:lineRule="exact"/>
        <w:rPr>
          <w:sz w:val="20"/>
          <w:szCs w:val="20"/>
          <w:color w:val="auto"/>
        </w:rPr>
      </w:pPr>
    </w:p>
    <w:p>
      <w:pPr>
        <w:ind w:left="920" w:right="120" w:hanging="912"/>
        <w:spacing w:after="0" w:line="21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Row 11 of each Reporting Person's cover page to this Schedule 13G sets forth the percentages of shares of common</w:t>
      </w:r>
    </w:p>
    <w:p>
      <w:pPr>
        <w:spacing w:after="0" w:line="14" w:lineRule="exact"/>
        <w:rPr>
          <w:rFonts w:ascii="Times New Roman" w:cs="Times New Roman" w:eastAsia="Times New Roman" w:hAnsi="Times New Roman"/>
          <w:sz w:val="43"/>
          <w:szCs w:val="43"/>
          <w:color w:val="auto"/>
          <w:vertAlign w:val="subscript"/>
        </w:rPr>
      </w:pPr>
    </w:p>
    <w:p>
      <w:pPr>
        <w:ind w:left="920" w:right="8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of the Issuer beneficially owned by such Reporting Person and is incorporated by reference. Such percentage is based upon 120,595,189 shares of common stock outstanding as of January 30, 2026, as reported in the Issuer's Annual Report on Form 10-K filed with the Securities and Exchange Commission (the "SEC") on February 26,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140"/>
          </w:cols>
          <w:pgMar w:left="360" w:top="126" w:right="39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April 7, 2026,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$0.00001 par value per share of Aclaris Therapeutics,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2026-04-07T17:02:45Z</dcterms:created>
  <dcterms:modified xsi:type="dcterms:W3CDTF">2026-04-07T17:02:45Z</dcterms:modified>
</cp:coreProperties>
</file>