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40607.xml.htm"/>
      <w:bookmarkStart w:id="1" w:name="ksform40608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MILANO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701 LEE ROAD, SUITE 103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Aclaris Therapeutics, Inc.</w:t>
              </w:r>
            </w:hyperlink>
            <w:r>
              <w:rPr/>
              <w:t xml:space="preserve"> [ </w:t>
            </w:r>
            <w:r>
              <w:rPr>
                <w:rFonts w:ascii="Times;serif" w:hAnsi="Times;serif"/>
                <w:color w:val="0000FF"/>
                <w:sz w:val="24"/>
                <w:shd w:fill="FFFFFF" w:val="clear"/>
              </w:rPr>
              <w:t>ACRS</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28,896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42,350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10,987</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10,987</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stock option will vest in twelve equal monthly installments commencing on July 4, 2026, subject to the Reporting Person's Continuous Service (as defined in the Issuer's 2025 Equity Incentive Plan, or the Plan)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was made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these restricted stock units will vest in one installment on June 4, 2027, subject to the Reporting Person's Continuous Service (as defined in the Plan) as of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these restricted stock units vested on June 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Rothman,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159" TargetMode="External"/><Relationship Id="rId5" Type="http://schemas.openxmlformats.org/officeDocument/2006/relationships/hyperlink" Target="http://www.sec.gov/cgi-bin/browse-edgar?action=getcompany&amp;CIK=00015577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3937</Characters>
  <CharactersWithSpaces>4581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