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3030220</wp:posOffset>
            </wp:positionH>
            <wp:positionV relativeFrom="page">
              <wp:posOffset>294640</wp:posOffset>
            </wp:positionV>
            <wp:extent cx="1500505" cy="540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00505" cy="54038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101 Lindenwood Drive, Suite 400</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Malvern, PA 19355</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7"/>
          <w:szCs w:val="17"/>
          <w:color w:val="auto"/>
        </w:rPr>
        <w:t>VIA EDGAR</w:t>
      </w:r>
    </w:p>
    <w:p>
      <w:pPr>
        <w:spacing w:after="0" w:line="441" w:lineRule="exact"/>
        <w:rPr>
          <w:sz w:val="24"/>
          <w:szCs w:val="24"/>
          <w:color w:val="auto"/>
        </w:rPr>
      </w:pPr>
    </w:p>
    <w:p>
      <w:pPr>
        <w:sectPr>
          <w:pgSz w:w="11900" w:h="16838" w:orient="portrait"/>
          <w:cols w:equalWidth="0" w:num="2">
            <w:col w:w="9720" w:space="720"/>
            <w:col w:w="980"/>
          </w:cols>
          <w:pgMar w:left="240" w:top="1440" w:right="239" w:bottom="1440" w:gutter="0" w:footer="0" w:header="0"/>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June 24, 2016</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1440" w:right="239" w:bottom="1440" w:gutter="0" w:footer="0" w:header="0"/>
          <w:type w:val="continuous"/>
        </w:sect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Ms. Dorrie Yale</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6"/>
          <w:szCs w:val="16"/>
          <w:color w:val="auto"/>
        </w:rPr>
        <w:t>Mr. Joseph McCann</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6"/>
          <w:szCs w:val="16"/>
          <w:color w:val="auto"/>
        </w:rPr>
        <w:t>Ms. Suzanne Hayes</w:t>
      </w:r>
    </w:p>
    <w:p>
      <w:pPr>
        <w:spacing w:after="0" w:line="200" w:lineRule="exact"/>
        <w:rPr>
          <w:sz w:val="24"/>
          <w:szCs w:val="24"/>
          <w:color w:val="auto"/>
        </w:rPr>
      </w:pPr>
    </w:p>
    <w:p>
      <w:pPr>
        <w:sectPr>
          <w:pgSz w:w="11900" w:h="16838" w:orient="portrait"/>
          <w:cols w:equalWidth="0" w:num="2">
            <w:col w:w="380" w:space="260"/>
            <w:col w:w="10780"/>
          </w:cols>
          <w:pgMar w:left="240" w:top="1440" w:right="23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Aclaris Therapeutics, Inc.</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File No. 333-212095</w:t>
      </w:r>
    </w:p>
    <w:p>
      <w:pPr>
        <w:spacing w:after="0" w:line="200" w:lineRule="exact"/>
        <w:rPr>
          <w:sz w:val="24"/>
          <w:szCs w:val="24"/>
          <w:color w:val="auto"/>
        </w:rPr>
      </w:pPr>
    </w:p>
    <w:p>
      <w:pPr>
        <w:sectPr>
          <w:pgSz w:w="11900" w:h="16838" w:orient="portrait"/>
          <w:cols w:equalWidth="0" w:num="2">
            <w:col w:w="260" w:space="380"/>
            <w:col w:w="10780"/>
          </w:cols>
          <w:pgMar w:left="240" w:top="1440" w:right="239" w:bottom="1440" w:gutter="0" w:footer="0" w:header="0"/>
          <w:type w:val="continuous"/>
        </w:sectPr>
      </w:pPr>
    </w:p>
    <w:p>
      <w:pPr>
        <w:spacing w:after="0" w:line="7" w:lineRule="exact"/>
        <w:rPr>
          <w:sz w:val="24"/>
          <w:szCs w:val="24"/>
          <w:color w:val="auto"/>
        </w:rPr>
      </w:pPr>
    </w:p>
    <w:p>
      <w:pPr>
        <w:jc w:val="both"/>
        <w:ind w:left="1300" w:hanging="647"/>
        <w:spacing w:after="0" w:line="314" w:lineRule="auto"/>
        <w:rPr>
          <w:sz w:val="20"/>
          <w:szCs w:val="20"/>
          <w:color w:val="auto"/>
        </w:rPr>
      </w:pPr>
      <w:r>
        <w:rPr>
          <w:rFonts w:ascii="Arial" w:cs="Arial" w:eastAsia="Arial" w:hAnsi="Arial"/>
          <w:sz w:val="16"/>
          <w:szCs w:val="16"/>
          <w:b w:val="1"/>
          <w:bCs w:val="1"/>
          <w:color w:val="auto"/>
        </w:rPr>
        <w:t>Acceleration Request Requested Date: Requested Time:</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Tuesday, June 28, 2016</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4:00 P.M. Eastern Daylight Time</w:t>
      </w:r>
    </w:p>
    <w:p>
      <w:pPr>
        <w:spacing w:after="0" w:line="233" w:lineRule="exact"/>
        <w:rPr>
          <w:sz w:val="24"/>
          <w:szCs w:val="24"/>
          <w:color w:val="auto"/>
        </w:rPr>
      </w:pPr>
    </w:p>
    <w:p>
      <w:pPr>
        <w:sectPr>
          <w:pgSz w:w="11900" w:h="16838" w:orient="portrait"/>
          <w:cols w:equalWidth="0" w:num="2">
            <w:col w:w="2600" w:space="360"/>
            <w:col w:w="8460"/>
          </w:cols>
          <w:pgMar w:left="240" w:top="1440" w:right="23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60" w:firstLine="648"/>
        <w:spacing w:after="0" w:line="302" w:lineRule="auto"/>
        <w:rPr>
          <w:sz w:val="20"/>
          <w:szCs w:val="20"/>
          <w:color w:val="auto"/>
        </w:rPr>
      </w:pPr>
      <w:r>
        <w:rPr>
          <w:rFonts w:ascii="Arial" w:cs="Arial" w:eastAsia="Arial" w:hAnsi="Arial"/>
          <w:sz w:val="16"/>
          <w:szCs w:val="16"/>
          <w:color w:val="auto"/>
        </w:rPr>
        <w:t>In accordance with Rule 461 under the Securities Act of 1933, as amended, the undersigned registrant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hereby requests that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xml:space="preserve">”) take appropriate action to cause the above-referenced Registration Statement on Form S-1 (File No. 333-212095)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to become effective on June 28, 2016, at 4:00 p.m., Eastern Daylight Time, or as soon thereafter as is practicable, or at such later time as the Registrant or its counsel may orally request via telephone call to the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w:t>
      </w:r>
    </w:p>
    <w:p>
      <w:pPr>
        <w:spacing w:after="0" w:line="154"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color w:val="auto"/>
        </w:rPr>
        <w:t>Once the Registration Statement has been declared effective, please orally confirm that event with Mark Ballantyne of Cooley LLP, counsel to the Registrant, at (703) 456-8084.</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 connection with this request, the Registrant acknowledges that:</w:t>
      </w:r>
    </w:p>
    <w:p>
      <w:pPr>
        <w:spacing w:after="0" w:line="225" w:lineRule="exact"/>
        <w:rPr>
          <w:sz w:val="24"/>
          <w:szCs w:val="24"/>
          <w:color w:val="auto"/>
        </w:rPr>
      </w:pPr>
    </w:p>
    <w:p>
      <w:pPr>
        <w:ind w:left="660" w:right="320" w:hanging="328"/>
        <w:spacing w:after="0" w:line="277" w:lineRule="auto"/>
        <w:tabs>
          <w:tab w:leader="none" w:pos="61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660" w:right="60" w:hanging="328"/>
        <w:spacing w:after="0" w:line="277" w:lineRule="auto"/>
        <w:tabs>
          <w:tab w:leader="none" w:pos="61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Registrant from its full responsibility for the adequacy and accuracy of the disclosure in the filing;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1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may not assert Staff comments and the declaration of effectiveness as a defense in any proceeding initiated by the Commission or any person under the federal securities laws of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-1093470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67"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Aclaris Therapeutics, Inc.</w:t>
      </w:r>
    </w:p>
    <w:p>
      <w:pPr>
        <w:spacing w:after="0" w:line="225" w:lineRule="exact"/>
        <w:rPr>
          <w:sz w:val="24"/>
          <w:szCs w:val="24"/>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/s/ Kamil Ali-Jackson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3362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19" w:lineRule="exact"/>
        <w:rPr>
          <w:sz w:val="24"/>
          <w:szCs w:val="24"/>
          <w:color w:val="auto"/>
        </w:rPr>
      </w:pPr>
    </w:p>
    <w:p>
      <w:pPr>
        <w:ind w:left="6160"/>
        <w:spacing w:after="0"/>
        <w:rPr>
          <w:sz w:val="20"/>
          <w:szCs w:val="20"/>
          <w:color w:val="auto"/>
        </w:rPr>
      </w:pPr>
      <w:r>
        <w:rPr>
          <w:rFonts w:ascii="Arial" w:cs="Arial" w:eastAsia="Arial" w:hAnsi="Arial"/>
          <w:sz w:val="18"/>
          <w:szCs w:val="18"/>
          <w:color w:val="auto"/>
        </w:rPr>
        <w:t>Kamil Ali-Jackson</w:t>
      </w:r>
    </w:p>
    <w:p>
      <w:pPr>
        <w:spacing w:after="0" w:line="23" w:lineRule="exact"/>
        <w:rPr>
          <w:sz w:val="24"/>
          <w:szCs w:val="24"/>
          <w:color w:val="auto"/>
        </w:rPr>
      </w:pPr>
    </w:p>
    <w:p>
      <w:pPr>
        <w:ind w:left="6160"/>
        <w:spacing w:after="0"/>
        <w:rPr>
          <w:sz w:val="20"/>
          <w:szCs w:val="20"/>
          <w:color w:val="auto"/>
        </w:rPr>
      </w:pPr>
      <w:r>
        <w:rPr>
          <w:rFonts w:ascii="Arial" w:cs="Arial" w:eastAsia="Arial" w:hAnsi="Arial"/>
          <w:sz w:val="18"/>
          <w:szCs w:val="18"/>
          <w:color w:val="auto"/>
        </w:rPr>
        <w:t>Chief Legal Officer</w:t>
      </w:r>
    </w:p>
    <w:p>
      <w:pPr>
        <w:spacing w:after="0" w:line="211" w:lineRule="exact"/>
        <w:rPr>
          <w:sz w:val="24"/>
          <w:szCs w:val="24"/>
          <w:color w:val="auto"/>
        </w:rPr>
      </w:pPr>
    </w:p>
    <w:p>
      <w:pPr>
        <w:ind w:left="660" w:right="7940" w:hanging="652"/>
        <w:spacing w:after="0" w:line="258" w:lineRule="auto"/>
        <w:tabs>
          <w:tab w:leader="none" w:pos="642" w:val="left"/>
        </w:tabs>
        <w:numPr>
          <w:ilvl w:val="0"/>
          <w:numId w:val="2"/>
        </w:numPr>
        <w:rPr>
          <w:rFonts w:ascii="Arial" w:cs="Arial" w:eastAsia="Arial" w:hAnsi="Arial"/>
          <w:sz w:val="18"/>
          <w:szCs w:val="18"/>
          <w:color w:val="auto"/>
        </w:rPr>
      </w:pPr>
      <w:r>
        <w:rPr>
          <w:rFonts w:ascii="Arial" w:cs="Arial" w:eastAsia="Arial" w:hAnsi="Arial"/>
          <w:sz w:val="18"/>
          <w:szCs w:val="18"/>
          <w:color w:val="auto"/>
        </w:rPr>
        <w:t>Neal Walker, Aclaris Therapeutics, Inc. Brent B. Siler, Cooley LLP</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Brian F. Leaf, Cooley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4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2019-12-08T22:33:23Z</dcterms:created>
  <dcterms:modified xsi:type="dcterms:W3CDTF">2019-12-08T22:33:23Z</dcterms:modified>
</cp:coreProperties>
</file>