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(RULE 13d-101)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 13d-1(a)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AMENDMENTS THERETO FILED PURSUANT TO RULE 13d-2(a)</w:t>
      </w:r>
    </w:p>
    <w:p>
      <w:pPr>
        <w:spacing w:after="0" w:line="211"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(Amendment No.____)*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00461U105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Nathalie Auber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Sofinnova Ventures,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3000 Sand Hill Road, Bldg 4, Suite 250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681-8420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Linda Daley,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Gunderson Dettmer Stough Villeneuve Franklin &amp; Hachigian,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1200 Seaport Blvd., Redwood City, CA 94063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463-5243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6,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This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4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56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52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520" w:type="dxa"/>
            <w:vAlign w:val="bottom"/>
            <w:gridSpan w:val="3"/>
          </w:tcPr>
          <w:p>
            <w:pPr>
              <w:ind w:left="700"/>
              <w:spacing w:after="0"/>
              <w:rPr>
                <w:sz w:val="20"/>
                <w:szCs w:val="20"/>
                <w:color w:val="auto"/>
              </w:rPr>
            </w:pPr>
            <w:r>
              <w:rPr>
                <w:rFonts w:ascii="Arial" w:cs="Arial" w:eastAsia="Arial" w:hAnsi="Arial"/>
                <w:sz w:val="18"/>
                <w:szCs w:val="18"/>
                <w:color w:val="auto"/>
              </w:rPr>
              <w:t>Sofinnova Venture Partners VIII, L.P. (“SVP VIII”)</w:t>
            </w: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22"/>
                <w:szCs w:val="22"/>
                <w:color w:val="auto"/>
              </w:rPr>
            </w:pPr>
          </w:p>
        </w:tc>
        <w:tc>
          <w:tcPr>
            <w:tcW w:w="852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90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2"/>
                <w:szCs w:val="22"/>
                <w:color w:val="auto"/>
              </w:rPr>
            </w:pPr>
          </w:p>
        </w:tc>
        <w:tc>
          <w:tcPr>
            <w:tcW w:w="440" w:type="dxa"/>
            <w:vAlign w:val="bottom"/>
            <w:tcBorders>
              <w:right w:val="single" w:sz="8" w:color="auto"/>
            </w:tcBorders>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80" w:type="dxa"/>
            <w:vAlign w:val="bottom"/>
          </w:tcPr>
          <w:p>
            <w:pPr>
              <w:ind w:left="5380"/>
              <w:spacing w:after="0"/>
              <w:rPr>
                <w:sz w:val="20"/>
                <w:szCs w:val="20"/>
                <w:color w:val="auto"/>
              </w:rPr>
            </w:pPr>
            <w:r>
              <w:rPr>
                <w:rFonts w:ascii="Arial" w:cs="Arial" w:eastAsia="Arial" w:hAnsi="Arial"/>
                <w:sz w:val="18"/>
                <w:szCs w:val="18"/>
                <w:color w:val="auto"/>
              </w:rPr>
              <w:t>(a)</w:t>
            </w:r>
          </w:p>
        </w:tc>
        <w:tc>
          <w:tcPr>
            <w:tcW w:w="900" w:type="dxa"/>
            <w:vAlign w:val="bottom"/>
            <w:vMerge w:val="continue"/>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(b)</w:t>
            </w:r>
          </w:p>
        </w:tc>
        <w:tc>
          <w:tcPr>
            <w:tcW w:w="4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360" w:type="dxa"/>
            <w:vAlign w:val="bottom"/>
            <w:tcBorders>
              <w:right w:val="single" w:sz="8" w:color="auto"/>
            </w:tcBorders>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360" w:type="dxa"/>
            <w:vAlign w:val="bottom"/>
            <w:tcBorders>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WC</w:t>
            </w:r>
          </w:p>
        </w:tc>
        <w:tc>
          <w:tcPr>
            <w:tcW w:w="7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360" w:type="dxa"/>
            <w:vAlign w:val="bottom"/>
            <w:tcBorders>
              <w:right w:val="single" w:sz="8" w:color="auto"/>
            </w:tcBorders>
          </w:tcPr>
          <w:p>
            <w:pPr>
              <w:spacing w:after="0"/>
              <w:rPr>
                <w:sz w:val="24"/>
                <w:szCs w:val="24"/>
                <w:color w:val="auto"/>
              </w:rPr>
            </w:pPr>
          </w:p>
        </w:tc>
        <w:tc>
          <w:tcPr>
            <w:tcW w:w="852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spacing w:after="0"/>
              <w:rPr>
                <w:sz w:val="24"/>
                <w:szCs w:val="24"/>
                <w:color w:val="auto"/>
              </w:rPr>
            </w:pPr>
          </w:p>
        </w:tc>
        <w:tc>
          <w:tcPr>
            <w:tcW w:w="8520" w:type="dxa"/>
            <w:vAlign w:val="bottom"/>
            <w:gridSpan w:val="3"/>
          </w:tcPr>
          <w:p>
            <w:pPr>
              <w:ind w:left="40"/>
              <w:spacing w:after="0"/>
              <w:rPr>
                <w:sz w:val="20"/>
                <w:szCs w:val="20"/>
                <w:color w:val="auto"/>
              </w:rPr>
            </w:pPr>
            <w:r>
              <w:rPr>
                <w:rFonts w:ascii="Arial" w:cs="Arial" w:eastAsia="Arial" w:hAnsi="Arial"/>
                <w:sz w:val="18"/>
                <w:szCs w:val="18"/>
                <w:color w:val="auto"/>
                <w:w w:val="89"/>
              </w:rPr>
              <w:t>CITIZENSHIP OR PLACE OF ORGANIZATIONDelaware</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jc w:val="center"/>
              <w:ind w:right="694"/>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56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6"/>
              </w:rPr>
              <w:t>2,289,480 shares, except that Sofinnova Management VIII, L.L.C. (“SM VIII”), the general partner of</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SVP VIII, may be deemed to have sole voting power, and Dr. Michael F. Powell (“Powell”), Dr. James 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354"/>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8"/>
              </w:rPr>
              <w:t>Healy (“Healy”), Dr. Anand Mehra (“Mehra”), and Dr. Srinivas Akkaraju (“Akkaraju”) the managing</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694"/>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8"/>
                <w:szCs w:val="18"/>
                <w:color w:val="auto"/>
              </w:rPr>
            </w:pPr>
          </w:p>
        </w:tc>
        <w:tc>
          <w:tcPr>
            <w:tcW w:w="6580" w:type="dxa"/>
            <w:vAlign w:val="bottom"/>
            <w:gridSpan w:val="2"/>
          </w:tcPr>
          <w:p>
            <w:pPr>
              <w:ind w:left="60"/>
              <w:spacing w:after="0"/>
              <w:rPr>
                <w:sz w:val="20"/>
                <w:szCs w:val="20"/>
                <w:color w:val="auto"/>
              </w:rPr>
            </w:pPr>
            <w:r>
              <w:rPr>
                <w:rFonts w:ascii="Arial" w:cs="Arial" w:eastAsia="Arial" w:hAnsi="Arial"/>
                <w:sz w:val="18"/>
                <w:szCs w:val="18"/>
                <w:color w:val="auto"/>
              </w:rPr>
              <w:t>members of SM VIII, may be deemed to have shared power to vote these shares.</w:t>
            </w:r>
          </w:p>
        </w:tc>
        <w:tc>
          <w:tcPr>
            <w:tcW w:w="7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2"/>
              </w:rPr>
              <w:t>PERSON</w:t>
            </w:r>
          </w:p>
        </w:tc>
        <w:tc>
          <w:tcPr>
            <w:tcW w:w="780" w:type="dxa"/>
            <w:vAlign w:val="bottom"/>
            <w:tcBorders>
              <w:bottom w:val="single" w:sz="8" w:color="auto"/>
              <w:right w:val="single" w:sz="8" w:color="auto"/>
            </w:tcBorders>
          </w:tcPr>
          <w:p>
            <w:pPr>
              <w:spacing w:after="0"/>
              <w:rPr>
                <w:sz w:val="7"/>
                <w:szCs w:val="7"/>
                <w:color w:val="auto"/>
              </w:rPr>
            </w:pPr>
          </w:p>
        </w:tc>
        <w:tc>
          <w:tcPr>
            <w:tcW w:w="56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56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continue"/>
          </w:tcPr>
          <w:p>
            <w:pPr>
              <w:spacing w:after="0"/>
              <w:rPr>
                <w:sz w:val="12"/>
                <w:szCs w:val="12"/>
                <w:color w:val="auto"/>
              </w:rPr>
            </w:pPr>
          </w:p>
        </w:tc>
        <w:tc>
          <w:tcPr>
            <w:tcW w:w="56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5680" w:type="dxa"/>
            <w:vAlign w:val="bottom"/>
            <w:vMerge w:val="restart"/>
          </w:tcPr>
          <w:p>
            <w:pPr>
              <w:ind w:left="60"/>
              <w:spacing w:after="0"/>
              <w:rPr>
                <w:sz w:val="20"/>
                <w:szCs w:val="20"/>
                <w:color w:val="auto"/>
              </w:rPr>
            </w:pPr>
            <w:r>
              <w:rPr>
                <w:rFonts w:ascii="Arial" w:cs="Arial" w:eastAsia="Arial" w:hAnsi="Arial"/>
                <w:sz w:val="18"/>
                <w:szCs w:val="18"/>
                <w:color w:val="auto"/>
              </w:rPr>
              <w:t>See response to row 7.</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56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300" w:type="dxa"/>
            <w:vAlign w:val="bottom"/>
            <w:gridSpan w:val="3"/>
          </w:tcPr>
          <w:p>
            <w:pPr>
              <w:ind w:left="60"/>
              <w:spacing w:after="0"/>
              <w:rPr>
                <w:sz w:val="20"/>
                <w:szCs w:val="20"/>
                <w:color w:val="auto"/>
              </w:rPr>
            </w:pPr>
            <w:r>
              <w:rPr>
                <w:rFonts w:ascii="Arial" w:cs="Arial" w:eastAsia="Arial" w:hAnsi="Arial"/>
                <w:sz w:val="18"/>
                <w:szCs w:val="18"/>
                <w:color w:val="auto"/>
                <w:w w:val="90"/>
              </w:rPr>
              <w:t>2,289,480 shares, except that SM VIII, the general partner of SVP VIII, may be deemed to have sole</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4"/>
              </w:rPr>
              <w:t>dispositive power and Powell, Healy, Mehra and Akkaraju, the managing members of SM VIII, may be</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680" w:type="dxa"/>
            <w:vAlign w:val="bottom"/>
          </w:tcPr>
          <w:p>
            <w:pPr>
              <w:ind w:left="60"/>
              <w:spacing w:after="0"/>
              <w:rPr>
                <w:sz w:val="20"/>
                <w:szCs w:val="20"/>
                <w:color w:val="auto"/>
              </w:rPr>
            </w:pPr>
            <w:r>
              <w:rPr>
                <w:rFonts w:ascii="Arial" w:cs="Arial" w:eastAsia="Arial" w:hAnsi="Arial"/>
                <w:sz w:val="18"/>
                <w:szCs w:val="18"/>
                <w:color w:val="auto"/>
              </w:rPr>
              <w:t>deemed to have shared power to dispose of these shares.</w:t>
            </w: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56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680" w:type="dxa"/>
            <w:vAlign w:val="bottom"/>
          </w:tcPr>
          <w:p>
            <w:pPr>
              <w:ind w:left="60"/>
              <w:spacing w:after="0"/>
              <w:rPr>
                <w:sz w:val="20"/>
                <w:szCs w:val="20"/>
                <w:color w:val="auto"/>
              </w:rPr>
            </w:pPr>
            <w:r>
              <w:rPr>
                <w:rFonts w:ascii="Arial" w:cs="Arial" w:eastAsia="Arial" w:hAnsi="Arial"/>
                <w:sz w:val="18"/>
                <w:szCs w:val="18"/>
                <w:color w:val="auto"/>
              </w:rPr>
              <w:t>See response to row 9.</w:t>
            </w: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360" w:type="dxa"/>
            <w:vAlign w:val="bottom"/>
            <w:tcBorders>
              <w:right w:val="single" w:sz="8" w:color="auto"/>
            </w:tcBorders>
          </w:tcPr>
          <w:p>
            <w:pPr>
              <w:spacing w:after="0"/>
              <w:rPr>
                <w:sz w:val="24"/>
                <w:szCs w:val="24"/>
                <w:color w:val="auto"/>
              </w:rPr>
            </w:pPr>
          </w:p>
        </w:tc>
        <w:tc>
          <w:tcPr>
            <w:tcW w:w="85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620" w:type="dxa"/>
            <w:vAlign w:val="bottom"/>
            <w:gridSpan w:val="2"/>
          </w:tcPr>
          <w:p>
            <w:pPr>
              <w:ind w:left="400"/>
              <w:spacing w:after="0"/>
              <w:rPr>
                <w:sz w:val="20"/>
                <w:szCs w:val="20"/>
                <w:color w:val="auto"/>
              </w:rPr>
            </w:pPr>
            <w:r>
              <w:rPr>
                <w:rFonts w:ascii="Arial" w:cs="Arial" w:eastAsia="Arial" w:hAnsi="Arial"/>
                <w:sz w:val="18"/>
                <w:szCs w:val="18"/>
                <w:color w:val="auto"/>
              </w:rPr>
              <w:t>2,289,480</w:t>
            </w: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520" w:type="dxa"/>
            <w:vAlign w:val="bottom"/>
            <w:tcBorders>
              <w:bottom w:val="single" w:sz="8" w:color="auto"/>
            </w:tcBorders>
            <w:gridSpan w:val="3"/>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auto"/>
            </w:tcBorders>
          </w:tcPr>
          <w:p>
            <w:pPr>
              <w:spacing w:after="0"/>
              <w:rPr>
                <w:sz w:val="24"/>
                <w:szCs w:val="24"/>
                <w:color w:val="auto"/>
              </w:rPr>
            </w:pPr>
          </w:p>
        </w:tc>
        <w:tc>
          <w:tcPr>
            <w:tcW w:w="85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9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52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360" w:type="dxa"/>
            <w:vAlign w:val="bottom"/>
            <w:tcBorders>
              <w:right w:val="single" w:sz="8" w:color="auto"/>
            </w:tcBorders>
          </w:tcPr>
          <w:p>
            <w:pPr>
              <w:spacing w:after="0"/>
              <w:rPr>
                <w:sz w:val="24"/>
                <w:szCs w:val="24"/>
                <w:color w:val="auto"/>
              </w:rPr>
            </w:pPr>
          </w:p>
        </w:tc>
        <w:tc>
          <w:tcPr>
            <w:tcW w:w="85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900" w:type="dxa"/>
            <w:vAlign w:val="bottom"/>
          </w:tcPr>
          <w:p>
            <w:pPr>
              <w:ind w:left="400"/>
              <w:spacing w:after="0"/>
              <w:rPr>
                <w:sz w:val="20"/>
                <w:szCs w:val="20"/>
                <w:color w:val="auto"/>
              </w:rPr>
            </w:pPr>
            <w:r>
              <w:rPr>
                <w:rFonts w:ascii="Arial" w:cs="Arial" w:eastAsia="Arial" w:hAnsi="Arial"/>
                <w:sz w:val="18"/>
                <w:szCs w:val="18"/>
                <w:color w:val="auto"/>
                <w:w w:val="93"/>
              </w:rPr>
              <w:t>11.4%</w:t>
            </w:r>
          </w:p>
        </w:tc>
        <w:tc>
          <w:tcPr>
            <w:tcW w:w="7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tcBorders>
            <w:gridSpan w:val="2"/>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360" w:type="dxa"/>
            <w:vAlign w:val="bottom"/>
            <w:tcBorders>
              <w:right w:val="single" w:sz="8" w:color="auto"/>
            </w:tcBorders>
          </w:tcPr>
          <w:p>
            <w:pPr>
              <w:spacing w:after="0"/>
              <w:rPr>
                <w:sz w:val="24"/>
                <w:szCs w:val="24"/>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5680" w:type="dxa"/>
            <w:vAlign w:val="bottom"/>
          </w:tcPr>
          <w:p>
            <w:pPr>
              <w:spacing w:after="0"/>
              <w:rPr>
                <w:sz w:val="24"/>
                <w:szCs w:val="24"/>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rPr>
              <w:t>PN</w:t>
            </w:r>
          </w:p>
        </w:tc>
        <w:tc>
          <w:tcPr>
            <w:tcW w:w="7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57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540" w:type="dxa"/>
            <w:vAlign w:val="bottom"/>
            <w:gridSpan w:val="3"/>
          </w:tcPr>
          <w:p>
            <w:pPr>
              <w:ind w:left="700"/>
              <w:spacing w:after="0"/>
              <w:rPr>
                <w:sz w:val="20"/>
                <w:szCs w:val="20"/>
                <w:color w:val="auto"/>
              </w:rPr>
            </w:pPr>
            <w:r>
              <w:rPr>
                <w:rFonts w:ascii="Arial" w:cs="Arial" w:eastAsia="Arial" w:hAnsi="Arial"/>
                <w:sz w:val="18"/>
                <w:szCs w:val="18"/>
                <w:color w:val="auto"/>
              </w:rPr>
              <w:t>Sofinnova Management VIII, L.L.C. (“SM VIII”)</w:t>
            </w: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90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2"/>
                <w:szCs w:val="22"/>
                <w:color w:val="auto"/>
              </w:rPr>
            </w:pPr>
          </w:p>
        </w:tc>
        <w:tc>
          <w:tcPr>
            <w:tcW w:w="5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700" w:type="dxa"/>
            <w:vAlign w:val="bottom"/>
          </w:tcPr>
          <w:p>
            <w:pPr>
              <w:ind w:left="5420"/>
              <w:spacing w:after="0"/>
              <w:rPr>
                <w:sz w:val="20"/>
                <w:szCs w:val="20"/>
                <w:color w:val="auto"/>
              </w:rPr>
            </w:pPr>
            <w:r>
              <w:rPr>
                <w:rFonts w:ascii="Arial" w:cs="Arial" w:eastAsia="Arial" w:hAnsi="Arial"/>
                <w:sz w:val="18"/>
                <w:szCs w:val="18"/>
                <w:color w:val="auto"/>
              </w:rPr>
              <w:t>(a)</w:t>
            </w:r>
          </w:p>
        </w:tc>
        <w:tc>
          <w:tcPr>
            <w:tcW w:w="900" w:type="dxa"/>
            <w:vAlign w:val="bottom"/>
            <w:vMerge w:val="continue"/>
          </w:tcPr>
          <w:p>
            <w:pPr>
              <w:spacing w:after="0"/>
              <w:rPr>
                <w:sz w:val="21"/>
                <w:szCs w:val="21"/>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(b)</w:t>
            </w:r>
          </w:p>
        </w:tc>
        <w:tc>
          <w:tcPr>
            <w:tcW w:w="5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360" w:type="dxa"/>
            <w:vAlign w:val="bottom"/>
            <w:tcBorders>
              <w:right w:val="single" w:sz="8" w:color="auto"/>
            </w:tcBorders>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360" w:type="dxa"/>
            <w:vAlign w:val="bottom"/>
            <w:tcBorders>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AF</w:t>
            </w:r>
          </w:p>
        </w:tc>
        <w:tc>
          <w:tcPr>
            <w:tcW w:w="7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3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9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w w:val="89"/>
              </w:rPr>
              <w:t>CITIZENSHIP OR PLACE OF ORGANIZATIONDelaware</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jc w:val="center"/>
              <w:ind w:right="694"/>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5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7240" w:type="dxa"/>
            <w:vAlign w:val="bottom"/>
            <w:gridSpan w:val="3"/>
          </w:tcPr>
          <w:p>
            <w:pPr>
              <w:ind w:left="60"/>
              <w:spacing w:after="0"/>
              <w:rPr>
                <w:sz w:val="20"/>
                <w:szCs w:val="20"/>
                <w:color w:val="auto"/>
              </w:rPr>
            </w:pPr>
            <w:r>
              <w:rPr>
                <w:rFonts w:ascii="Arial" w:cs="Arial" w:eastAsia="Arial" w:hAnsi="Arial"/>
                <w:sz w:val="18"/>
                <w:szCs w:val="18"/>
                <w:color w:val="auto"/>
                <w:w w:val="91"/>
              </w:rPr>
              <w:t>may be deemed to have sole voting power, and Powell, Healy, Mehra and Akkaraju, the managing</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354"/>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6600" w:type="dxa"/>
            <w:vAlign w:val="bottom"/>
            <w:gridSpan w:val="2"/>
          </w:tcPr>
          <w:p>
            <w:pPr>
              <w:ind w:left="60"/>
              <w:spacing w:after="0"/>
              <w:rPr>
                <w:sz w:val="20"/>
                <w:szCs w:val="20"/>
                <w:color w:val="auto"/>
              </w:rPr>
            </w:pPr>
            <w:r>
              <w:rPr>
                <w:rFonts w:ascii="Arial" w:cs="Arial" w:eastAsia="Arial" w:hAnsi="Arial"/>
                <w:sz w:val="18"/>
                <w:szCs w:val="18"/>
                <w:color w:val="auto"/>
              </w:rPr>
              <w:t>members of SM VIII, may be deemed to have shared power to vote these shares.</w:t>
            </w:r>
          </w:p>
        </w:tc>
        <w:tc>
          <w:tcPr>
            <w:tcW w:w="6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60" w:type="dxa"/>
            <w:vAlign w:val="bottom"/>
            <w:tcBorders>
              <w:right w:val="single" w:sz="8" w:color="auto"/>
            </w:tcBorders>
            <w:vMerge w:val="restart"/>
          </w:tcPr>
          <w:p>
            <w:pPr>
              <w:jc w:val="center"/>
              <w:ind w:right="694"/>
              <w:spacing w:after="0"/>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See response to row 7.</w:t>
            </w: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14"/>
                <w:szCs w:val="14"/>
                <w:color w:val="auto"/>
              </w:rPr>
            </w:pPr>
          </w:p>
        </w:tc>
        <w:tc>
          <w:tcPr>
            <w:tcW w:w="57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570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may be deemed to have sole dispositive power, and Powell, Healy, Mehra and Akkaraju, the managing</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600" w:type="dxa"/>
            <w:vAlign w:val="bottom"/>
            <w:gridSpan w:val="2"/>
          </w:tcPr>
          <w:p>
            <w:pPr>
              <w:ind w:left="60"/>
              <w:spacing w:after="0"/>
              <w:rPr>
                <w:sz w:val="20"/>
                <w:szCs w:val="20"/>
                <w:color w:val="auto"/>
              </w:rPr>
            </w:pPr>
            <w:r>
              <w:rPr>
                <w:rFonts w:ascii="Arial" w:cs="Arial" w:eastAsia="Arial" w:hAnsi="Arial"/>
                <w:sz w:val="18"/>
                <w:szCs w:val="18"/>
                <w:color w:val="auto"/>
                <w:w w:val="90"/>
              </w:rPr>
              <w:t>members of SM VIII, may be deemed to have shared dispositive power over these shares.</w:t>
            </w:r>
          </w:p>
        </w:tc>
        <w:tc>
          <w:tcPr>
            <w:tcW w:w="6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57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See response to row 9.</w:t>
            </w: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3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2,289,480</w:t>
            </w: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540" w:type="dxa"/>
            <w:vAlign w:val="bottom"/>
            <w:tcBorders>
              <w:bottom w:val="single" w:sz="8" w:color="auto"/>
            </w:tcBorders>
            <w:gridSpan w:val="3"/>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3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900" w:type="dxa"/>
            <w:vAlign w:val="bottom"/>
          </w:tcPr>
          <w:p>
            <w:pPr>
              <w:ind w:left="380"/>
              <w:spacing w:after="0"/>
              <w:rPr>
                <w:sz w:val="20"/>
                <w:szCs w:val="20"/>
                <w:color w:val="auto"/>
              </w:rPr>
            </w:pPr>
            <w:r>
              <w:rPr>
                <w:rFonts w:ascii="Arial" w:cs="Arial" w:eastAsia="Arial" w:hAnsi="Arial"/>
                <w:sz w:val="18"/>
                <w:szCs w:val="18"/>
                <w:color w:val="auto"/>
                <w:w w:val="97"/>
              </w:rPr>
              <w:t>11.4%</w:t>
            </w: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tcBorders>
            <w:gridSpan w:val="2"/>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360" w:type="dxa"/>
            <w:vAlign w:val="bottom"/>
            <w:tcBorders>
              <w:right w:val="single" w:sz="8" w:color="auto"/>
            </w:tcBorders>
          </w:tcPr>
          <w:p>
            <w:pPr>
              <w:spacing w:after="0"/>
              <w:rPr>
                <w:sz w:val="24"/>
                <w:szCs w:val="24"/>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570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OO</w:t>
            </w: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57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560" w:type="dxa"/>
            <w:vAlign w:val="bottom"/>
            <w:gridSpan w:val="3"/>
          </w:tcPr>
          <w:p>
            <w:pPr>
              <w:ind w:left="700"/>
              <w:spacing w:after="0"/>
              <w:rPr>
                <w:sz w:val="20"/>
                <w:szCs w:val="20"/>
                <w:color w:val="auto"/>
              </w:rPr>
            </w:pPr>
            <w:r>
              <w:rPr>
                <w:rFonts w:ascii="Arial" w:cs="Arial" w:eastAsia="Arial" w:hAnsi="Arial"/>
                <w:sz w:val="18"/>
                <w:szCs w:val="18"/>
                <w:color w:val="auto"/>
              </w:rPr>
              <w:t>Dr. Srinivas Akkaraju (“Akkaraju”)</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22"/>
                <w:szCs w:val="22"/>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88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2"/>
                <w:szCs w:val="22"/>
                <w:color w:val="auto"/>
              </w:rPr>
            </w:pPr>
          </w:p>
        </w:tc>
        <w:tc>
          <w:tcPr>
            <w:tcW w:w="480" w:type="dxa"/>
            <w:vAlign w:val="bottom"/>
            <w:tcBorders>
              <w:right w:val="single" w:sz="8" w:color="auto"/>
            </w:tcBorders>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720" w:type="dxa"/>
            <w:vAlign w:val="bottom"/>
          </w:tcPr>
          <w:p>
            <w:pPr>
              <w:ind w:left="5420"/>
              <w:spacing w:after="0"/>
              <w:rPr>
                <w:sz w:val="20"/>
                <w:szCs w:val="20"/>
                <w:color w:val="auto"/>
              </w:rPr>
            </w:pPr>
            <w:r>
              <w:rPr>
                <w:rFonts w:ascii="Arial" w:cs="Arial" w:eastAsia="Arial" w:hAnsi="Arial"/>
                <w:sz w:val="18"/>
                <w:szCs w:val="18"/>
                <w:color w:val="auto"/>
              </w:rPr>
              <w:t>(a)</w:t>
            </w:r>
          </w:p>
        </w:tc>
        <w:tc>
          <w:tcPr>
            <w:tcW w:w="880" w:type="dxa"/>
            <w:vAlign w:val="bottom"/>
            <w:vMerge w:val="continue"/>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(b)</w:t>
            </w:r>
          </w:p>
        </w:tc>
        <w:tc>
          <w:tcPr>
            <w:tcW w:w="4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360" w:type="dxa"/>
            <w:vAlign w:val="bottom"/>
            <w:tcBorders>
              <w:right w:val="single" w:sz="8" w:color="auto"/>
            </w:tcBorders>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360" w:type="dxa"/>
            <w:vAlign w:val="bottom"/>
            <w:tcBorders>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AF</w:t>
            </w:r>
          </w:p>
        </w:tc>
        <w:tc>
          <w:tcPr>
            <w:tcW w:w="7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8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w w:val="92"/>
              </w:rPr>
              <w:t>CITIZENSHIP OR PLACE OF ORGANIZATIONU.S. Citizen</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jc w:val="center"/>
              <w:ind w:right="694"/>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5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bottom w:val="single" w:sz="8" w:color="auto"/>
              <w:right w:val="single" w:sz="8" w:color="auto"/>
            </w:tcBorders>
          </w:tcPr>
          <w:p>
            <w:pPr>
              <w:spacing w:after="0"/>
              <w:rPr>
                <w:sz w:val="7"/>
                <w:szCs w:val="7"/>
                <w:color w:val="auto"/>
              </w:rPr>
            </w:pPr>
          </w:p>
        </w:tc>
        <w:tc>
          <w:tcPr>
            <w:tcW w:w="57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2420" w:type="dxa"/>
            <w:vAlign w:val="bottom"/>
            <w:tcBorders>
              <w:right w:val="single" w:sz="8" w:color="auto"/>
            </w:tcBorders>
            <w:gridSpan w:val="2"/>
            <w:vMerge w:val="restart"/>
          </w:tcPr>
          <w:p>
            <w:pPr>
              <w:jc w:val="center"/>
              <w:ind w:right="354"/>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vMerge w:val="continue"/>
          </w:tcPr>
          <w:p>
            <w:pPr>
              <w:spacing w:after="0"/>
              <w:rPr>
                <w:sz w:val="12"/>
                <w:szCs w:val="12"/>
                <w:color w:val="auto"/>
              </w:rPr>
            </w:pPr>
          </w:p>
        </w:tc>
        <w:tc>
          <w:tcPr>
            <w:tcW w:w="57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7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694"/>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2"/>
                <w:szCs w:val="12"/>
                <w:color w:val="auto"/>
              </w:rPr>
            </w:pPr>
          </w:p>
        </w:tc>
        <w:tc>
          <w:tcPr>
            <w:tcW w:w="774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260" w:type="dxa"/>
            <w:vAlign w:val="bottom"/>
            <w:gridSpan w:val="3"/>
            <w:vMerge w:val="restart"/>
          </w:tcPr>
          <w:p>
            <w:pPr>
              <w:ind w:left="60"/>
              <w:spacing w:after="0"/>
              <w:rPr>
                <w:sz w:val="20"/>
                <w:szCs w:val="20"/>
                <w:color w:val="auto"/>
              </w:rPr>
            </w:pPr>
            <w:r>
              <w:rPr>
                <w:rFonts w:ascii="Arial" w:cs="Arial" w:eastAsia="Arial" w:hAnsi="Arial"/>
                <w:sz w:val="18"/>
                <w:szCs w:val="18"/>
                <w:color w:val="auto"/>
                <w:w w:val="91"/>
              </w:rPr>
              <w:t>may be deemed to have sole voting power, and Akkaraju, a managing member of SM VIII, may be</w:t>
            </w: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tcPr>
          <w:p>
            <w:pPr>
              <w:spacing w:after="0"/>
              <w:rPr>
                <w:sz w:val="12"/>
                <w:szCs w:val="12"/>
                <w:color w:val="auto"/>
              </w:rPr>
            </w:pPr>
          </w:p>
        </w:tc>
        <w:tc>
          <w:tcPr>
            <w:tcW w:w="7260" w:type="dxa"/>
            <w:vAlign w:val="bottom"/>
            <w:gridSpan w:val="3"/>
            <w:vMerge w:val="continue"/>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deemed to have shared voting power to vote these shares.</w:t>
            </w: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14"/>
                <w:szCs w:val="14"/>
                <w:color w:val="auto"/>
              </w:rPr>
            </w:pPr>
          </w:p>
        </w:tc>
        <w:tc>
          <w:tcPr>
            <w:tcW w:w="5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5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5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may be deemed to have sole dispositive power, and Akkaraju, a managing member of SM VIII, may be</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deemed to have shared power to dispose of these shares.</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2,289,480</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560" w:type="dxa"/>
            <w:vAlign w:val="bottom"/>
            <w:tcBorders>
              <w:bottom w:val="single" w:sz="8" w:color="auto"/>
            </w:tcBorders>
            <w:gridSpan w:val="3"/>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8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56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880" w:type="dxa"/>
            <w:vAlign w:val="bottom"/>
          </w:tcPr>
          <w:p>
            <w:pPr>
              <w:ind w:left="360"/>
              <w:spacing w:after="0"/>
              <w:rPr>
                <w:sz w:val="20"/>
                <w:szCs w:val="20"/>
                <w:color w:val="auto"/>
              </w:rPr>
            </w:pPr>
            <w:r>
              <w:rPr>
                <w:rFonts w:ascii="Arial" w:cs="Arial" w:eastAsia="Arial" w:hAnsi="Arial"/>
                <w:sz w:val="18"/>
                <w:szCs w:val="18"/>
                <w:color w:val="auto"/>
                <w:w w:val="97"/>
              </w:rPr>
              <w:t>11.4%</w:t>
            </w:r>
          </w:p>
        </w:tc>
        <w:tc>
          <w:tcPr>
            <w:tcW w:w="6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tcBorders>
            <w:gridSpan w:val="2"/>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360" w:type="dxa"/>
            <w:vAlign w:val="bottom"/>
            <w:tcBorders>
              <w:right w:val="single" w:sz="8" w:color="auto"/>
            </w:tcBorders>
          </w:tcPr>
          <w:p>
            <w:pPr>
              <w:spacing w:after="0"/>
              <w:rPr>
                <w:sz w:val="24"/>
                <w:szCs w:val="24"/>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572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57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560" w:type="dxa"/>
            <w:vAlign w:val="bottom"/>
            <w:gridSpan w:val="3"/>
          </w:tcPr>
          <w:p>
            <w:pPr>
              <w:ind w:left="700"/>
              <w:spacing w:after="0"/>
              <w:rPr>
                <w:sz w:val="20"/>
                <w:szCs w:val="20"/>
                <w:color w:val="auto"/>
              </w:rPr>
            </w:pPr>
            <w:r>
              <w:rPr>
                <w:rFonts w:ascii="Arial" w:cs="Arial" w:eastAsia="Arial" w:hAnsi="Arial"/>
                <w:sz w:val="18"/>
                <w:szCs w:val="18"/>
                <w:color w:val="auto"/>
              </w:rPr>
              <w:t>Dr. Michael F. Powell (“Powell”)</w:t>
            </w: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22"/>
                <w:szCs w:val="22"/>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88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2"/>
                <w:szCs w:val="22"/>
                <w:color w:val="auto"/>
              </w:rPr>
            </w:pPr>
          </w:p>
        </w:tc>
        <w:tc>
          <w:tcPr>
            <w:tcW w:w="400" w:type="dxa"/>
            <w:vAlign w:val="bottom"/>
            <w:tcBorders>
              <w:right w:val="single" w:sz="8" w:color="auto"/>
            </w:tcBorders>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720" w:type="dxa"/>
            <w:vAlign w:val="bottom"/>
          </w:tcPr>
          <w:p>
            <w:pPr>
              <w:ind w:left="5420"/>
              <w:spacing w:after="0"/>
              <w:rPr>
                <w:sz w:val="20"/>
                <w:szCs w:val="20"/>
                <w:color w:val="auto"/>
              </w:rPr>
            </w:pPr>
            <w:r>
              <w:rPr>
                <w:rFonts w:ascii="Arial" w:cs="Arial" w:eastAsia="Arial" w:hAnsi="Arial"/>
                <w:sz w:val="18"/>
                <w:szCs w:val="18"/>
                <w:color w:val="auto"/>
              </w:rPr>
              <w:t>(a)</w:t>
            </w:r>
          </w:p>
        </w:tc>
        <w:tc>
          <w:tcPr>
            <w:tcW w:w="880" w:type="dxa"/>
            <w:vAlign w:val="bottom"/>
            <w:vMerge w:val="continue"/>
          </w:tcPr>
          <w:p>
            <w:pPr>
              <w:spacing w:after="0"/>
              <w:rPr>
                <w:sz w:val="21"/>
                <w:szCs w:val="21"/>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(b)</w:t>
            </w: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360" w:type="dxa"/>
            <w:vAlign w:val="bottom"/>
            <w:tcBorders>
              <w:right w:val="single" w:sz="8" w:color="auto"/>
            </w:tcBorders>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360" w:type="dxa"/>
            <w:vAlign w:val="bottom"/>
            <w:tcBorders>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AF</w:t>
            </w:r>
          </w:p>
        </w:tc>
        <w:tc>
          <w:tcPr>
            <w:tcW w:w="7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8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w w:val="92"/>
              </w:rPr>
              <w:t>CITIZENSHIP OR PLACE OF ORGANIZATIONU.S. Citizen</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jc w:val="center"/>
              <w:ind w:right="694"/>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5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bottom w:val="single" w:sz="8" w:color="auto"/>
              <w:right w:val="single" w:sz="8" w:color="auto"/>
            </w:tcBorders>
          </w:tcPr>
          <w:p>
            <w:pPr>
              <w:spacing w:after="0"/>
              <w:rPr>
                <w:sz w:val="7"/>
                <w:szCs w:val="7"/>
                <w:color w:val="auto"/>
              </w:rPr>
            </w:pPr>
          </w:p>
        </w:tc>
        <w:tc>
          <w:tcPr>
            <w:tcW w:w="57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2420" w:type="dxa"/>
            <w:vAlign w:val="bottom"/>
            <w:tcBorders>
              <w:right w:val="single" w:sz="8" w:color="auto"/>
            </w:tcBorders>
            <w:gridSpan w:val="2"/>
            <w:vMerge w:val="restart"/>
          </w:tcPr>
          <w:p>
            <w:pPr>
              <w:jc w:val="center"/>
              <w:ind w:right="354"/>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vMerge w:val="continue"/>
          </w:tcPr>
          <w:p>
            <w:pPr>
              <w:spacing w:after="0"/>
              <w:rPr>
                <w:sz w:val="12"/>
                <w:szCs w:val="12"/>
                <w:color w:val="auto"/>
              </w:rPr>
            </w:pPr>
          </w:p>
        </w:tc>
        <w:tc>
          <w:tcPr>
            <w:tcW w:w="57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7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694"/>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2"/>
                <w:szCs w:val="12"/>
                <w:color w:val="auto"/>
              </w:rPr>
            </w:pPr>
          </w:p>
        </w:tc>
        <w:tc>
          <w:tcPr>
            <w:tcW w:w="774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7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w w:val="91"/>
              </w:rPr>
              <w:t>may be deemed to have sole voting power, and Powell, a managing member of SM VIII, may be deemed</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tcPr>
          <w:p>
            <w:pPr>
              <w:spacing w:after="0"/>
              <w:rPr>
                <w:sz w:val="12"/>
                <w:szCs w:val="12"/>
                <w:color w:val="auto"/>
              </w:rPr>
            </w:pPr>
          </w:p>
        </w:tc>
        <w:tc>
          <w:tcPr>
            <w:tcW w:w="774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to have shared voting power to vote these shares.</w:t>
            </w: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14"/>
                <w:szCs w:val="14"/>
                <w:color w:val="auto"/>
              </w:rPr>
            </w:pPr>
          </w:p>
        </w:tc>
        <w:tc>
          <w:tcPr>
            <w:tcW w:w="5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5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5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340" w:type="dxa"/>
            <w:vAlign w:val="bottom"/>
            <w:gridSpan w:val="3"/>
          </w:tcPr>
          <w:p>
            <w:pPr>
              <w:ind w:left="60"/>
              <w:spacing w:after="0"/>
              <w:rPr>
                <w:sz w:val="20"/>
                <w:szCs w:val="20"/>
                <w:color w:val="auto"/>
              </w:rPr>
            </w:pPr>
            <w:r>
              <w:rPr>
                <w:rFonts w:ascii="Arial" w:cs="Arial" w:eastAsia="Arial" w:hAnsi="Arial"/>
                <w:sz w:val="18"/>
                <w:szCs w:val="18"/>
                <w:color w:val="auto"/>
                <w:w w:val="90"/>
              </w:rPr>
              <w:t>may be deemed to have sole dispositive power, and Powell, a managing member of SM VIII, may be</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deemed to have shared power to dispose of these shares.</w:t>
            </w: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2,289,480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560" w:type="dxa"/>
            <w:vAlign w:val="bottom"/>
            <w:tcBorders>
              <w:bottom w:val="single" w:sz="8" w:color="auto"/>
            </w:tcBorders>
            <w:gridSpan w:val="3"/>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8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56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880" w:type="dxa"/>
            <w:vAlign w:val="bottom"/>
          </w:tcPr>
          <w:p>
            <w:pPr>
              <w:ind w:left="360"/>
              <w:spacing w:after="0"/>
              <w:rPr>
                <w:sz w:val="20"/>
                <w:szCs w:val="20"/>
                <w:color w:val="auto"/>
              </w:rPr>
            </w:pPr>
            <w:r>
              <w:rPr>
                <w:rFonts w:ascii="Arial" w:cs="Arial" w:eastAsia="Arial" w:hAnsi="Arial"/>
                <w:sz w:val="18"/>
                <w:szCs w:val="18"/>
                <w:color w:val="auto"/>
                <w:w w:val="97"/>
              </w:rPr>
              <w:t>11.4%</w:t>
            </w:r>
          </w:p>
        </w:tc>
        <w:tc>
          <w:tcPr>
            <w:tcW w:w="7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tcBorders>
            <w:gridSpan w:val="2"/>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360" w:type="dxa"/>
            <w:vAlign w:val="bottom"/>
            <w:tcBorders>
              <w:right w:val="single" w:sz="8" w:color="auto"/>
            </w:tcBorders>
          </w:tcPr>
          <w:p>
            <w:pPr>
              <w:spacing w:after="0"/>
              <w:rPr>
                <w:sz w:val="24"/>
                <w:szCs w:val="24"/>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572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57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840" w:type="dxa"/>
            <w:vAlign w:val="bottom"/>
            <w:gridSpan w:val="2"/>
          </w:tcPr>
          <w:p>
            <w:pPr>
              <w:ind w:left="700"/>
              <w:spacing w:after="0"/>
              <w:rPr>
                <w:sz w:val="20"/>
                <w:szCs w:val="20"/>
                <w:color w:val="auto"/>
              </w:rPr>
            </w:pPr>
            <w:r>
              <w:rPr>
                <w:rFonts w:ascii="Arial" w:cs="Arial" w:eastAsia="Arial" w:hAnsi="Arial"/>
                <w:sz w:val="18"/>
                <w:szCs w:val="18"/>
                <w:color w:val="auto"/>
                <w:w w:val="94"/>
              </w:rPr>
              <w:t>Dr. James I. Healy (“Healy”)</w:t>
            </w:r>
          </w:p>
        </w:tc>
        <w:tc>
          <w:tcPr>
            <w:tcW w:w="5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22"/>
                <w:szCs w:val="22"/>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88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22"/>
                <w:szCs w:val="22"/>
                <w:color w:val="auto"/>
              </w:rPr>
            </w:pPr>
          </w:p>
        </w:tc>
        <w:tc>
          <w:tcPr>
            <w:tcW w:w="440" w:type="dxa"/>
            <w:vAlign w:val="bottom"/>
            <w:tcBorders>
              <w:right w:val="single" w:sz="8" w:color="auto"/>
            </w:tcBorders>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720" w:type="dxa"/>
            <w:vAlign w:val="bottom"/>
          </w:tcPr>
          <w:p>
            <w:pPr>
              <w:ind w:left="5420"/>
              <w:spacing w:after="0"/>
              <w:rPr>
                <w:sz w:val="20"/>
                <w:szCs w:val="20"/>
                <w:color w:val="auto"/>
              </w:rPr>
            </w:pPr>
            <w:r>
              <w:rPr>
                <w:rFonts w:ascii="Arial" w:cs="Arial" w:eastAsia="Arial" w:hAnsi="Arial"/>
                <w:sz w:val="18"/>
                <w:szCs w:val="18"/>
                <w:color w:val="auto"/>
              </w:rPr>
              <w:t>(a)</w:t>
            </w:r>
          </w:p>
        </w:tc>
        <w:tc>
          <w:tcPr>
            <w:tcW w:w="880" w:type="dxa"/>
            <w:vAlign w:val="bottom"/>
            <w:vMerge w:val="continue"/>
          </w:tcPr>
          <w:p>
            <w:pPr>
              <w:spacing w:after="0"/>
              <w:rPr>
                <w:sz w:val="21"/>
                <w:szCs w:val="21"/>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(b)</w:t>
            </w:r>
          </w:p>
        </w:tc>
        <w:tc>
          <w:tcPr>
            <w:tcW w:w="4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360" w:type="dxa"/>
            <w:vAlign w:val="bottom"/>
            <w:tcBorders>
              <w:right w:val="single" w:sz="8" w:color="auto"/>
            </w:tcBorders>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360" w:type="dxa"/>
            <w:vAlign w:val="bottom"/>
            <w:tcBorders>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AF</w:t>
            </w:r>
          </w:p>
        </w:tc>
        <w:tc>
          <w:tcPr>
            <w:tcW w:w="7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8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w w:val="92"/>
              </w:rPr>
              <w:t>CITIZENSHIP OR PLACE OF ORGANIZATIONU.S. Citizen</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jc w:val="center"/>
              <w:ind w:right="694"/>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5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bottom w:val="single" w:sz="8" w:color="auto"/>
              <w:right w:val="single" w:sz="8" w:color="auto"/>
            </w:tcBorders>
          </w:tcPr>
          <w:p>
            <w:pPr>
              <w:spacing w:after="0"/>
              <w:rPr>
                <w:sz w:val="7"/>
                <w:szCs w:val="7"/>
                <w:color w:val="auto"/>
              </w:rPr>
            </w:pPr>
          </w:p>
        </w:tc>
        <w:tc>
          <w:tcPr>
            <w:tcW w:w="57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2420" w:type="dxa"/>
            <w:vAlign w:val="bottom"/>
            <w:tcBorders>
              <w:right w:val="single" w:sz="8" w:color="auto"/>
            </w:tcBorders>
            <w:gridSpan w:val="2"/>
            <w:vMerge w:val="restart"/>
          </w:tcPr>
          <w:p>
            <w:pPr>
              <w:jc w:val="center"/>
              <w:ind w:right="354"/>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vMerge w:val="continue"/>
          </w:tcPr>
          <w:p>
            <w:pPr>
              <w:spacing w:after="0"/>
              <w:rPr>
                <w:sz w:val="12"/>
                <w:szCs w:val="12"/>
                <w:color w:val="auto"/>
              </w:rPr>
            </w:pPr>
          </w:p>
        </w:tc>
        <w:tc>
          <w:tcPr>
            <w:tcW w:w="57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7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694"/>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2"/>
                <w:szCs w:val="12"/>
                <w:color w:val="auto"/>
              </w:rPr>
            </w:pPr>
          </w:p>
        </w:tc>
        <w:tc>
          <w:tcPr>
            <w:tcW w:w="774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7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w w:val="90"/>
              </w:rPr>
              <w:t>may be deemed to have sole voting power, and Healy, a managing member of SM VIII, may be deemed to</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tcPr>
          <w:p>
            <w:pPr>
              <w:spacing w:after="0"/>
              <w:rPr>
                <w:sz w:val="12"/>
                <w:szCs w:val="12"/>
                <w:color w:val="auto"/>
              </w:rPr>
            </w:pPr>
          </w:p>
        </w:tc>
        <w:tc>
          <w:tcPr>
            <w:tcW w:w="774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have shared voting power to vote these shares.</w:t>
            </w: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14"/>
                <w:szCs w:val="14"/>
                <w:color w:val="auto"/>
              </w:rPr>
            </w:pPr>
          </w:p>
        </w:tc>
        <w:tc>
          <w:tcPr>
            <w:tcW w:w="5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5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5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300" w:type="dxa"/>
            <w:vAlign w:val="bottom"/>
            <w:gridSpan w:val="3"/>
          </w:tcPr>
          <w:p>
            <w:pPr>
              <w:ind w:left="60"/>
              <w:spacing w:after="0"/>
              <w:rPr>
                <w:sz w:val="20"/>
                <w:szCs w:val="20"/>
                <w:color w:val="auto"/>
              </w:rPr>
            </w:pPr>
            <w:r>
              <w:rPr>
                <w:rFonts w:ascii="Arial" w:cs="Arial" w:eastAsia="Arial" w:hAnsi="Arial"/>
                <w:sz w:val="18"/>
                <w:szCs w:val="18"/>
                <w:color w:val="auto"/>
                <w:w w:val="91"/>
              </w:rPr>
              <w:t>may be deemed to have sole dispositive power, and Healy, a managing member of SM VIII, may be</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deemed to have shared power to dispose of these shares.</w:t>
            </w: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2"/>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2,289,480</w:t>
            </w: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560" w:type="dxa"/>
            <w:vAlign w:val="bottom"/>
            <w:tcBorders>
              <w:bottom w:val="single" w:sz="8" w:color="auto"/>
            </w:tcBorders>
            <w:gridSpan w:val="3"/>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8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56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360" w:type="dxa"/>
            <w:vAlign w:val="bottom"/>
            <w:tcBorders>
              <w:right w:val="single" w:sz="8" w:color="auto"/>
            </w:tcBorders>
          </w:tcPr>
          <w:p>
            <w:pPr>
              <w:spacing w:after="0"/>
              <w:rPr>
                <w:sz w:val="24"/>
                <w:szCs w:val="24"/>
                <w:color w:val="auto"/>
              </w:rPr>
            </w:pPr>
          </w:p>
        </w:tc>
        <w:tc>
          <w:tcPr>
            <w:tcW w:w="85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880" w:type="dxa"/>
            <w:vAlign w:val="bottom"/>
          </w:tcPr>
          <w:p>
            <w:pPr>
              <w:ind w:left="360"/>
              <w:spacing w:after="0"/>
              <w:rPr>
                <w:sz w:val="20"/>
                <w:szCs w:val="20"/>
                <w:color w:val="auto"/>
              </w:rPr>
            </w:pPr>
            <w:r>
              <w:rPr>
                <w:rFonts w:ascii="Arial" w:cs="Arial" w:eastAsia="Arial" w:hAnsi="Arial"/>
                <w:sz w:val="18"/>
                <w:szCs w:val="18"/>
                <w:color w:val="auto"/>
                <w:w w:val="97"/>
              </w:rPr>
              <w:t>11.4%</w:t>
            </w:r>
          </w:p>
        </w:tc>
        <w:tc>
          <w:tcPr>
            <w:tcW w:w="7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tcBorders>
            <w:gridSpan w:val="2"/>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360" w:type="dxa"/>
            <w:vAlign w:val="bottom"/>
            <w:tcBorders>
              <w:right w:val="single" w:sz="8" w:color="auto"/>
            </w:tcBorders>
          </w:tcPr>
          <w:p>
            <w:pPr>
              <w:spacing w:after="0"/>
              <w:rPr>
                <w:sz w:val="24"/>
                <w:szCs w:val="24"/>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572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IN</w:t>
            </w:r>
          </w:p>
        </w:tc>
        <w:tc>
          <w:tcPr>
            <w:tcW w:w="7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57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58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840" w:type="dxa"/>
            <w:vAlign w:val="bottom"/>
            <w:gridSpan w:val="2"/>
          </w:tcPr>
          <w:p>
            <w:pPr>
              <w:ind w:left="700"/>
              <w:spacing w:after="0"/>
              <w:rPr>
                <w:sz w:val="20"/>
                <w:szCs w:val="20"/>
                <w:color w:val="auto"/>
              </w:rPr>
            </w:pPr>
            <w:r>
              <w:rPr>
                <w:rFonts w:ascii="Arial" w:cs="Arial" w:eastAsia="Arial" w:hAnsi="Arial"/>
                <w:sz w:val="18"/>
                <w:szCs w:val="18"/>
                <w:color w:val="auto"/>
                <w:w w:val="96"/>
              </w:rPr>
              <w:t>Dr. Anand Mehra (“Mehra”)</w:t>
            </w:r>
          </w:p>
        </w:tc>
        <w:tc>
          <w:tcPr>
            <w:tcW w:w="5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22"/>
                <w:szCs w:val="22"/>
                <w:color w:val="auto"/>
              </w:rPr>
            </w:pPr>
          </w:p>
        </w:tc>
        <w:tc>
          <w:tcPr>
            <w:tcW w:w="858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2"/>
                <w:szCs w:val="22"/>
                <w:color w:val="auto"/>
              </w:rPr>
            </w:pPr>
          </w:p>
        </w:tc>
        <w:tc>
          <w:tcPr>
            <w:tcW w:w="620" w:type="dxa"/>
            <w:vAlign w:val="bottom"/>
            <w:tcBorders>
              <w:right w:val="single" w:sz="8" w:color="auto"/>
            </w:tcBorders>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740" w:type="dxa"/>
            <w:vAlign w:val="bottom"/>
          </w:tcPr>
          <w:p>
            <w:pPr>
              <w:ind w:left="5420"/>
              <w:spacing w:after="0"/>
              <w:rPr>
                <w:sz w:val="20"/>
                <w:szCs w:val="20"/>
                <w:color w:val="auto"/>
              </w:rPr>
            </w:pPr>
            <w:r>
              <w:rPr>
                <w:rFonts w:ascii="Arial" w:cs="Arial" w:eastAsia="Arial" w:hAnsi="Arial"/>
                <w:sz w:val="18"/>
                <w:szCs w:val="18"/>
                <w:color w:val="auto"/>
              </w:rPr>
              <w:t>(a)</w:t>
            </w:r>
          </w:p>
        </w:tc>
        <w:tc>
          <w:tcPr>
            <w:tcW w:w="860" w:type="dxa"/>
            <w:vAlign w:val="bottom"/>
            <w:vMerge w:val="continue"/>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(b)</w:t>
            </w:r>
          </w:p>
        </w:tc>
        <w:tc>
          <w:tcPr>
            <w:tcW w:w="6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360" w:type="dxa"/>
            <w:vAlign w:val="bottom"/>
            <w:tcBorders>
              <w:right w:val="single" w:sz="8" w:color="auto"/>
            </w:tcBorders>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360" w:type="dxa"/>
            <w:vAlign w:val="bottom"/>
            <w:tcBorders>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AF</w:t>
            </w:r>
          </w:p>
        </w:tc>
        <w:tc>
          <w:tcPr>
            <w:tcW w:w="7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360" w:type="dxa"/>
            <w:vAlign w:val="bottom"/>
            <w:tcBorders>
              <w:right w:val="single" w:sz="8" w:color="auto"/>
            </w:tcBorders>
          </w:tcPr>
          <w:p>
            <w:pPr>
              <w:spacing w:after="0"/>
              <w:rPr>
                <w:sz w:val="24"/>
                <w:szCs w:val="24"/>
                <w:color w:val="auto"/>
              </w:rPr>
            </w:pPr>
          </w:p>
        </w:tc>
        <w:tc>
          <w:tcPr>
            <w:tcW w:w="858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spacing w:after="0"/>
              <w:rPr>
                <w:sz w:val="24"/>
                <w:szCs w:val="24"/>
                <w:color w:val="auto"/>
              </w:rPr>
            </w:pPr>
          </w:p>
        </w:tc>
        <w:tc>
          <w:tcPr>
            <w:tcW w:w="8580" w:type="dxa"/>
            <w:vAlign w:val="bottom"/>
            <w:gridSpan w:val="3"/>
          </w:tcPr>
          <w:p>
            <w:pPr>
              <w:ind w:left="40"/>
              <w:spacing w:after="0"/>
              <w:rPr>
                <w:sz w:val="20"/>
                <w:szCs w:val="20"/>
                <w:color w:val="auto"/>
              </w:rPr>
            </w:pPr>
            <w:r>
              <w:rPr>
                <w:rFonts w:ascii="Arial" w:cs="Arial" w:eastAsia="Arial" w:hAnsi="Arial"/>
                <w:sz w:val="18"/>
                <w:szCs w:val="18"/>
                <w:color w:val="auto"/>
                <w:w w:val="92"/>
              </w:rPr>
              <w:t>CITIZENSHIP OR PLACE OF ORGANIZATIONU.S. Citizen</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jc w:val="center"/>
              <w:ind w:right="694"/>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5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jc w:val="center"/>
              <w:ind w:right="714"/>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bottom w:val="single" w:sz="8" w:color="auto"/>
              <w:right w:val="single" w:sz="8" w:color="auto"/>
            </w:tcBorders>
          </w:tcPr>
          <w:p>
            <w:pPr>
              <w:spacing w:after="0"/>
              <w:rPr>
                <w:sz w:val="7"/>
                <w:szCs w:val="7"/>
                <w:color w:val="auto"/>
              </w:rPr>
            </w:pPr>
          </w:p>
        </w:tc>
        <w:tc>
          <w:tcPr>
            <w:tcW w:w="5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57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2420" w:type="dxa"/>
            <w:vAlign w:val="bottom"/>
            <w:tcBorders>
              <w:right w:val="single" w:sz="8" w:color="auto"/>
            </w:tcBorders>
            <w:gridSpan w:val="2"/>
            <w:vMerge w:val="restart"/>
          </w:tcPr>
          <w:p>
            <w:pPr>
              <w:jc w:val="center"/>
              <w:ind w:right="354"/>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vMerge w:val="continue"/>
          </w:tcPr>
          <w:p>
            <w:pPr>
              <w:spacing w:after="0"/>
              <w:rPr>
                <w:sz w:val="12"/>
                <w:szCs w:val="12"/>
                <w:color w:val="auto"/>
              </w:rPr>
            </w:pPr>
          </w:p>
        </w:tc>
        <w:tc>
          <w:tcPr>
            <w:tcW w:w="5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7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694"/>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2"/>
                <w:szCs w:val="12"/>
                <w:color w:val="auto"/>
              </w:rPr>
            </w:pPr>
          </w:p>
        </w:tc>
        <w:tc>
          <w:tcPr>
            <w:tcW w:w="774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7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w w:val="93"/>
              </w:rPr>
              <w:t>may be deemed to have sole voting power, and Mehra, a managing member of SM VIII and director of</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tcPr>
          <w:p>
            <w:pPr>
              <w:spacing w:after="0"/>
              <w:rPr>
                <w:sz w:val="12"/>
                <w:szCs w:val="12"/>
                <w:color w:val="auto"/>
              </w:rPr>
            </w:pPr>
          </w:p>
        </w:tc>
        <w:tc>
          <w:tcPr>
            <w:tcW w:w="774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5740" w:type="dxa"/>
            <w:vAlign w:val="bottom"/>
            <w:vMerge w:val="restart"/>
          </w:tcPr>
          <w:p>
            <w:pPr>
              <w:ind w:left="60"/>
              <w:spacing w:after="0"/>
              <w:rPr>
                <w:sz w:val="20"/>
                <w:szCs w:val="20"/>
                <w:color w:val="auto"/>
              </w:rPr>
            </w:pPr>
            <w:r>
              <w:rPr>
                <w:rFonts w:ascii="Arial" w:cs="Arial" w:eastAsia="Arial" w:hAnsi="Arial"/>
                <w:sz w:val="18"/>
                <w:szCs w:val="18"/>
                <w:color w:val="auto"/>
                <w:w w:val="91"/>
              </w:rPr>
              <w:t>the Issuer, may be deemed to have shared voting power to vote these shares.</w:t>
            </w: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Borders>
              <w:right w:val="single" w:sz="8" w:color="auto"/>
            </w:tcBorders>
            <w:vMerge w:val="restart"/>
          </w:tcPr>
          <w:p>
            <w:pPr>
              <w:jc w:val="center"/>
              <w:ind w:right="714"/>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14"/>
                <w:szCs w:val="14"/>
                <w:color w:val="auto"/>
              </w:rPr>
            </w:pPr>
          </w:p>
        </w:tc>
        <w:tc>
          <w:tcPr>
            <w:tcW w:w="57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57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57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3"/>
              </w:rPr>
              <w:t>2,289,480 shares, all of which are owned directly by SVP VIII. SM VIII, the general partner of SVP VIII,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2"/>
              </w:rPr>
              <w:t>may be deemed to have sole dispositive power, and Mehra, a managing member of SM VIII and director</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w w:val="88"/>
              </w:rPr>
              <w:t>of the Issuer, may be deemed to have shared power to dispose of these shares.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gridSpan w:val="2"/>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360" w:type="dxa"/>
            <w:vAlign w:val="bottom"/>
            <w:tcBorders>
              <w:right w:val="single" w:sz="8" w:color="auto"/>
            </w:tcBorders>
          </w:tcPr>
          <w:p>
            <w:pPr>
              <w:spacing w:after="0"/>
              <w:rPr>
                <w:sz w:val="24"/>
                <w:szCs w:val="24"/>
                <w:color w:val="auto"/>
              </w:rPr>
            </w:pPr>
          </w:p>
        </w:tc>
        <w:tc>
          <w:tcPr>
            <w:tcW w:w="85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2,289,480</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tcBorders>
            <w:gridSpan w:val="3"/>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auto"/>
            </w:tcBorders>
          </w:tcPr>
          <w:p>
            <w:pPr>
              <w:spacing w:after="0"/>
              <w:rPr>
                <w:sz w:val="24"/>
                <w:szCs w:val="24"/>
                <w:color w:val="auto"/>
              </w:rPr>
            </w:pPr>
          </w:p>
        </w:tc>
        <w:tc>
          <w:tcPr>
            <w:tcW w:w="858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8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360" w:type="dxa"/>
            <w:vAlign w:val="bottom"/>
            <w:tcBorders>
              <w:right w:val="single" w:sz="8" w:color="auto"/>
            </w:tcBorders>
          </w:tcPr>
          <w:p>
            <w:pPr>
              <w:spacing w:after="0"/>
              <w:rPr>
                <w:sz w:val="24"/>
                <w:szCs w:val="24"/>
                <w:color w:val="auto"/>
              </w:rPr>
            </w:pPr>
          </w:p>
        </w:tc>
        <w:tc>
          <w:tcPr>
            <w:tcW w:w="85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ind w:left="340"/>
              <w:spacing w:after="0"/>
              <w:rPr>
                <w:sz w:val="20"/>
                <w:szCs w:val="20"/>
                <w:color w:val="auto"/>
              </w:rPr>
            </w:pPr>
            <w:r>
              <w:rPr>
                <w:rFonts w:ascii="Arial" w:cs="Arial" w:eastAsia="Arial" w:hAnsi="Arial"/>
                <w:sz w:val="18"/>
                <w:szCs w:val="18"/>
                <w:color w:val="auto"/>
                <w:w w:val="97"/>
              </w:rPr>
              <w:t>11.4%</w:t>
            </w:r>
          </w:p>
        </w:tc>
        <w:tc>
          <w:tcPr>
            <w:tcW w:w="5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tcBorders>
            <w:gridSpan w:val="2"/>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360" w:type="dxa"/>
            <w:vAlign w:val="bottom"/>
            <w:tcBorders>
              <w:right w:val="single" w:sz="8" w:color="auto"/>
            </w:tcBorders>
          </w:tcPr>
          <w:p>
            <w:pPr>
              <w:spacing w:after="0"/>
              <w:rPr>
                <w:sz w:val="24"/>
                <w:szCs w:val="24"/>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574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Statement on Schedule 13D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Statement on Schedule 13D relates to the beneficial ownership of Common Stock, $0.00001 par value per share (“Common Stock”), of Aclaris Therapeutics, Inc., a Delaware corporation (“Issuer”). This Schedule 13D is being filed by Sofinnova Venture Partners VIII, L.P., a Delaware limited partnership (“SVP VIII”), Sofinnova Management VIII, L.L.C., a Delaware limited liability company (“SM VIII”), Dr. Srinivas Akkaraju (“Akkaraju”), Dr. Michael F. Powell (“Powell”), Dr. James I. Healy (“Healy”), and Dr. Anand Mehra (“Mehra” and collectively with SVP VIII, SM VIII, Akkaraju, Powell, and Healy, the “Reporting Persons”).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29"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class of equity securities to which this statement relates is the Common Stock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Issuer’s principal executive offices are located at 101 Lindenwood Drive, Suite 400, Malvern, PA 19355.</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29" w:lineRule="exact"/>
        <w:rPr>
          <w:sz w:val="20"/>
          <w:szCs w:val="20"/>
          <w:color w:val="auto"/>
        </w:rPr>
      </w:pPr>
    </w:p>
    <w:p>
      <w:pPr>
        <w:ind w:firstLine="656"/>
        <w:spacing w:after="0" w:line="308" w:lineRule="auto"/>
        <w:tabs>
          <w:tab w:leader="none" w:pos="151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persons and entities filing this Schedule 13D are SVP VIII, SM VIII, Akkaraju, Powell, Healy, and Mehra. SM VIII, the general partner of SVP VIII, may be deemed to have sole power to vote and sole power to dispose of shares of the Issuer directly owned by SVP VIII.</w:t>
      </w:r>
    </w:p>
    <w:p>
      <w:pPr>
        <w:spacing w:after="0" w:line="146" w:lineRule="exact"/>
        <w:rPr>
          <w:rFonts w:ascii="Arial" w:cs="Arial" w:eastAsia="Arial" w:hAnsi="Arial"/>
          <w:sz w:val="17"/>
          <w:szCs w:val="17"/>
          <w:color w:val="auto"/>
        </w:rPr>
      </w:pPr>
    </w:p>
    <w:p>
      <w:pPr>
        <w:ind w:firstLine="656"/>
        <w:spacing w:after="0" w:line="277" w:lineRule="auto"/>
        <w:tabs>
          <w:tab w:leader="none" w:pos="14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the principal place of business for each of the Reporting Persons is c/o Sofinnova Ventures, 3000 Sand Hill Road, Bldg 4, Suite 250, Menlo Park, California 94025.</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5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occupation of each of the Reporting Persons is the venture capital investment business. The principal business of SVP VIII is to make investments in private and public companies, and the principal business of SM VIII is to serve as the general partner of SVP VIII. Akkaraju, Powell, Healy and Mehra are the managing members of SM VIII. Mehra is a director of the Issuer.</w:t>
      </w:r>
    </w:p>
    <w:p>
      <w:pPr>
        <w:spacing w:after="0" w:line="181" w:lineRule="exact"/>
        <w:rPr>
          <w:rFonts w:ascii="Arial" w:cs="Arial" w:eastAsia="Arial" w:hAnsi="Arial"/>
          <w:sz w:val="18"/>
          <w:szCs w:val="18"/>
          <w:color w:val="auto"/>
        </w:rPr>
      </w:pPr>
    </w:p>
    <w:p>
      <w:pPr>
        <w:ind w:firstLine="656"/>
        <w:spacing w:after="0" w:line="277" w:lineRule="auto"/>
        <w:tabs>
          <w:tab w:leader="none" w:pos="1468"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92"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SVP VIII is a Delaware limited partnership. SM VIII is a Delaware limited liability company. Akkaraju, Powell, Healy, and Mehra are 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citizens.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August 2012, SVP VIII entered into a Series A investment agreement pursuant to which SVP VIII acquired from the Issuer an aggregate 2,000,000 shares of Series A redeemable convertible preferred shares for a purchase price of approximately $1.00 share, or $2,000,000 in the aggregate.</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September 2014, SVP VIII entered into a Series B investment agreement pursuant to which SVP VIII acquired from the Issuer an aggregate 2,424,242 shares of Series B redeemable convertible preferred shares for a purchase price of approximately $1.65 per share, or $4,000,000 in the aggregate.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2015, SVP VIII entered into a Series C investment agreement pursuant to which SVP VIII acquired from the Issuer an aggregate 2,063,107 shares of Series C convertible preferred shares for a purchase price of $3.09 per share, or $6,375,000 in the aggregate.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1-for-3.45 reverse stock split effected by the Issuer on September 24, 2015 and in connection with the Issuer’s initial public offering of Common Stock (“Offering”), each Series A, Series B, and Series C preferred share automatically converted into 0.289855 shares of Common Stock for 579,710, 702,678, and 598,002 shares of Common Stock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Offering, SVP VIII purchased 409,090 shares of Common Stock at $11 per share, or $4,499,990 in the aggregate. Such purchase occurred pursuant to and on the terms set forth in the Issuer’s Prospectus filed pursuant to Rule 424(b)(4) on October 8, 2015 with the Securities and Exchange Commission (the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source of the funds for all purchases and acquisitions by the Reporting Persons was from 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part of the purchase price was borrowed by any Reporting Person for the purpose of acquiring any securities discussed in this Item 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Reporting Persons hold their securities of the Issuer for investment purposes. Depending on the factors discussed herein, the Reporting Persons may, from time to time, acquire additional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(a,b) 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Percentage calculations were made using 20,157,503 as the number of shares of Common Stock outstanding on October 14, 2015 as provided to Reporting Persons by the Issuer.</w:t>
      </w:r>
    </w:p>
    <w:p>
      <w:pPr>
        <w:spacing w:after="0" w:line="193" w:lineRule="exact"/>
        <w:rPr>
          <w:sz w:val="20"/>
          <w:szCs w:val="20"/>
          <w:color w:val="auto"/>
        </w:rPr>
      </w:pPr>
    </w:p>
    <w:p>
      <w:pPr>
        <w:ind w:left="1360" w:hanging="704"/>
        <w:spacing w:after="0"/>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set forth in Item 3 above, the Reporting Persons have not effected any transaction in the Common Stock of the Issuer during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656"/>
        <w:spacing w:after="0" w:line="264" w:lineRule="auto"/>
        <w:tabs>
          <w:tab w:leader="none" w:pos="1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certain circumstances set forth in the limited partnership agreement of SVP VIII, the general partner and limited partners of SVP VIII may be deemed to have the right to receive dividends from, or the proceeds from, the sale of shares of the Issuer owned by such entity of which they are a partner.</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a lock-up agreement filed as Exhibit A to the Underwriting Agreement entered into with Jeffries LLC and Citigroup Global Markets, Inc. as Representatives of the several underwriters in connection with the Offering, the Reporting Persons are subject to a lock-up period continuing and including the date 180 days after the date of the Prospectus, during which the Reporting Persons have agreed, subject to limited exceptions, not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enter into any swap or other arrangement that transfers to another, in whole or in part, any of the economic consequences of ownership of Common Stock without the consent of the underwriters. The lock-up is more fully described in Exhibit A to the Underwriting Agreement filed as Exhibit 1.1 in Amendment No. 2 to the Issuer’s Registration Statement on Form S-1 (as amended from time to time) (File No. 333-206437), and is incorporated herein by reference.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Reporting Persons are party to a Second Amended and Restated Investors’ Rights Agreement among the Issuer, the Reporting Persons and other shareholders. Subject to the terms of the Second Amended and Restated Investors’ Rights Agreement, holders of Common Stock having registration rights can demand that the Issuer file a registration statement or request that their shares be covered by a registration statement that the Issuer is otherwise filing. The Investors’ Rights Agreement dated as August 28, 2015 is filed as Exhibit 10.5 in Amendment No. 1 to the Issuer’s Registration Statement on Form S-1 (as amended from time to time) (File No. 333-206437), and is incorporated herein by reference.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Mehra, in his capacity as a director of the Issuer, along with the other directors of the Issuer, entered into an Indemnification Agreement with the Issuer, as more fully described in the Prospectus and incorporated herein by reference to Exhibit 10.12 to the Issuer’s Registration Statement on Form S-1 (File No. 333-206437).</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EXHIBIT A</w:t>
            </w:r>
          </w:p>
        </w:tc>
        <w:tc>
          <w:tcPr>
            <w:tcW w:w="9540" w:type="dxa"/>
            <w:vAlign w:val="bottom"/>
          </w:tcPr>
          <w:p>
            <w:pPr>
              <w:ind w:left="1000"/>
              <w:spacing w:after="0"/>
              <w:rPr>
                <w:sz w:val="20"/>
                <w:szCs w:val="20"/>
                <w:color w:val="auto"/>
              </w:rPr>
            </w:pPr>
            <w:r>
              <w:rPr>
                <w:rFonts w:ascii="Arial" w:cs="Arial" w:eastAsia="Arial" w:hAnsi="Arial"/>
                <w:sz w:val="18"/>
                <w:szCs w:val="18"/>
                <w:color w:val="auto"/>
              </w:rPr>
              <w:t>Agreement of Joint Filing.</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EXHIBIT B</w:t>
            </w:r>
          </w:p>
        </w:tc>
        <w:tc>
          <w:tcPr>
            <w:tcW w:w="9540" w:type="dxa"/>
            <w:vAlign w:val="bottom"/>
          </w:tcPr>
          <w:p>
            <w:pPr>
              <w:ind w:left="1000"/>
              <w:spacing w:after="0"/>
              <w:rPr>
                <w:sz w:val="20"/>
                <w:szCs w:val="20"/>
                <w:color w:val="auto"/>
              </w:rPr>
            </w:pPr>
            <w:r>
              <w:rPr>
                <w:rFonts w:ascii="Arial" w:cs="Arial" w:eastAsia="Arial" w:hAnsi="Arial"/>
                <w:sz w:val="18"/>
                <w:szCs w:val="18"/>
                <w:color w:val="auto"/>
              </w:rPr>
              <w:t>Power of Attorney</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EXHIBIT C</w:t>
            </w:r>
          </w:p>
        </w:tc>
        <w:tc>
          <w:tcPr>
            <w:tcW w:w="9540" w:type="dxa"/>
            <w:vAlign w:val="bottom"/>
          </w:tcPr>
          <w:p>
            <w:pPr>
              <w:ind w:left="1000"/>
              <w:spacing w:after="0"/>
              <w:rPr>
                <w:sz w:val="20"/>
                <w:szCs w:val="20"/>
                <w:color w:val="auto"/>
              </w:rPr>
            </w:pPr>
            <w:r>
              <w:rPr>
                <w:rFonts w:ascii="Arial" w:cs="Arial" w:eastAsia="Arial" w:hAnsi="Arial"/>
                <w:sz w:val="18"/>
                <w:szCs w:val="18"/>
                <w:color w:val="auto"/>
                <w:w w:val="97"/>
              </w:rPr>
              <w:t>Form of Lock-Up Agreement entered into by and among the Issuer, the underwriters and certain others, and is</w:t>
            </w:r>
          </w:p>
        </w:tc>
      </w:tr>
      <w:tr>
        <w:trPr>
          <w:trHeight w:val="216"/>
        </w:trPr>
        <w:tc>
          <w:tcPr>
            <w:tcW w:w="1880" w:type="dxa"/>
            <w:vAlign w:val="bottom"/>
          </w:tcPr>
          <w:p>
            <w:pPr>
              <w:spacing w:after="0"/>
              <w:rPr>
                <w:sz w:val="18"/>
                <w:szCs w:val="18"/>
                <w:color w:val="auto"/>
              </w:rPr>
            </w:pPr>
          </w:p>
        </w:tc>
        <w:tc>
          <w:tcPr>
            <w:tcW w:w="9540" w:type="dxa"/>
            <w:vAlign w:val="bottom"/>
          </w:tcPr>
          <w:p>
            <w:pPr>
              <w:ind w:left="1000"/>
              <w:spacing w:after="0"/>
              <w:rPr>
                <w:sz w:val="20"/>
                <w:szCs w:val="20"/>
                <w:color w:val="auto"/>
              </w:rPr>
            </w:pPr>
            <w:r>
              <w:rPr>
                <w:rFonts w:ascii="Arial" w:cs="Arial" w:eastAsia="Arial" w:hAnsi="Arial"/>
                <w:sz w:val="18"/>
                <w:szCs w:val="18"/>
                <w:color w:val="auto"/>
                <w:w w:val="93"/>
              </w:rPr>
              <w:t>incorporated herein by reference to Exhibit A to the Underwriting Agreement filed as Exhibit 1.1 in Amendment No.</w:t>
            </w:r>
          </w:p>
        </w:tc>
      </w:tr>
      <w:tr>
        <w:trPr>
          <w:trHeight w:val="216"/>
        </w:trPr>
        <w:tc>
          <w:tcPr>
            <w:tcW w:w="1880" w:type="dxa"/>
            <w:vAlign w:val="bottom"/>
          </w:tcPr>
          <w:p>
            <w:pPr>
              <w:spacing w:after="0"/>
              <w:rPr>
                <w:sz w:val="18"/>
                <w:szCs w:val="18"/>
                <w:color w:val="auto"/>
              </w:rPr>
            </w:pPr>
          </w:p>
        </w:tc>
        <w:tc>
          <w:tcPr>
            <w:tcW w:w="9540" w:type="dxa"/>
            <w:vAlign w:val="bottom"/>
          </w:tcPr>
          <w:p>
            <w:pPr>
              <w:ind w:left="1000"/>
              <w:spacing w:after="0"/>
              <w:rPr>
                <w:sz w:val="20"/>
                <w:szCs w:val="20"/>
                <w:color w:val="auto"/>
              </w:rPr>
            </w:pPr>
            <w:r>
              <w:rPr>
                <w:rFonts w:ascii="Arial" w:cs="Arial" w:eastAsia="Arial" w:hAnsi="Arial"/>
                <w:sz w:val="18"/>
                <w:szCs w:val="18"/>
                <w:color w:val="auto"/>
              </w:rPr>
              <w:t>2 to the Issuer’s Registration Statement on Form S-1 (File No. 333-206437).</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EXHIBIT D</w:t>
            </w:r>
          </w:p>
        </w:tc>
        <w:tc>
          <w:tcPr>
            <w:tcW w:w="9540" w:type="dxa"/>
            <w:vAlign w:val="bottom"/>
          </w:tcPr>
          <w:p>
            <w:pPr>
              <w:ind w:left="1000"/>
              <w:spacing w:after="0"/>
              <w:rPr>
                <w:sz w:val="20"/>
                <w:szCs w:val="20"/>
                <w:color w:val="auto"/>
              </w:rPr>
            </w:pPr>
            <w:r>
              <w:rPr>
                <w:rFonts w:ascii="Arial" w:cs="Arial" w:eastAsia="Arial" w:hAnsi="Arial"/>
                <w:sz w:val="18"/>
                <w:szCs w:val="18"/>
                <w:color w:val="auto"/>
                <w:w w:val="96"/>
              </w:rPr>
              <w:t>Form of Indemnification Agreement for Directors and Officers, filed as Exhibit 10.12 to the Issuer’s Registration</w:t>
            </w:r>
          </w:p>
        </w:tc>
      </w:tr>
      <w:tr>
        <w:trPr>
          <w:trHeight w:val="216"/>
        </w:trPr>
        <w:tc>
          <w:tcPr>
            <w:tcW w:w="1880" w:type="dxa"/>
            <w:vAlign w:val="bottom"/>
          </w:tcPr>
          <w:p>
            <w:pPr>
              <w:spacing w:after="0"/>
              <w:rPr>
                <w:sz w:val="18"/>
                <w:szCs w:val="18"/>
                <w:color w:val="auto"/>
              </w:rPr>
            </w:pPr>
          </w:p>
        </w:tc>
        <w:tc>
          <w:tcPr>
            <w:tcW w:w="9540" w:type="dxa"/>
            <w:vAlign w:val="bottom"/>
          </w:tcPr>
          <w:p>
            <w:pPr>
              <w:ind w:left="1000"/>
              <w:spacing w:after="0"/>
              <w:rPr>
                <w:sz w:val="20"/>
                <w:szCs w:val="20"/>
                <w:color w:val="auto"/>
              </w:rPr>
            </w:pPr>
            <w:r>
              <w:rPr>
                <w:rFonts w:ascii="Arial" w:cs="Arial" w:eastAsia="Arial" w:hAnsi="Arial"/>
                <w:sz w:val="18"/>
                <w:szCs w:val="18"/>
                <w:color w:val="auto"/>
              </w:rPr>
              <w:t>Statement on Form S-1 (File No. 333-206437) is incorporated herein by reference.</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EXHIBIT E</w:t>
            </w:r>
          </w:p>
        </w:tc>
        <w:tc>
          <w:tcPr>
            <w:tcW w:w="9540" w:type="dxa"/>
            <w:vAlign w:val="bottom"/>
          </w:tcPr>
          <w:p>
            <w:pPr>
              <w:ind w:left="1000"/>
              <w:spacing w:after="0"/>
              <w:rPr>
                <w:sz w:val="20"/>
                <w:szCs w:val="20"/>
                <w:color w:val="auto"/>
              </w:rPr>
            </w:pPr>
            <w:r>
              <w:rPr>
                <w:rFonts w:ascii="Arial" w:cs="Arial" w:eastAsia="Arial" w:hAnsi="Arial"/>
                <w:sz w:val="18"/>
                <w:szCs w:val="18"/>
                <w:color w:val="auto"/>
                <w:w w:val="90"/>
              </w:rPr>
              <w:t>Second Amended and Restated Investors’ Rights Agreement dated as of August 28, 2015, was filed as Exhibit 10.5 in</w:t>
            </w:r>
          </w:p>
        </w:tc>
      </w:tr>
      <w:tr>
        <w:trPr>
          <w:trHeight w:val="216"/>
        </w:trPr>
        <w:tc>
          <w:tcPr>
            <w:tcW w:w="1880" w:type="dxa"/>
            <w:vAlign w:val="bottom"/>
          </w:tcPr>
          <w:p>
            <w:pPr>
              <w:spacing w:after="0"/>
              <w:rPr>
                <w:sz w:val="18"/>
                <w:szCs w:val="18"/>
                <w:color w:val="auto"/>
              </w:rPr>
            </w:pPr>
          </w:p>
        </w:tc>
        <w:tc>
          <w:tcPr>
            <w:tcW w:w="9540" w:type="dxa"/>
            <w:vAlign w:val="bottom"/>
          </w:tcPr>
          <w:p>
            <w:pPr>
              <w:ind w:left="1000"/>
              <w:spacing w:after="0"/>
              <w:rPr>
                <w:sz w:val="20"/>
                <w:szCs w:val="20"/>
                <w:color w:val="auto"/>
              </w:rPr>
            </w:pPr>
            <w:r>
              <w:rPr>
                <w:rFonts w:ascii="Arial" w:cs="Arial" w:eastAsia="Arial" w:hAnsi="Arial"/>
                <w:sz w:val="18"/>
                <w:szCs w:val="18"/>
                <w:color w:val="auto"/>
                <w:w w:val="92"/>
              </w:rPr>
              <w:t>Amendment No. 1 to the Issuer’s Registration Statement on Form S-1 (as amended from time to time) (File No. 333-</w:t>
            </w:r>
          </w:p>
        </w:tc>
      </w:tr>
      <w:tr>
        <w:trPr>
          <w:trHeight w:val="230"/>
        </w:trPr>
        <w:tc>
          <w:tcPr>
            <w:tcW w:w="1880" w:type="dxa"/>
            <w:vAlign w:val="bottom"/>
          </w:tcPr>
          <w:p>
            <w:pPr>
              <w:spacing w:after="0"/>
              <w:rPr>
                <w:sz w:val="20"/>
                <w:szCs w:val="20"/>
                <w:color w:val="auto"/>
              </w:rPr>
            </w:pPr>
          </w:p>
        </w:tc>
        <w:tc>
          <w:tcPr>
            <w:tcW w:w="9540" w:type="dxa"/>
            <w:vAlign w:val="bottom"/>
          </w:tcPr>
          <w:p>
            <w:pPr>
              <w:ind w:left="1000"/>
              <w:spacing w:after="0"/>
              <w:rPr>
                <w:sz w:val="20"/>
                <w:szCs w:val="20"/>
                <w:color w:val="auto"/>
              </w:rPr>
            </w:pPr>
            <w:r>
              <w:rPr>
                <w:rFonts w:ascii="Arial" w:cs="Arial" w:eastAsia="Arial" w:hAnsi="Arial"/>
                <w:sz w:val="18"/>
                <w:szCs w:val="18"/>
                <w:color w:val="auto"/>
              </w:rPr>
              <w:t>206437) is incorporated herein by reference.</w:t>
            </w:r>
          </w:p>
        </w:tc>
      </w:tr>
      <w:tr>
        <w:trPr>
          <w:trHeight w:val="675"/>
        </w:trPr>
        <w:tc>
          <w:tcPr>
            <w:tcW w:w="188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SOFINNOVA VENTURE PARTNERS VIII, L.P.,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SOFINNOVA MANAGEMENT VIII,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Auber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Auber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SOFINNOVA MANAGEMENT VIII, L.L.C., a Delaware Limited Liability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Auber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Auber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SRINIVAS AKKARAJU</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JAMES I. HEALY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MICHAEL F. POWELL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ANAND MEHRA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Auber</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Auber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380" w:hanging="863"/>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of Joint Filing.</w:t>
      </w:r>
    </w:p>
    <w:p>
      <w:pPr>
        <w:spacing w:after="0" w:line="23" w:lineRule="exact"/>
        <w:rPr>
          <w:sz w:val="20"/>
          <w:szCs w:val="20"/>
          <w:color w:val="auto"/>
        </w:rPr>
      </w:pPr>
    </w:p>
    <w:p>
      <w:pPr>
        <w:ind w:left="1380" w:hanging="858"/>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9" w:lineRule="exact"/>
        <w:rPr>
          <w:sz w:val="20"/>
          <w:szCs w:val="20"/>
          <w:color w:val="auto"/>
        </w:rPr>
      </w:pPr>
    </w:p>
    <w:p>
      <w:pPr>
        <w:ind w:left="1380" w:hanging="858"/>
        <w:spacing w:after="0"/>
        <w:tabs>
          <w:tab w:leader="none" w:pos="1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Form of Lock-Up Agreement entered into by and among the Issuer, the underwriters and certain others, and is incorporated herein by</w:t>
      </w:r>
    </w:p>
    <w:p>
      <w:pPr>
        <w:spacing w:after="0" w:line="21" w:lineRule="exact"/>
        <w:rPr>
          <w:sz w:val="20"/>
          <w:szCs w:val="20"/>
          <w:color w:val="auto"/>
        </w:rPr>
      </w:pPr>
    </w:p>
    <w:p>
      <w:pPr>
        <w:ind w:left="1380" w:right="20"/>
        <w:spacing w:after="0" w:line="250" w:lineRule="auto"/>
        <w:rPr>
          <w:sz w:val="20"/>
          <w:szCs w:val="20"/>
          <w:color w:val="auto"/>
        </w:rPr>
      </w:pPr>
      <w:r>
        <w:rPr>
          <w:rFonts w:ascii="Arial" w:cs="Arial" w:eastAsia="Arial" w:hAnsi="Arial"/>
          <w:sz w:val="18"/>
          <w:szCs w:val="18"/>
          <w:color w:val="auto"/>
        </w:rPr>
        <w:t>reference to Exhibit A to the Underwriting Agreement filed as Exhibit 1.1 in Amendment No. 2 to the Issuer’s Registration Statement on Form S-1 (File No. 333-206437).</w:t>
      </w:r>
    </w:p>
    <w:p>
      <w:pPr>
        <w:spacing w:after="0" w:line="1" w:lineRule="exact"/>
        <w:rPr>
          <w:sz w:val="20"/>
          <w:szCs w:val="20"/>
          <w:color w:val="auto"/>
        </w:rPr>
      </w:pPr>
    </w:p>
    <w:p>
      <w:pPr>
        <w:ind w:left="1380" w:hanging="863"/>
        <w:spacing w:after="0"/>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Form of Indemnification Agreement for Directors and Officers, filed as Exhibit 10.12 to the Issuer’s Registration Statement on Form S-1</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(File No. 333-206437) is incorporated herein by reference.</w:t>
      </w:r>
    </w:p>
    <w:p>
      <w:pPr>
        <w:spacing w:after="0" w:line="9" w:lineRule="exact"/>
        <w:rPr>
          <w:sz w:val="20"/>
          <w:szCs w:val="20"/>
          <w:color w:val="auto"/>
        </w:rPr>
      </w:pPr>
    </w:p>
    <w:p>
      <w:pPr>
        <w:jc w:val="both"/>
        <w:ind w:left="1380" w:hanging="853"/>
        <w:spacing w:after="0" w:line="255"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Amended and Restated Investors’ Rights Agreement dated as of August 28, 2015, was filed as Exhibit 10.5 in Amendment No. 1 to the Issuer’s Registration Statement on Form S-1 (as amended from time to time) (File No. 333-206437)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agree that a single Schedule 13D (or any amendment thereto) relating to the Common Stock of Aclaris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filed on behalf of each of the undersigned and that this Agreement shall be filed as an exhibit to such Schedule 13D.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SOFINNOVA VENTURE PARTNERS VIII, L.P.,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SOFINNOVA MANAGEMENT VIII,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Auber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Auber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SOFINNOVA MANAGEMENT VIII, a Delaware Limited Liability Company</w:t>
      </w:r>
    </w:p>
    <w:p>
      <w:pPr>
        <w:spacing w:after="0" w:line="23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Auber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Auber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SRINIVAS AKKARAJU</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JAMES I. HEALY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MICHAEL F. POWELL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ANAND MEHRA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Auber</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Auber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Nathalie Auber has signed this Schedule 13D as Attorney-In-Fact. Note that copies of the applicable Power of Attorney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A"/>
      <w:numFmt w:val="bullet"/>
      <w:start w:val="1"/>
    </w:lvl>
  </w:abstractNum>
  <w:abstractNum w:abstractNumId="5">
    <w:nsid w:val="79E2A9E3"/>
    <w:multiLevelType w:val="hybridMultilevel"/>
    <w:lvl w:ilvl="0">
      <w:lvlJc w:val="left"/>
      <w:lvlText w:val="B"/>
      <w:numFmt w:val="bullet"/>
      <w:start w:val="1"/>
    </w:lvl>
  </w:abstractNum>
  <w:abstractNum w:abstractNumId="6">
    <w:nsid w:val="7545E146"/>
    <w:multiLevelType w:val="hybridMultilevel"/>
    <w:lvl w:ilvl="0">
      <w:lvlJc w:val="left"/>
      <w:lvlText w:val="C"/>
      <w:numFmt w:val="bullet"/>
      <w:start w:val="1"/>
    </w:lvl>
  </w:abstractNum>
  <w:abstractNum w:abstractNumId="7">
    <w:nsid w:val="515F007C"/>
    <w:multiLevelType w:val="hybridMultilevel"/>
    <w:lvl w:ilvl="0">
      <w:lvlJc w:val="left"/>
      <w:lvlText w:val="D"/>
      <w:numFmt w:val="bullet"/>
      <w:start w:val="1"/>
    </w:lvl>
  </w:abstractNum>
  <w:abstractNum w:abstractNumId="8">
    <w:nsid w:val="5BD062C2"/>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2019-12-17T06:40:03Z</dcterms:created>
  <dcterms:modified xsi:type="dcterms:W3CDTF">2019-12-17T06:40:03Z</dcterms:modified>
</cp:coreProperties>
</file>