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Aclaris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9,345,000.00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9,345,000.00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9,345,000.00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9,345,000.00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9,345,000.00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9,345,000.00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Aclaris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Lee Road, Suite 103, Wayne, PENNSYLVANIA, 19087.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9,345,000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9,345,000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9,345,000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03/16/2026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03/16/2026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03/16/2026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March 16, 2026 is incorporated by reference to items (5) - (9) and (11) of the cover page of the respective Reporting Person. The amount beneficially owned by each Reporting Person is determined using 133,295,189 shares, calculated using 120,595,189 Common Stock outstanding as of January 30, 2026, as reported by the issuer on its 10-K filed with the SEC on February 26, 2026 and 12.7 million shares sold from 3/2/26 through 3/9/26 pursuant to sales agreement with Leerink Partners LLC and Cantor Fitgerald &amp; Co as disclosed in the 8K filed on March 9,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March 16,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1384</Words>
  <Characters>7175</Characters>
  <CharactersWithSpaces>8509</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