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45"/>
          <w:szCs w:val="45"/>
          <w:b w:val="1"/>
          <w:bCs w:val="1"/>
          <w:color w:val="000011"/>
        </w:rPr>
        <w:t>2025 ANNUAL REPORT</w:t>
      </w:r>
    </w:p>
    <w:p>
      <w:pPr>
        <w:sectPr>
          <w:pgSz w:w="11880" w:h="15480" w:orient="portrait"/>
          <w:cols w:equalWidth="0" w:num="1">
            <w:col w:w="9700"/>
          </w:cols>
          <w:pgMar w:left="74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47"/>
          <w:szCs w:val="47"/>
          <w:color w:val="000011"/>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EMPOWERING PATIENTS THROUGH</w:t>
      </w:r>
    </w:p>
    <w:p>
      <w:pPr>
        <w:spacing w:after="0" w:line="61" w:lineRule="exact"/>
        <w:rPr>
          <w:sz w:val="20"/>
          <w:szCs w:val="20"/>
          <w:color w:val="auto"/>
        </w:rPr>
      </w:pPr>
    </w:p>
    <w:p>
      <w:pPr>
        <w:spacing w:after="0"/>
        <w:rPr>
          <w:sz w:val="20"/>
          <w:szCs w:val="20"/>
          <w:color w:val="auto"/>
        </w:rPr>
      </w:pPr>
      <w:r>
        <w:rPr>
          <w:rFonts w:ascii="Arial" w:cs="Arial" w:eastAsia="Arial" w:hAnsi="Arial"/>
          <w:sz w:val="66"/>
          <w:szCs w:val="66"/>
          <w:b w:val="1"/>
          <w:bCs w:val="1"/>
          <w:color w:val="000011"/>
        </w:rPr>
        <w:t>THERAPEUTIC INNOVATION</w:t>
      </w:r>
    </w:p>
    <w:p>
      <w:pPr>
        <w:sectPr>
          <w:pgSz w:w="11880" w:h="15480" w:orient="portrait"/>
          <w:cols w:equalWidth="0" w:num="1">
            <w:col w:w="9060"/>
          </w:cols>
          <w:pgMar w:left="1420" w:top="231" w:right="1400"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mc:AlternateContent>
          <mc:Choice Requires="wps">
            <w:drawing>
              <wp:anchor simplePos="0" relativeHeight="251657728" behindDoc="1" locked="0" layoutInCell="0" allowOverlap="1">
                <wp:simplePos x="0" y="0"/>
                <wp:positionH relativeFrom="page">
                  <wp:posOffset>424180</wp:posOffset>
                </wp:positionH>
                <wp:positionV relativeFrom="page">
                  <wp:posOffset>673735</wp:posOffset>
                </wp:positionV>
                <wp:extent cx="669480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4805" cy="4763"/>
                        </a:xfrm>
                        <a:prstGeom prst="line">
                          <a:avLst/>
                        </a:prstGeom>
                        <a:solidFill>
                          <a:srgbClr val="FFFFFF"/>
                        </a:solidFill>
                        <a:ln w="35848">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4pt,53.05pt" to="560.55pt,53.05pt" o:allowincell="f" strokecolor="#000000" strokeweight="2.8227pt">
                <w10:wrap anchorx="page" anchory="page"/>
              </v:line>
            </w:pict>
          </mc:Fallback>
        </mc:AlternateContent>
        <mc:AlternateContent>
          <mc:Choice Requires="wps">
            <w:drawing>
              <wp:anchor simplePos="0" relativeHeight="251657728" behindDoc="1" locked="0" layoutInCell="0" allowOverlap="1">
                <wp:simplePos x="0" y="0"/>
                <wp:positionH relativeFrom="page">
                  <wp:posOffset>424180</wp:posOffset>
                </wp:positionH>
                <wp:positionV relativeFrom="page">
                  <wp:posOffset>704850</wp:posOffset>
                </wp:positionV>
                <wp:extent cx="669480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4805" cy="4763"/>
                        </a:xfrm>
                        <a:prstGeom prst="line">
                          <a:avLst/>
                        </a:prstGeom>
                        <a:solidFill>
                          <a:srgbClr val="FFFFFF"/>
                        </a:solidFill>
                        <a:ln w="859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4pt,55.5pt" to="560.55pt,55.5pt" o:allowincell="f" strokecolor="#000000" strokeweight="0.677pt">
                <w10:wrap anchorx="page" anchory="page"/>
              </v:line>
            </w:pict>
          </mc:Fallback>
        </mc:AlternateContent>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2493010</wp:posOffset>
                </wp:positionH>
                <wp:positionV relativeFrom="paragraph">
                  <wp:posOffset>184785</wp:posOffset>
                </wp:positionV>
                <wp:extent cx="166560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5605" cy="4763"/>
                        </a:xfrm>
                        <a:prstGeom prst="line">
                          <a:avLst/>
                        </a:prstGeom>
                        <a:solidFill>
                          <a:srgbClr val="FFFFFF"/>
                        </a:solidFill>
                        <a:ln w="1218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3pt,14.55pt" to="327.45pt,14.55pt" o:allowincell="f" strokecolor="#000000" strokeweight="0.9592pt"/>
            </w:pict>
          </mc:Fallback>
        </mc:AlternateConten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8"/>
              </w:rPr>
              <w:t>FORM 10-K</w:t>
            </w:r>
          </w:p>
        </w:tc>
        <w:tc>
          <w:tcPr>
            <w:tcW w:w="3640" w:type="dxa"/>
            <w:vAlign w:val="bottom"/>
          </w:tcPr>
          <w:p>
            <w:pPr>
              <w:spacing w:after="0"/>
              <w:rPr>
                <w:sz w:val="17"/>
                <w:szCs w:val="17"/>
                <w:color w:val="auto"/>
              </w:rPr>
            </w:pPr>
          </w:p>
        </w:tc>
      </w:tr>
      <w:tr>
        <w:trPr>
          <w:trHeight w:val="333"/>
        </w:trPr>
        <w:tc>
          <w:tcPr>
            <w:tcW w:w="2960" w:type="dxa"/>
            <w:vAlign w:val="bottom"/>
          </w:tcPr>
          <w:p>
            <w:pPr>
              <w:spacing w:after="0"/>
              <w:rPr>
                <w:sz w:val="24"/>
                <w:szCs w:val="24"/>
                <w:color w:val="auto"/>
              </w:rPr>
            </w:pPr>
          </w:p>
        </w:tc>
        <w:tc>
          <w:tcPr>
            <w:tcW w:w="7520" w:type="dxa"/>
            <w:vAlign w:val="bottom"/>
            <w:gridSpan w:val="6"/>
          </w:tcPr>
          <w:p>
            <w:pPr>
              <w:jc w:val="center"/>
              <w:ind w:right="2885"/>
              <w:spacing w:after="0"/>
              <w:rPr>
                <w:sz w:val="20"/>
                <w:szCs w:val="20"/>
                <w:color w:val="auto"/>
              </w:rPr>
            </w:pPr>
            <w:r>
              <w:rPr>
                <w:rFonts w:ascii="Arial" w:cs="Arial" w:eastAsia="Arial" w:hAnsi="Arial"/>
                <w:sz w:val="15"/>
                <w:szCs w:val="15"/>
                <w:b w:val="1"/>
                <w:bCs w:val="1"/>
                <w:color w:val="auto"/>
                <w:w w:val="98"/>
              </w:rPr>
              <w:t>ANNUAL REPORT PURSUANT TO SECTION 13 OR 15(d) OF</w:t>
            </w:r>
          </w:p>
        </w:tc>
      </w:tr>
      <w:tr>
        <w:trPr>
          <w:trHeight w:val="206"/>
        </w:trPr>
        <w:tc>
          <w:tcPr>
            <w:tcW w:w="2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4"/>
          </w:tcPr>
          <w:p>
            <w:pPr>
              <w:jc w:val="center"/>
              <w:ind w:left="185"/>
              <w:spacing w:after="0"/>
              <w:rPr>
                <w:sz w:val="20"/>
                <w:szCs w:val="20"/>
                <w:color w:val="auto"/>
              </w:rPr>
            </w:pPr>
            <w:r>
              <w:rPr>
                <w:rFonts w:ascii="Arial" w:cs="Arial" w:eastAsia="Arial" w:hAnsi="Arial"/>
                <w:sz w:val="15"/>
                <w:szCs w:val="15"/>
                <w:b w:val="1"/>
                <w:bCs w:val="1"/>
                <w:color w:val="auto"/>
              </w:rPr>
              <w:t>THE SECURITIES EXCHANGE ACT OF 1934</w:t>
            </w:r>
          </w:p>
        </w:tc>
        <w:tc>
          <w:tcPr>
            <w:tcW w:w="3640" w:type="dxa"/>
            <w:vAlign w:val="bottom"/>
          </w:tcPr>
          <w:p>
            <w:pPr>
              <w:spacing w:after="0"/>
              <w:rPr>
                <w:sz w:val="17"/>
                <w:szCs w:val="17"/>
                <w:color w:val="auto"/>
              </w:rPr>
            </w:pPr>
          </w:p>
        </w:tc>
      </w:tr>
      <w:tr>
        <w:trPr>
          <w:trHeight w:val="387"/>
        </w:trPr>
        <w:tc>
          <w:tcPr>
            <w:tcW w:w="6840" w:type="dxa"/>
            <w:vAlign w:val="bottom"/>
            <w:gridSpan w:val="6"/>
          </w:tcPr>
          <w:p>
            <w:pPr>
              <w:jc w:val="center"/>
              <w:ind w:right="1640"/>
              <w:spacing w:after="0"/>
              <w:rPr>
                <w:sz w:val="20"/>
                <w:szCs w:val="20"/>
                <w:color w:val="auto"/>
              </w:rPr>
            </w:pPr>
            <w:r>
              <w:rPr>
                <w:rFonts w:ascii="Arial" w:cs="Arial" w:eastAsia="Arial" w:hAnsi="Arial"/>
                <w:sz w:val="15"/>
                <w:szCs w:val="15"/>
                <w:b w:val="1"/>
                <w:bCs w:val="1"/>
                <w:color w:val="auto"/>
                <w:w w:val="89"/>
              </w:rPr>
              <w:t>For the fiscal year ended December 31, 2025</w:t>
            </w:r>
          </w:p>
        </w:tc>
        <w:tc>
          <w:tcPr>
            <w:tcW w:w="3640" w:type="dxa"/>
            <w:vAlign w:val="bottom"/>
          </w:tcPr>
          <w:p>
            <w:pPr>
              <w:jc w:val="center"/>
              <w:ind w:right="1185"/>
              <w:spacing w:after="0"/>
              <w:rPr>
                <w:sz w:val="20"/>
                <w:szCs w:val="20"/>
                <w:color w:val="auto"/>
              </w:rPr>
            </w:pPr>
            <w:r>
              <w:rPr>
                <w:rFonts w:ascii="Arial" w:cs="Arial" w:eastAsia="Arial" w:hAnsi="Arial"/>
                <w:sz w:val="15"/>
                <w:szCs w:val="15"/>
                <w:b w:val="1"/>
                <w:bCs w:val="1"/>
                <w:color w:val="auto"/>
                <w:w w:val="90"/>
              </w:rPr>
              <w:t>Commission file number 001-37581</w:t>
            </w:r>
          </w:p>
        </w:tc>
      </w:tr>
      <w:tr>
        <w:trPr>
          <w:trHeight w:val="341"/>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rPr>
              <w:t>ACLARIS THERAPEUTICS, INC.</w:t>
            </w:r>
          </w:p>
        </w:tc>
        <w:tc>
          <w:tcPr>
            <w:tcW w:w="3640" w:type="dxa"/>
            <w:vAlign w:val="bottom"/>
          </w:tcPr>
          <w:p>
            <w:pPr>
              <w:spacing w:after="0"/>
              <w:rPr>
                <w:sz w:val="24"/>
                <w:szCs w:val="24"/>
                <w:color w:val="auto"/>
              </w:rPr>
            </w:pPr>
          </w:p>
        </w:tc>
      </w:tr>
      <w:tr>
        <w:trPr>
          <w:trHeight w:val="393"/>
        </w:trPr>
        <w:tc>
          <w:tcPr>
            <w:tcW w:w="6840" w:type="dxa"/>
            <w:vAlign w:val="bottom"/>
            <w:gridSpan w:val="6"/>
          </w:tcPr>
          <w:p>
            <w:pPr>
              <w:jc w:val="center"/>
              <w:ind w:right="1600"/>
              <w:spacing w:after="0"/>
              <w:rPr>
                <w:sz w:val="20"/>
                <w:szCs w:val="20"/>
                <w:color w:val="auto"/>
              </w:rPr>
            </w:pPr>
            <w:r>
              <w:rPr>
                <w:rFonts w:ascii="Arial" w:cs="Arial" w:eastAsia="Arial" w:hAnsi="Arial"/>
                <w:sz w:val="15"/>
                <w:szCs w:val="15"/>
                <w:color w:val="auto"/>
                <w:w w:val="91"/>
              </w:rPr>
              <w:t>Incorporated under the Laws of the</w:t>
            </w:r>
          </w:p>
        </w:tc>
        <w:tc>
          <w:tcPr>
            <w:tcW w:w="3640" w:type="dxa"/>
            <w:vAlign w:val="bottom"/>
          </w:tcPr>
          <w:p>
            <w:pPr>
              <w:jc w:val="center"/>
              <w:ind w:right="1125"/>
              <w:spacing w:after="0"/>
              <w:rPr>
                <w:sz w:val="20"/>
                <w:szCs w:val="20"/>
                <w:color w:val="auto"/>
              </w:rPr>
            </w:pPr>
            <w:r>
              <w:rPr>
                <w:rFonts w:ascii="Arial" w:cs="Arial" w:eastAsia="Arial" w:hAnsi="Arial"/>
                <w:sz w:val="15"/>
                <w:szCs w:val="15"/>
                <w:color w:val="auto"/>
                <w:w w:val="94"/>
              </w:rPr>
              <w:t>I.R.S. Employer Identification No.</w:t>
            </w:r>
          </w:p>
        </w:tc>
      </w:tr>
      <w:tr>
        <w:trPr>
          <w:trHeight w:val="206"/>
        </w:trPr>
        <w:tc>
          <w:tcPr>
            <w:tcW w:w="6840" w:type="dxa"/>
            <w:vAlign w:val="bottom"/>
            <w:gridSpan w:val="6"/>
          </w:tcPr>
          <w:p>
            <w:pPr>
              <w:jc w:val="center"/>
              <w:ind w:right="1620"/>
              <w:spacing w:after="0"/>
              <w:rPr>
                <w:sz w:val="20"/>
                <w:szCs w:val="20"/>
                <w:color w:val="auto"/>
              </w:rPr>
            </w:pPr>
            <w:r>
              <w:rPr>
                <w:rFonts w:ascii="Arial" w:cs="Arial" w:eastAsia="Arial" w:hAnsi="Arial"/>
                <w:sz w:val="15"/>
                <w:szCs w:val="15"/>
                <w:b w:val="1"/>
                <w:bCs w:val="1"/>
                <w:color w:val="auto"/>
                <w:w w:val="91"/>
              </w:rPr>
              <w:t>State of Delaware</w:t>
            </w:r>
          </w:p>
        </w:tc>
        <w:tc>
          <w:tcPr>
            <w:tcW w:w="3640" w:type="dxa"/>
            <w:vAlign w:val="bottom"/>
          </w:tcPr>
          <w:p>
            <w:pPr>
              <w:jc w:val="center"/>
              <w:ind w:right="1125"/>
              <w:spacing w:after="0"/>
              <w:rPr>
                <w:sz w:val="20"/>
                <w:szCs w:val="20"/>
                <w:color w:val="auto"/>
              </w:rPr>
            </w:pPr>
            <w:r>
              <w:rPr>
                <w:rFonts w:ascii="Arial" w:cs="Arial" w:eastAsia="Arial" w:hAnsi="Arial"/>
                <w:sz w:val="15"/>
                <w:szCs w:val="15"/>
                <w:b w:val="1"/>
                <w:bCs w:val="1"/>
                <w:color w:val="auto"/>
                <w:w w:val="89"/>
              </w:rPr>
              <w:t>46-0571712</w:t>
            </w:r>
          </w:p>
        </w:tc>
      </w:tr>
      <w:tr>
        <w:trPr>
          <w:trHeight w:val="322"/>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701 Lee Road, Suite 103</w:t>
            </w:r>
          </w:p>
        </w:tc>
        <w:tc>
          <w:tcPr>
            <w:tcW w:w="3640" w:type="dxa"/>
            <w:vAlign w:val="bottom"/>
          </w:tcPr>
          <w:p>
            <w:pPr>
              <w:spacing w:after="0"/>
              <w:rPr>
                <w:sz w:val="24"/>
                <w:szCs w:val="24"/>
                <w:color w:val="auto"/>
              </w:rPr>
            </w:pPr>
          </w:p>
        </w:tc>
      </w:tr>
      <w:tr>
        <w:trPr>
          <w:trHeight w:val="194"/>
        </w:trPr>
        <w:tc>
          <w:tcPr>
            <w:tcW w:w="2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2"/>
              </w:rPr>
              <w:t>Wayne, PA 19087</w:t>
            </w:r>
          </w:p>
        </w:tc>
        <w:tc>
          <w:tcPr>
            <w:tcW w:w="3640" w:type="dxa"/>
            <w:vAlign w:val="bottom"/>
          </w:tcPr>
          <w:p>
            <w:pPr>
              <w:spacing w:after="0"/>
              <w:rPr>
                <w:sz w:val="16"/>
                <w:szCs w:val="16"/>
                <w:color w:val="auto"/>
              </w:rPr>
            </w:pPr>
          </w:p>
        </w:tc>
      </w:tr>
      <w:tr>
        <w:trPr>
          <w:trHeight w:val="206"/>
        </w:trPr>
        <w:tc>
          <w:tcPr>
            <w:tcW w:w="2960" w:type="dxa"/>
            <w:vAlign w:val="bottom"/>
          </w:tcPr>
          <w:p>
            <w:pPr>
              <w:spacing w:after="0"/>
              <w:rPr>
                <w:sz w:val="17"/>
                <w:szCs w:val="17"/>
                <w:color w:val="auto"/>
              </w:rPr>
            </w:pPr>
          </w:p>
        </w:tc>
        <w:tc>
          <w:tcPr>
            <w:tcW w:w="3060" w:type="dxa"/>
            <w:vAlign w:val="bottom"/>
            <w:gridSpan w:val="3"/>
          </w:tcPr>
          <w:p>
            <w:pPr>
              <w:jc w:val="center"/>
              <w:ind w:left="1425"/>
              <w:spacing w:after="0"/>
              <w:rPr>
                <w:sz w:val="20"/>
                <w:szCs w:val="20"/>
                <w:color w:val="auto"/>
              </w:rPr>
            </w:pPr>
            <w:r>
              <w:rPr>
                <w:rFonts w:ascii="Arial" w:cs="Arial" w:eastAsia="Arial" w:hAnsi="Arial"/>
                <w:sz w:val="15"/>
                <w:szCs w:val="15"/>
                <w:b w:val="1"/>
                <w:bCs w:val="1"/>
                <w:color w:val="auto"/>
                <w:w w:val="93"/>
              </w:rPr>
              <w:t>(484) 324-7933</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342"/>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00" w:type="dxa"/>
            <w:vAlign w:val="bottom"/>
            <w:gridSpan w:val="5"/>
          </w:tcPr>
          <w:p>
            <w:pPr>
              <w:jc w:val="center"/>
              <w:ind w:right="3305"/>
              <w:spacing w:after="0"/>
              <w:rPr>
                <w:sz w:val="20"/>
                <w:szCs w:val="20"/>
                <w:color w:val="auto"/>
              </w:rPr>
            </w:pPr>
            <w:r>
              <w:rPr>
                <w:rFonts w:ascii="Arial" w:cs="Arial" w:eastAsia="Arial" w:hAnsi="Arial"/>
                <w:sz w:val="15"/>
                <w:szCs w:val="15"/>
                <w:color w:val="auto"/>
                <w:w w:val="91"/>
              </w:rPr>
              <w:t>Securities registered pursuant to Section 12(b) of the Act:</w:t>
            </w:r>
          </w:p>
        </w:tc>
      </w:tr>
      <w:tr>
        <w:trPr>
          <w:trHeight w:val="438"/>
        </w:trPr>
        <w:tc>
          <w:tcPr>
            <w:tcW w:w="2960" w:type="dxa"/>
            <w:vAlign w:val="bottom"/>
          </w:tcPr>
          <w:p>
            <w:pPr>
              <w:jc w:val="center"/>
              <w:ind w:left="345"/>
              <w:spacing w:after="0"/>
              <w:rPr>
                <w:sz w:val="20"/>
                <w:szCs w:val="20"/>
                <w:color w:val="auto"/>
              </w:rPr>
            </w:pPr>
            <w:r>
              <w:rPr>
                <w:rFonts w:ascii="Arial" w:cs="Arial" w:eastAsia="Arial" w:hAnsi="Arial"/>
                <w:sz w:val="15"/>
                <w:szCs w:val="15"/>
                <w:color w:val="auto"/>
                <w:w w:val="91"/>
              </w:rPr>
              <w:t>Title of Each Class:</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gridSpan w:val="3"/>
          </w:tcPr>
          <w:p>
            <w:pPr>
              <w:jc w:val="center"/>
              <w:ind w:right="820"/>
              <w:spacing w:after="0"/>
              <w:rPr>
                <w:sz w:val="20"/>
                <w:szCs w:val="20"/>
                <w:color w:val="auto"/>
              </w:rPr>
            </w:pPr>
            <w:r>
              <w:rPr>
                <w:rFonts w:ascii="Arial" w:cs="Arial" w:eastAsia="Arial" w:hAnsi="Arial"/>
                <w:sz w:val="15"/>
                <w:szCs w:val="15"/>
                <w:color w:val="auto"/>
                <w:w w:val="93"/>
              </w:rPr>
              <w:t>Trading Symbol(s)</w:t>
            </w:r>
          </w:p>
        </w:tc>
        <w:tc>
          <w:tcPr>
            <w:tcW w:w="3640" w:type="dxa"/>
            <w:vAlign w:val="bottom"/>
          </w:tcPr>
          <w:p>
            <w:pPr>
              <w:jc w:val="center"/>
              <w:ind w:right="325"/>
              <w:spacing w:after="0"/>
              <w:rPr>
                <w:sz w:val="20"/>
                <w:szCs w:val="20"/>
                <w:color w:val="auto"/>
              </w:rPr>
            </w:pPr>
            <w:r>
              <w:rPr>
                <w:rFonts w:ascii="Arial" w:cs="Arial" w:eastAsia="Arial" w:hAnsi="Arial"/>
                <w:sz w:val="15"/>
                <w:szCs w:val="15"/>
                <w:color w:val="auto"/>
                <w:w w:val="90"/>
              </w:rPr>
              <w:t>Name of Each Exchange on which Registered</w:t>
            </w:r>
          </w:p>
        </w:tc>
      </w:tr>
      <w:tr>
        <w:trPr>
          <w:trHeight w:val="191"/>
        </w:trPr>
        <w:tc>
          <w:tcPr>
            <w:tcW w:w="2960" w:type="dxa"/>
            <w:vAlign w:val="bottom"/>
            <w:tcBorders>
              <w:top w:val="single" w:sz="8" w:color="auto"/>
            </w:tcBorders>
          </w:tcPr>
          <w:p>
            <w:pPr>
              <w:jc w:val="center"/>
              <w:ind w:left="345"/>
              <w:spacing w:after="0"/>
              <w:rPr>
                <w:sz w:val="20"/>
                <w:szCs w:val="20"/>
                <w:color w:val="auto"/>
              </w:rPr>
            </w:pPr>
            <w:r>
              <w:rPr>
                <w:rFonts w:ascii="Arial" w:cs="Arial" w:eastAsia="Arial" w:hAnsi="Arial"/>
                <w:sz w:val="15"/>
                <w:szCs w:val="15"/>
                <w:color w:val="auto"/>
                <w:w w:val="91"/>
              </w:rPr>
              <w:t>Common Stock, $0.00001 par value</w:t>
            </w:r>
          </w:p>
        </w:tc>
        <w:tc>
          <w:tcPr>
            <w:tcW w:w="4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ACRS</w:t>
            </w:r>
          </w:p>
        </w:tc>
        <w:tc>
          <w:tcPr>
            <w:tcW w:w="4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345"/>
              <w:spacing w:after="0"/>
              <w:rPr>
                <w:sz w:val="20"/>
                <w:szCs w:val="20"/>
                <w:color w:val="auto"/>
              </w:rPr>
            </w:pPr>
            <w:r>
              <w:rPr>
                <w:rFonts w:ascii="Arial" w:cs="Arial" w:eastAsia="Arial" w:hAnsi="Arial"/>
                <w:sz w:val="15"/>
                <w:szCs w:val="15"/>
                <w:color w:val="auto"/>
                <w:w w:val="92"/>
              </w:rPr>
              <w:t>The Nasdaq Stock Market, LLC</w:t>
            </w:r>
          </w:p>
        </w:tc>
      </w:tr>
    </w:tbl>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12(g) of the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None</w:t>
      </w:r>
    </w:p>
    <w:p>
      <w:pPr>
        <w:spacing w:after="0" w:line="172" w:lineRule="exact"/>
        <w:rPr>
          <w:sz w:val="20"/>
          <w:szCs w:val="20"/>
          <w:color w:val="auto"/>
        </w:rPr>
      </w:pPr>
    </w:p>
    <w:p>
      <w:pPr>
        <w:ind w:left="340" w:right="1740"/>
        <w:spacing w:after="0" w:line="27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PMingLiU" w:cs="PMingLiU" w:eastAsia="PMingLiU" w:hAnsi="PMingLiU"/>
          <w:sz w:val="14"/>
          <w:szCs w:val="14"/>
          <w:color w:val="auto"/>
        </w:rPr>
        <w:t></w:t>
      </w:r>
      <w:r>
        <w:rPr>
          <w:rFonts w:ascii="Arial" w:cs="Arial" w:eastAsia="Arial" w:hAnsi="Arial"/>
          <w:sz w:val="14"/>
          <w:szCs w:val="14"/>
          <w:color w:val="auto"/>
        </w:rPr>
        <w:t xml:space="preserve"> No </w:t>
      </w:r>
      <w:r>
        <w:rPr>
          <w:rFonts w:ascii="PMingLiU" w:cs="PMingLiU" w:eastAsia="PMingLiU" w:hAnsi="PMingLiU"/>
          <w:sz w:val="14"/>
          <w:szCs w:val="14"/>
          <w:color w:val="auto"/>
        </w:rPr>
        <w:t>_</w:t>
      </w:r>
      <w:r>
        <w:rPr>
          <w:rFonts w:ascii="Arial" w:cs="Arial" w:eastAsia="Arial" w:hAnsi="Arial"/>
          <w:sz w:val="14"/>
          <w:szCs w:val="14"/>
          <w:color w:val="auto"/>
        </w:rPr>
        <w:t xml:space="preserve"> Indicate by check mark if the registrant is not required to file reports pursuant to Section 13 or 15(d) of the Exchange Act. Yes </w:t>
      </w:r>
      <w:r>
        <w:rPr>
          <w:rFonts w:ascii="PMingLiU" w:cs="PMingLiU" w:eastAsia="PMingLiU" w:hAnsi="PMingLiU"/>
          <w:sz w:val="14"/>
          <w:szCs w:val="14"/>
          <w:color w:val="auto"/>
        </w:rPr>
        <w:t></w:t>
      </w:r>
      <w:r>
        <w:rPr>
          <w:rFonts w:ascii="Arial" w:cs="Arial" w:eastAsia="Arial" w:hAnsi="Arial"/>
          <w:sz w:val="14"/>
          <w:szCs w:val="14"/>
          <w:color w:val="auto"/>
        </w:rPr>
        <w:t xml:space="preserve"> No </w:t>
      </w:r>
      <w:r>
        <w:rPr>
          <w:rFonts w:ascii="PMingLiU" w:cs="PMingLiU" w:eastAsia="PMingLiU" w:hAnsi="PMingLiU"/>
          <w:sz w:val="14"/>
          <w:szCs w:val="14"/>
          <w:color w:val="auto"/>
        </w:rPr>
        <w:t>_</w:t>
      </w:r>
    </w:p>
    <w:p>
      <w:pPr>
        <w:spacing w:after="0" w:line="143" w:lineRule="exact"/>
        <w:rPr>
          <w:sz w:val="20"/>
          <w:szCs w:val="20"/>
          <w:color w:val="auto"/>
        </w:rPr>
      </w:pPr>
    </w:p>
    <w:p>
      <w:pPr>
        <w:ind w:right="340" w:firstLine="339"/>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5"/>
          <w:szCs w:val="15"/>
          <w:color w:val="auto"/>
        </w:rPr>
        <w:t>_</w:t>
      </w:r>
      <w:r>
        <w:rPr>
          <w:rFonts w:ascii="Arial" w:cs="Arial" w:eastAsia="Arial" w:hAnsi="Arial"/>
          <w:sz w:val="15"/>
          <w:szCs w:val="15"/>
          <w:color w:val="auto"/>
        </w:rPr>
        <w:t xml:space="preserve"> No </w:t>
      </w:r>
      <w:r>
        <w:rPr>
          <w:rFonts w:ascii="PMingLiU" w:cs="PMingLiU" w:eastAsia="PMingLiU" w:hAnsi="PMingLiU"/>
          <w:sz w:val="15"/>
          <w:szCs w:val="15"/>
          <w:color w:val="auto"/>
        </w:rPr>
        <w:t></w:t>
      </w:r>
    </w:p>
    <w:p>
      <w:pPr>
        <w:spacing w:after="0" w:line="145" w:lineRule="exact"/>
        <w:rPr>
          <w:sz w:val="20"/>
          <w:szCs w:val="20"/>
          <w:color w:val="auto"/>
        </w:rPr>
      </w:pPr>
    </w:p>
    <w:p>
      <w:pPr>
        <w:ind w:right="80" w:firstLine="339"/>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4"/>
          <w:szCs w:val="14"/>
          <w:color w:val="auto"/>
        </w:rPr>
        <w:t>_</w:t>
      </w:r>
      <w:r>
        <w:rPr>
          <w:rFonts w:ascii="Arial" w:cs="Arial" w:eastAsia="Arial" w:hAnsi="Arial"/>
          <w:sz w:val="14"/>
          <w:szCs w:val="14"/>
          <w:color w:val="auto"/>
        </w:rPr>
        <w:t xml:space="preserve"> No </w:t>
      </w:r>
      <w:r>
        <w:rPr>
          <w:rFonts w:ascii="PMingLiU" w:cs="PMingLiU" w:eastAsia="PMingLiU" w:hAnsi="PMingLiU"/>
          <w:sz w:val="14"/>
          <w:szCs w:val="14"/>
          <w:color w:val="auto"/>
        </w:rPr>
        <w:t></w:t>
      </w:r>
    </w:p>
    <w:p>
      <w:pPr>
        <w:spacing w:after="0" w:line="145" w:lineRule="exact"/>
        <w:rPr>
          <w:sz w:val="20"/>
          <w:szCs w:val="20"/>
          <w:color w:val="auto"/>
        </w:rPr>
      </w:pPr>
    </w:p>
    <w:p>
      <w:pPr>
        <w:jc w:val="both"/>
        <w:ind w:right="100" w:firstLine="339"/>
        <w:spacing w:after="0" w:line="3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48" w:lineRule="exact"/>
        <w:rPr>
          <w:sz w:val="20"/>
          <w:szCs w:val="20"/>
          <w:color w:val="auto"/>
        </w:rPr>
      </w:pPr>
    </w:p>
    <w:p>
      <w:pPr>
        <w:ind w:left="340"/>
        <w:spacing w:after="0" w:line="182" w:lineRule="exact"/>
        <w:tabs>
          <w:tab w:leader="none" w:pos="2980" w:val="left"/>
          <w:tab w:leader="none" w:pos="5440" w:val="left"/>
          <w:tab w:leader="none" w:pos="8280" w:val="left"/>
        </w:tabs>
        <w:rPr>
          <w:sz w:val="20"/>
          <w:szCs w:val="20"/>
          <w:color w:val="auto"/>
        </w:rPr>
      </w:pPr>
      <w:r>
        <w:rPr>
          <w:rFonts w:ascii="Arial" w:cs="Arial" w:eastAsia="Arial" w:hAnsi="Arial"/>
          <w:sz w:val="15"/>
          <w:szCs w:val="15"/>
          <w:color w:val="auto"/>
        </w:rPr>
        <w:t xml:space="preserve">Large accelerated filer </w:t>
      </w:r>
      <w:r>
        <w:rPr>
          <w:rFonts w:ascii="PMingLiU" w:cs="PMingLiU" w:eastAsia="PMingLiU" w:hAnsi="PMingLiU"/>
          <w:sz w:val="15"/>
          <w:szCs w:val="15"/>
          <w:color w:val="auto"/>
        </w:rPr>
        <w:t></w:t>
      </w:r>
      <w:r>
        <w:rPr>
          <w:sz w:val="20"/>
          <w:szCs w:val="20"/>
          <w:color w:val="auto"/>
        </w:rPr>
        <w:tab/>
      </w:r>
      <w:r>
        <w:rPr>
          <w:rFonts w:ascii="Arial" w:cs="Arial" w:eastAsia="Arial" w:hAnsi="Arial"/>
          <w:sz w:val="15"/>
          <w:szCs w:val="15"/>
          <w:color w:val="auto"/>
        </w:rPr>
        <w:t xml:space="preserve">Accelerated filer </w:t>
      </w:r>
      <w:r>
        <w:rPr>
          <w:rFonts w:ascii="PMingLiU" w:cs="PMingLiU" w:eastAsia="PMingLiU" w:hAnsi="PMingLiU"/>
          <w:sz w:val="15"/>
          <w:szCs w:val="15"/>
          <w:color w:val="auto"/>
        </w:rPr>
        <w:t></w:t>
      </w:r>
      <w:r>
        <w:rPr>
          <w:sz w:val="20"/>
          <w:szCs w:val="20"/>
          <w:color w:val="auto"/>
        </w:rPr>
        <w:tab/>
      </w:r>
      <w:r>
        <w:rPr>
          <w:rFonts w:ascii="Arial" w:cs="Arial" w:eastAsia="Arial" w:hAnsi="Arial"/>
          <w:sz w:val="15"/>
          <w:szCs w:val="15"/>
          <w:color w:val="auto"/>
        </w:rPr>
        <w:t xml:space="preserve">Non-accelerated filer </w:t>
      </w:r>
      <w:r>
        <w:rPr>
          <w:rFonts w:ascii="PMingLiU" w:cs="PMingLiU" w:eastAsia="PMingLiU" w:hAnsi="PMingLiU"/>
          <w:sz w:val="15"/>
          <w:szCs w:val="15"/>
          <w:color w:val="auto"/>
        </w:rPr>
        <w:t>_</w:t>
      </w:r>
      <w:r>
        <w:rPr>
          <w:sz w:val="20"/>
          <w:szCs w:val="20"/>
          <w:color w:val="auto"/>
        </w:rPr>
        <w:tab/>
      </w:r>
      <w:r>
        <w:rPr>
          <w:rFonts w:ascii="Arial" w:cs="Arial" w:eastAsia="Arial" w:hAnsi="Arial"/>
          <w:sz w:val="15"/>
          <w:szCs w:val="15"/>
          <w:color w:val="auto"/>
        </w:rPr>
        <w:t xml:space="preserve">Smaller reporting company </w:t>
      </w:r>
      <w:r>
        <w:rPr>
          <w:rFonts w:ascii="PMingLiU" w:cs="PMingLiU" w:eastAsia="PMingLiU" w:hAnsi="PMingLiU"/>
          <w:sz w:val="15"/>
          <w:szCs w:val="15"/>
          <w:color w:val="auto"/>
        </w:rPr>
        <w:t>_</w:t>
      </w:r>
    </w:p>
    <w:p>
      <w:pPr>
        <w:spacing w:after="0" w:line="120" w:lineRule="exact"/>
        <w:rPr>
          <w:sz w:val="20"/>
          <w:szCs w:val="20"/>
          <w:color w:val="auto"/>
        </w:rPr>
      </w:pPr>
    </w:p>
    <w:p>
      <w:pPr>
        <w:ind w:left="8300"/>
        <w:spacing w:after="0" w:line="182" w:lineRule="exact"/>
        <w:rPr>
          <w:sz w:val="20"/>
          <w:szCs w:val="20"/>
          <w:color w:val="auto"/>
        </w:rPr>
      </w:pPr>
      <w:r>
        <w:rPr>
          <w:rFonts w:ascii="Arial" w:cs="Arial" w:eastAsia="Arial" w:hAnsi="Arial"/>
          <w:sz w:val="15"/>
          <w:szCs w:val="15"/>
          <w:color w:val="auto"/>
        </w:rPr>
        <w:t xml:space="preserve">Emerging growth company </w:t>
      </w:r>
      <w:r>
        <w:rPr>
          <w:rFonts w:ascii="PMingLiU" w:cs="PMingLiU" w:eastAsia="PMingLiU" w:hAnsi="PMingLiU"/>
          <w:sz w:val="15"/>
          <w:szCs w:val="15"/>
          <w:color w:val="auto"/>
        </w:rPr>
        <w:t></w:t>
      </w:r>
    </w:p>
    <w:p>
      <w:pPr>
        <w:spacing w:after="0" w:line="159" w:lineRule="exact"/>
        <w:rPr>
          <w:sz w:val="20"/>
          <w:szCs w:val="20"/>
          <w:color w:val="auto"/>
        </w:rPr>
      </w:pPr>
    </w:p>
    <w:p>
      <w:pPr>
        <w:ind w:right="240" w:firstLine="339"/>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5"/>
          <w:szCs w:val="15"/>
          <w:color w:val="auto"/>
        </w:rPr>
        <w:t></w:t>
      </w:r>
    </w:p>
    <w:p>
      <w:pPr>
        <w:spacing w:after="0" w:line="187" w:lineRule="exact"/>
        <w:rPr>
          <w:sz w:val="20"/>
          <w:szCs w:val="20"/>
          <w:color w:val="auto"/>
        </w:rPr>
      </w:pPr>
    </w:p>
    <w:p>
      <w:pPr>
        <w:ind w:right="200" w:firstLine="339"/>
        <w:spacing w:after="0" w:line="18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3"/>
          <w:szCs w:val="13"/>
          <w:color w:val="auto"/>
        </w:rPr>
        <w:t></w:t>
      </w:r>
    </w:p>
    <w:p>
      <w:pPr>
        <w:spacing w:after="0" w:line="186" w:lineRule="exact"/>
        <w:rPr>
          <w:sz w:val="20"/>
          <w:szCs w:val="20"/>
          <w:color w:val="auto"/>
        </w:rPr>
      </w:pPr>
    </w:p>
    <w:p>
      <w:pPr>
        <w:ind w:right="220" w:firstLine="339"/>
        <w:spacing w:after="0" w:line="187"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5"/>
          <w:szCs w:val="15"/>
          <w:color w:val="auto"/>
        </w:rPr>
        <w:t></w:t>
      </w:r>
    </w:p>
    <w:p>
      <w:pPr>
        <w:spacing w:after="0" w:line="188" w:lineRule="exact"/>
        <w:rPr>
          <w:sz w:val="20"/>
          <w:szCs w:val="20"/>
          <w:color w:val="auto"/>
        </w:rPr>
      </w:pPr>
    </w:p>
    <w:p>
      <w:pPr>
        <w:ind w:firstLine="339"/>
        <w:spacing w:after="0" w:line="187"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5"/>
          <w:szCs w:val="15"/>
          <w:color w:val="auto"/>
        </w:rPr>
        <w:t></w:t>
      </w:r>
    </w:p>
    <w:p>
      <w:pPr>
        <w:spacing w:after="0" w:line="187" w:lineRule="exact"/>
        <w:rPr>
          <w:sz w:val="20"/>
          <w:szCs w:val="20"/>
          <w:color w:val="auto"/>
        </w:rPr>
      </w:pPr>
    </w:p>
    <w:p>
      <w:pPr>
        <w:ind w:left="340"/>
        <w:spacing w:after="0" w:line="182" w:lineRule="exact"/>
        <w:tabs>
          <w:tab w:leader="none" w:pos="77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PMingLiU" w:cs="PMingLiU" w:eastAsia="PMingLiU" w:hAnsi="PMingLiU"/>
          <w:sz w:val="14"/>
          <w:szCs w:val="14"/>
          <w:color w:val="auto"/>
        </w:rPr>
        <w:t></w:t>
      </w:r>
      <w:r>
        <w:rPr>
          <w:sz w:val="20"/>
          <w:szCs w:val="20"/>
          <w:color w:val="auto"/>
        </w:rPr>
        <w:tab/>
      </w:r>
      <w:r>
        <w:rPr>
          <w:rFonts w:ascii="Arial" w:cs="Arial" w:eastAsia="Arial" w:hAnsi="Arial"/>
          <w:sz w:val="15"/>
          <w:szCs w:val="15"/>
          <w:color w:val="auto"/>
        </w:rPr>
        <w:t xml:space="preserve">No </w:t>
      </w:r>
      <w:r>
        <w:rPr>
          <w:rFonts w:ascii="PMingLiU" w:cs="PMingLiU" w:eastAsia="PMingLiU" w:hAnsi="PMingLiU"/>
          <w:sz w:val="15"/>
          <w:szCs w:val="15"/>
          <w:color w:val="auto"/>
        </w:rPr>
        <w:t>_</w:t>
      </w:r>
    </w:p>
    <w:p>
      <w:pPr>
        <w:spacing w:after="0" w:line="163" w:lineRule="exact"/>
        <w:rPr>
          <w:sz w:val="20"/>
          <w:szCs w:val="20"/>
          <w:color w:val="auto"/>
        </w:rPr>
      </w:pPr>
    </w:p>
    <w:p>
      <w:pPr>
        <w:ind w:right="60" w:firstLine="339"/>
        <w:spacing w:after="0" w:line="261" w:lineRule="auto"/>
        <w:rPr>
          <w:sz w:val="20"/>
          <w:szCs w:val="20"/>
          <w:color w:val="auto"/>
        </w:rPr>
      </w:pPr>
      <w:r>
        <w:rPr>
          <w:rFonts w:ascii="Arial" w:cs="Arial" w:eastAsia="Arial" w:hAnsi="Arial"/>
          <w:sz w:val="15"/>
          <w:szCs w:val="15"/>
          <w:color w:val="auto"/>
        </w:rPr>
        <w:t>As of June 30, 2025, the last business day of the registrant’s last completed second quarter, the aggregate market value of the registrant’s common stock held by non - affiliates of the registrant was approximately $149.2 million based on the closing price of the registrant’s common stock, as reported by the Nasdaq Global Select Market, on such date.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January 30, 2026, 120,595,189 shares of common stock, $0.00001 par value, were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-19685</wp:posOffset>
                </wp:positionH>
                <wp:positionV relativeFrom="paragraph">
                  <wp:posOffset>302895</wp:posOffset>
                </wp:positionV>
                <wp:extent cx="66941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4170" cy="4763"/>
                        </a:xfrm>
                        <a:prstGeom prst="line">
                          <a:avLst/>
                        </a:prstGeom>
                        <a:solidFill>
                          <a:srgbClr val="FFFFFF"/>
                        </a:solidFill>
                        <a:ln w="35848">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99pt,23.85pt" to="525.55pt,23.85pt" o:allowincell="f" strokecolor="#000000" strokeweight="2.8227pt"/>
            </w:pict>
          </mc:Fallback>
        </mc:AlternateContent>
        <mc:AlternateContent>
          <mc:Choice Requires="wps">
            <w:drawing>
              <wp:anchor simplePos="0" relativeHeight="251657728" behindDoc="1" locked="0" layoutInCell="0" allowOverlap="1">
                <wp:simplePos x="0" y="0"/>
                <wp:positionH relativeFrom="column">
                  <wp:posOffset>-19685</wp:posOffset>
                </wp:positionH>
                <wp:positionV relativeFrom="paragraph">
                  <wp:posOffset>272415</wp:posOffset>
                </wp:positionV>
                <wp:extent cx="669417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94170" cy="4763"/>
                        </a:xfrm>
                        <a:prstGeom prst="line">
                          <a:avLst/>
                        </a:prstGeom>
                        <a:solidFill>
                          <a:srgbClr val="FFFFFF"/>
                        </a:solidFill>
                        <a:ln w="8598">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99pt,21.45pt" to="525.55pt,21.45pt" o:allowincell="f" strokecolor="#000000" strokeweight="0.677pt"/>
            </w:pict>
          </mc:Fallback>
        </mc:AlternateContent>
      </w:r>
    </w:p>
    <w:p>
      <w:pPr>
        <w:sectPr>
          <w:pgSz w:w="11880" w:h="15480" w:orient="portrait"/>
          <w:cols w:equalWidth="0" w:num="1">
            <w:col w:w="10480"/>
          </w:cols>
          <w:pgMar w:left="700" w:top="1310" w:right="700" w:bottom="739"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34"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 -looking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181" w:lineRule="exact"/>
        <w:rPr>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plans to develop our product candidates;</w:t>
      </w:r>
    </w:p>
    <w:p>
      <w:pPr>
        <w:spacing w:after="0" w:line="36" w:lineRule="exact"/>
        <w:rPr>
          <w:rFonts w:ascii="Arial" w:cs="Arial" w:eastAsia="Arial" w:hAnsi="Arial"/>
          <w:sz w:val="20"/>
          <w:szCs w:val="20"/>
          <w:color w:val="auto"/>
        </w:rPr>
      </w:pPr>
    </w:p>
    <w:p>
      <w:pPr>
        <w:ind w:left="1080" w:hanging="353"/>
        <w:spacing w:after="0" w:line="247" w:lineRule="auto"/>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timing of our planned clinical trials of our product candidates and the reporting of the results from these trials;</w:t>
      </w:r>
    </w:p>
    <w:p>
      <w:pPr>
        <w:ind w:left="1080" w:hanging="353"/>
        <w:spacing w:after="0" w:line="248" w:lineRule="auto"/>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clinical utility of our product candidates and our expectations about their properties and therapeutic effects;</w:t>
      </w: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plans and expectations related to manufacturing capabilities and strategy;</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coverage and reimbursement of our product candidates, if approved;</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timing of our regulatory filings and approvals for our product candidates;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intellectual property position;</w:t>
      </w:r>
    </w:p>
    <w:p>
      <w:pPr>
        <w:spacing w:after="0" w:line="13" w:lineRule="exact"/>
        <w:rPr>
          <w:rFonts w:ascii="Arial" w:cs="Arial" w:eastAsia="Arial" w:hAnsi="Arial"/>
          <w:sz w:val="20"/>
          <w:szCs w:val="20"/>
          <w:color w:val="auto"/>
        </w:rPr>
      </w:pPr>
    </w:p>
    <w:p>
      <w:pPr>
        <w:jc w:val="both"/>
        <w:ind w:left="1080" w:hanging="353"/>
        <w:spacing w:after="0" w:line="245" w:lineRule="auto"/>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plans to identify and consummate transactions with third-party partners to further develop, obtain marketing approval for and/or commercialize our product candidates, and earn revenue from such arrangements;</w:t>
      </w: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competition;</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size and growth potential of the markets for our product candidates;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our continued reliance on third parties;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impacts of macroeconomic conditions on our business;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our use of capital; and</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estimates regarding future revenue, expenses and needs for additional financing.</w:t>
      </w:r>
    </w:p>
    <w:p>
      <w:pPr>
        <w:spacing w:after="0" w:line="208"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9"/>
          <w:szCs w:val="19"/>
          <w:color w:val="auto"/>
        </w:rPr>
        <w:t>You should refer to Part I, Item 1A. “Risk Factors” in this Annual Report for a discussion of important factors that may cause our actual results to differ materially from those expressed or implied by our forward -looking statements. As a result of these factors, we cannot assure you that the forward-looking statements in this Annual Report will prove to be accurate, and you should not place undue reliance on these forward-looking statements. Furthermore, if our forward -looking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All brand names or trademarks appearing in this Annual Report, including KINect and RHOFADE, are the property of their respective owners. Unless the context requires otherwise, references in this report to “Aclaris,” the “Company,” “we,” “us,” and “our” refer to Aclaris Therapeutics, Inc. and its subsidiaries.</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880" w:h="15480" w:orient="portrait"/>
          <w:cols w:equalWidth="0" w:num="1">
            <w:col w:w="9720"/>
          </w:cols>
          <w:pgMar w:left="1080" w:top="1173" w:right="108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9120" w:type="dxa"/>
            <w:vAlign w:val="bottom"/>
          </w:tcPr>
          <w:p>
            <w:pPr>
              <w:ind w:left="3780"/>
              <w:spacing w:after="0"/>
              <w:rPr>
                <w:sz w:val="20"/>
                <w:szCs w:val="20"/>
                <w:color w:val="auto"/>
              </w:rPr>
            </w:pPr>
            <w:r>
              <w:rPr>
                <w:rFonts w:ascii="Arial" w:cs="Arial" w:eastAsia="Arial" w:hAnsi="Arial"/>
                <w:sz w:val="20"/>
                <w:szCs w:val="20"/>
                <w:b w:val="1"/>
                <w:bCs w:val="1"/>
                <w:color w:val="auto"/>
              </w:rPr>
              <w:t>TABLE OF CONTENTS</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9120" w:type="dxa"/>
            <w:vAlign w:val="bottom"/>
            <w:vMerge w:val="restart"/>
          </w:tcPr>
          <w:p>
            <w:pPr>
              <w:spacing w:after="0"/>
              <w:rPr>
                <w:sz w:val="20"/>
                <w:szCs w:val="20"/>
                <w:color w:val="auto"/>
              </w:rPr>
            </w:pPr>
            <w:r>
              <w:rPr>
                <w:rFonts w:ascii="Arial" w:cs="Arial" w:eastAsia="Arial" w:hAnsi="Arial"/>
                <w:sz w:val="20"/>
                <w:szCs w:val="20"/>
                <w:b w:val="1"/>
                <w:bCs w:val="1"/>
                <w:color w:val="auto"/>
              </w:rPr>
              <w:t>PART I</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01"/>
        </w:trPr>
        <w:tc>
          <w:tcPr>
            <w:tcW w:w="91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1. Business</w:t>
            </w:r>
          </w:p>
        </w:tc>
        <w:tc>
          <w:tcPr>
            <w:tcW w:w="60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20"/>
                <w:szCs w:val="20"/>
                <w:color w:val="auto"/>
              </w:rPr>
              <w:t>Item 1A. Risk Factors</w:t>
            </w:r>
          </w:p>
        </w:tc>
        <w:tc>
          <w:tcPr>
            <w:tcW w:w="60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1B. Unresolved Staff Comments</w:t>
            </w:r>
          </w:p>
        </w:tc>
        <w:tc>
          <w:tcPr>
            <w:tcW w:w="60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1C. Cybersecurity</w:t>
            </w:r>
          </w:p>
        </w:tc>
        <w:tc>
          <w:tcPr>
            <w:tcW w:w="600" w:type="dxa"/>
            <w:vAlign w:val="bottom"/>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20"/>
                <w:szCs w:val="20"/>
                <w:color w:val="auto"/>
              </w:rPr>
              <w:t>Item 2. Properties</w:t>
            </w:r>
          </w:p>
        </w:tc>
        <w:tc>
          <w:tcPr>
            <w:tcW w:w="600" w:type="dxa"/>
            <w:vAlign w:val="bottom"/>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3. Legal Proceedings</w:t>
            </w:r>
          </w:p>
        </w:tc>
        <w:tc>
          <w:tcPr>
            <w:tcW w:w="600" w:type="dxa"/>
            <w:vAlign w:val="bottom"/>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67"/>
        </w:trPr>
        <w:tc>
          <w:tcPr>
            <w:tcW w:w="9120" w:type="dxa"/>
            <w:vAlign w:val="bottom"/>
          </w:tcPr>
          <w:p>
            <w:pPr>
              <w:spacing w:after="0"/>
              <w:rPr>
                <w:sz w:val="20"/>
                <w:szCs w:val="20"/>
                <w:color w:val="auto"/>
              </w:rPr>
            </w:pPr>
            <w:r>
              <w:rPr>
                <w:rFonts w:ascii="Arial" w:cs="Arial" w:eastAsia="Arial" w:hAnsi="Arial"/>
                <w:sz w:val="20"/>
                <w:szCs w:val="20"/>
                <w:color w:val="auto"/>
              </w:rPr>
              <w:t>Item 4. Mine Safety Disclosures</w:t>
            </w:r>
          </w:p>
        </w:tc>
        <w:tc>
          <w:tcPr>
            <w:tcW w:w="600" w:type="dxa"/>
            <w:vAlign w:val="bottom"/>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423"/>
        </w:trPr>
        <w:tc>
          <w:tcPr>
            <w:tcW w:w="912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w w:val="94"/>
              </w:rPr>
              <w:t>Item 5. Market for Registrant’s Common Equity, Related Stockholder Matters and Issuer Purchases of Equity</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29"/>
        </w:trPr>
        <w:tc>
          <w:tcPr>
            <w:tcW w:w="9120" w:type="dxa"/>
            <w:vAlign w:val="bottom"/>
          </w:tcPr>
          <w:p>
            <w:pPr>
              <w:ind w:left="200"/>
              <w:spacing w:after="0"/>
              <w:rPr>
                <w:sz w:val="20"/>
                <w:szCs w:val="20"/>
                <w:color w:val="auto"/>
              </w:rPr>
            </w:pPr>
            <w:r>
              <w:rPr>
                <w:rFonts w:ascii="Arial" w:cs="Arial" w:eastAsia="Arial" w:hAnsi="Arial"/>
                <w:sz w:val="20"/>
                <w:szCs w:val="20"/>
                <w:color w:val="auto"/>
              </w:rPr>
              <w:t>Securities</w:t>
            </w: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6. [Reserved]</w:t>
            </w:r>
          </w:p>
        </w:tc>
        <w:tc>
          <w:tcPr>
            <w:tcW w:w="60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7. 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20"/>
                <w:szCs w:val="20"/>
                <w:color w:val="auto"/>
              </w:rPr>
              <w:t>Item 7A. 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20"/>
                <w:szCs w:val="20"/>
                <w:color w:val="auto"/>
              </w:rPr>
              <w:t>81</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8. Financial Statements and Supplementary Data</w:t>
            </w:r>
          </w:p>
        </w:tc>
        <w:tc>
          <w:tcPr>
            <w:tcW w:w="60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20"/>
                <w:szCs w:val="20"/>
                <w:color w:val="auto"/>
              </w:rPr>
              <w:t>Item 9. 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9A. Controls and Procedures</w:t>
            </w:r>
          </w:p>
        </w:tc>
        <w:tc>
          <w:tcPr>
            <w:tcW w:w="600" w:type="dxa"/>
            <w:vAlign w:val="bottom"/>
          </w:tcPr>
          <w:p>
            <w:pPr>
              <w:jc w:val="right"/>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9B. Other Information</w:t>
            </w:r>
          </w:p>
        </w:tc>
        <w:tc>
          <w:tcPr>
            <w:tcW w:w="600" w:type="dxa"/>
            <w:vAlign w:val="bottom"/>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267"/>
        </w:trPr>
        <w:tc>
          <w:tcPr>
            <w:tcW w:w="9120" w:type="dxa"/>
            <w:vAlign w:val="bottom"/>
          </w:tcPr>
          <w:p>
            <w:pPr>
              <w:spacing w:after="0"/>
              <w:rPr>
                <w:sz w:val="20"/>
                <w:szCs w:val="20"/>
                <w:color w:val="auto"/>
              </w:rPr>
            </w:pPr>
            <w:r>
              <w:rPr>
                <w:rFonts w:ascii="Arial" w:cs="Arial" w:eastAsia="Arial" w:hAnsi="Arial"/>
                <w:sz w:val="20"/>
                <w:szCs w:val="20"/>
                <w:color w:val="auto"/>
              </w:rPr>
              <w:t>Item 9C. Disclosure Regarding Foreign Jurisdictions that Prevent Inspections</w:t>
            </w:r>
          </w:p>
        </w:tc>
        <w:tc>
          <w:tcPr>
            <w:tcW w:w="600" w:type="dxa"/>
            <w:vAlign w:val="bottom"/>
          </w:tcPr>
          <w:p>
            <w:pPr>
              <w:jc w:val="right"/>
              <w:spacing w:after="0"/>
              <w:rPr>
                <w:sz w:val="20"/>
                <w:szCs w:val="20"/>
                <w:color w:val="auto"/>
              </w:rPr>
            </w:pPr>
            <w:r>
              <w:rPr>
                <w:rFonts w:ascii="Arial" w:cs="Arial" w:eastAsia="Arial" w:hAnsi="Arial"/>
                <w:sz w:val="20"/>
                <w:szCs w:val="20"/>
                <w:color w:val="auto"/>
              </w:rPr>
              <w:t>109</w:t>
            </w:r>
          </w:p>
        </w:tc>
        <w:tc>
          <w:tcPr>
            <w:tcW w:w="0" w:type="dxa"/>
            <w:vAlign w:val="bottom"/>
          </w:tcPr>
          <w:p>
            <w:pPr>
              <w:spacing w:after="0"/>
              <w:rPr>
                <w:sz w:val="1"/>
                <w:szCs w:val="1"/>
                <w:color w:val="auto"/>
              </w:rPr>
            </w:pPr>
          </w:p>
        </w:tc>
      </w:tr>
      <w:tr>
        <w:trPr>
          <w:trHeight w:val="423"/>
        </w:trPr>
        <w:tc>
          <w:tcPr>
            <w:tcW w:w="912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20"/>
                <w:szCs w:val="20"/>
                <w:color w:val="auto"/>
              </w:rPr>
              <w:t>Item 10. Directors, Executive Officers and Corporate Governance</w:t>
            </w:r>
          </w:p>
        </w:tc>
        <w:tc>
          <w:tcPr>
            <w:tcW w:w="600" w:type="dxa"/>
            <w:vAlign w:val="bottom"/>
          </w:tcPr>
          <w:p>
            <w:pPr>
              <w:jc w:val="right"/>
              <w:spacing w:after="0"/>
              <w:rPr>
                <w:sz w:val="20"/>
                <w:szCs w:val="20"/>
                <w:color w:val="auto"/>
              </w:rPr>
            </w:pPr>
            <w:r>
              <w:rPr>
                <w:rFonts w:ascii="Arial" w:cs="Arial" w:eastAsia="Arial" w:hAnsi="Arial"/>
                <w:sz w:val="20"/>
                <w:szCs w:val="20"/>
                <w:color w:val="auto"/>
              </w:rPr>
              <w:t>110</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11. Executive Compensation</w:t>
            </w:r>
          </w:p>
        </w:tc>
        <w:tc>
          <w:tcPr>
            <w:tcW w:w="600" w:type="dxa"/>
            <w:vAlign w:val="bottom"/>
          </w:tcPr>
          <w:p>
            <w:pPr>
              <w:jc w:val="right"/>
              <w:spacing w:after="0"/>
              <w:rPr>
                <w:sz w:val="20"/>
                <w:szCs w:val="20"/>
                <w:color w:val="auto"/>
              </w:rPr>
            </w:pPr>
            <w:r>
              <w:rPr>
                <w:rFonts w:ascii="Arial" w:cs="Arial" w:eastAsia="Arial" w:hAnsi="Arial"/>
                <w:sz w:val="20"/>
                <w:szCs w:val="20"/>
                <w:color w:val="auto"/>
              </w:rPr>
              <w:t>114</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w w:val="93"/>
              </w:rPr>
              <w:t>Item 12. Security Ownership of Certain Beneficial Owners and Management and Related Stockholder Matters</w:t>
            </w:r>
          </w:p>
        </w:tc>
        <w:tc>
          <w:tcPr>
            <w:tcW w:w="600" w:type="dxa"/>
            <w:vAlign w:val="bottom"/>
          </w:tcPr>
          <w:p>
            <w:pPr>
              <w:jc w:val="right"/>
              <w:spacing w:after="0"/>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29"/>
        </w:trPr>
        <w:tc>
          <w:tcPr>
            <w:tcW w:w="9120" w:type="dxa"/>
            <w:vAlign w:val="bottom"/>
          </w:tcPr>
          <w:p>
            <w:pPr>
              <w:spacing w:after="0"/>
              <w:rPr>
                <w:sz w:val="20"/>
                <w:szCs w:val="20"/>
                <w:color w:val="auto"/>
              </w:rPr>
            </w:pPr>
            <w:r>
              <w:rPr>
                <w:rFonts w:ascii="Arial" w:cs="Arial" w:eastAsia="Arial" w:hAnsi="Arial"/>
                <w:sz w:val="20"/>
                <w:szCs w:val="20"/>
                <w:color w:val="auto"/>
              </w:rPr>
              <w:t>Item 13. Certain Relationships and Related Transactions, and Director Independence</w:t>
            </w:r>
          </w:p>
        </w:tc>
        <w:tc>
          <w:tcPr>
            <w:tcW w:w="600" w:type="dxa"/>
            <w:vAlign w:val="bottom"/>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267"/>
        </w:trPr>
        <w:tc>
          <w:tcPr>
            <w:tcW w:w="9120" w:type="dxa"/>
            <w:vAlign w:val="bottom"/>
          </w:tcPr>
          <w:p>
            <w:pPr>
              <w:spacing w:after="0"/>
              <w:rPr>
                <w:sz w:val="20"/>
                <w:szCs w:val="20"/>
                <w:color w:val="auto"/>
              </w:rPr>
            </w:pPr>
            <w:r>
              <w:rPr>
                <w:rFonts w:ascii="Arial" w:cs="Arial" w:eastAsia="Arial" w:hAnsi="Arial"/>
                <w:sz w:val="20"/>
                <w:szCs w:val="20"/>
                <w:color w:val="auto"/>
              </w:rPr>
              <w:t>Item 14. Principal Accountant Fees and Services</w:t>
            </w:r>
          </w:p>
        </w:tc>
        <w:tc>
          <w:tcPr>
            <w:tcW w:w="600" w:type="dxa"/>
            <w:vAlign w:val="bottom"/>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423"/>
        </w:trPr>
        <w:tc>
          <w:tcPr>
            <w:tcW w:w="912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15. Exhibits and Financial Statement Schedules</w:t>
            </w:r>
          </w:p>
        </w:tc>
        <w:tc>
          <w:tcPr>
            <w:tcW w:w="600" w:type="dxa"/>
            <w:vAlign w:val="bottom"/>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20"/>
                <w:szCs w:val="20"/>
                <w:color w:val="auto"/>
              </w:rPr>
              <w:t>Item 16. Form 10-K Summary</w:t>
            </w:r>
          </w:p>
        </w:tc>
        <w:tc>
          <w:tcPr>
            <w:tcW w:w="600" w:type="dxa"/>
            <w:vAlign w:val="bottom"/>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67"/>
        </w:trPr>
        <w:tc>
          <w:tcPr>
            <w:tcW w:w="9120" w:type="dxa"/>
            <w:vAlign w:val="bottom"/>
          </w:tcPr>
          <w:p>
            <w:pPr>
              <w:spacing w:after="0"/>
              <w:rPr>
                <w:sz w:val="20"/>
                <w:szCs w:val="20"/>
                <w:color w:val="auto"/>
              </w:rPr>
            </w:pPr>
            <w:r>
              <w:rPr>
                <w:rFonts w:ascii="Arial" w:cs="Arial" w:eastAsia="Arial" w:hAnsi="Arial"/>
                <w:sz w:val="20"/>
                <w:szCs w:val="20"/>
                <w:color w:val="auto"/>
              </w:rPr>
              <w:t>Signatures</w:t>
            </w:r>
          </w:p>
        </w:tc>
        <w:tc>
          <w:tcPr>
            <w:tcW w:w="600" w:type="dxa"/>
            <w:vAlign w:val="bottom"/>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880" w:h="15480" w:orient="portrait"/>
          <w:cols w:equalWidth="0" w:num="1">
            <w:col w:w="9720"/>
          </w:cols>
          <w:pgMar w:left="1080" w:top="1173" w:right="1080"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PART I</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4"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We are a clinical-stage biopharmaceutical company focused on discovering and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Approach</w:t>
      </w:r>
    </w:p>
    <w:p>
      <w:pPr>
        <w:spacing w:after="0" w:line="233"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are dedicated to developing a pipeline of novel product candidates to address the needs of patients with immuno-inflammatory diseases who lack satisfactory treatment options. Our approach to achieving this goal includes the following key elements:</w:t>
      </w:r>
    </w:p>
    <w:p>
      <w:pPr>
        <w:spacing w:after="0" w:line="188" w:lineRule="exact"/>
        <w:rPr>
          <w:sz w:val="20"/>
          <w:szCs w:val="20"/>
          <w:color w:val="auto"/>
        </w:rPr>
      </w:pPr>
    </w:p>
    <w:p>
      <w:pPr>
        <w:jc w:val="both"/>
        <w:ind w:left="1080" w:hanging="353"/>
        <w:spacing w:after="0" w:line="260" w:lineRule="auto"/>
        <w:tabs>
          <w:tab w:leader="none" w:pos="108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Leverage discovery, research and development expertise. </w:t>
      </w:r>
      <w:r>
        <w:rPr>
          <w:rFonts w:ascii="Arial" w:cs="Arial" w:eastAsia="Arial" w:hAnsi="Arial"/>
          <w:sz w:val="19"/>
          <w:szCs w:val="19"/>
          <w:color w:val="auto"/>
        </w:rPr>
        <w:t>We have state-of-the-art capabilities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expertise in small molecule and antibody development, including cell and molecular biology, biochemistry, enzymology, biomarker development, immunology, translational research, in vivo efficacy models, structure-based drug design (“SBDD”), and bioanalytical, computational, and medicinal chemistry. In addition, our team of scientists and professionals has broad experience in clinical development and strategy across atopic, respiratory, inflammatory and immunologic diseases.</w:t>
      </w:r>
    </w:p>
    <w:p>
      <w:pPr>
        <w:spacing w:after="0" w:line="1" w:lineRule="exact"/>
        <w:rPr>
          <w:rFonts w:ascii="Arial" w:cs="Arial" w:eastAsia="Arial" w:hAnsi="Arial"/>
          <w:sz w:val="19"/>
          <w:szCs w:val="19"/>
          <w:color w:val="auto"/>
        </w:rPr>
      </w:pPr>
    </w:p>
    <w:p>
      <w:pPr>
        <w:jc w:val="both"/>
        <w:ind w:left="1080" w:hanging="352"/>
        <w:spacing w:after="0" w:line="254" w:lineRule="auto"/>
        <w:tabs>
          <w:tab w:leader="none" w:pos="108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Develop innovative biologic product candidates targeting validated pathways. </w:t>
      </w:r>
      <w:r>
        <w:rPr>
          <w:rFonts w:ascii="Arial" w:cs="Arial" w:eastAsia="Arial" w:hAnsi="Arial"/>
          <w:sz w:val="19"/>
          <w:szCs w:val="19"/>
          <w:color w:val="auto"/>
        </w:rPr>
        <w:t>We are advancing</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biologics programs comprising monoclonal and multispecific antibodies targeting well-characterized pathways in immuno-inflammatory diseases. Our approach leverages established biological targets while incorporating novel mechanisms and dual-targeting strategies to potentially enhance therapeutic outcomes. The biologics market has grown significantly, with monoclonal and bispecific antibodies representing a major segment of U.S. Food and Drug Administration (“FDA”) approved therapeutics. Our biologics pipeline includes bosakitug (ATI-045), an anti-thymic stromal lymphopoietin (“TSLP”) monoclonal antibody which has unique differentiation demonstrated by its low dissociation rate, long residence time and high potency. TSLP, a master regulator of type 2 (“Th2”) immune responses, is a broadly active key mediator in various inflammatory conditions, making it an attractive therapeutic target. We are also advancing ATI-052, a novel bispecific antibody that simultaneously targets both TSLP and interleukin-4 receptor (“IL-4R</w:t>
      </w:r>
      <w:r>
        <w:rPr>
          <w:rFonts w:ascii="Arial" w:cs="Arial" w:eastAsia="Arial" w:hAnsi="Arial"/>
          <w:sz w:val="19"/>
          <w:szCs w:val="19"/>
          <w:color w:val="auto"/>
        </w:rPr>
        <w:t>α</w:t>
      </w:r>
      <w:r>
        <w:rPr>
          <w:rFonts w:ascii="Arial" w:cs="Arial" w:eastAsia="Arial" w:hAnsi="Arial"/>
          <w:sz w:val="19"/>
          <w:szCs w:val="19"/>
          <w:color w:val="auto"/>
        </w:rPr>
        <w:t>”), which blocks signaling of both IL-4 and IL-13, potentially offering enhanced efficacy through dual pathway inhibition. By pursuing both traditional monoclonal antibodies and innovative multispecific approaches, we aim to develop differentiated biological therapies that address significant unmet needs in immuno-inflammatory diseases.</w:t>
      </w:r>
    </w:p>
    <w:p>
      <w:pPr>
        <w:spacing w:after="0" w:line="11" w:lineRule="exact"/>
        <w:rPr>
          <w:rFonts w:ascii="Arial" w:cs="Arial" w:eastAsia="Arial" w:hAnsi="Arial"/>
          <w:sz w:val="19"/>
          <w:szCs w:val="19"/>
          <w:color w:val="auto"/>
        </w:rPr>
      </w:pPr>
    </w:p>
    <w:p>
      <w:pPr>
        <w:jc w:val="both"/>
        <w:ind w:left="1080" w:hanging="353"/>
        <w:spacing w:after="0" w:line="26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Create small molecule medicines through kinome innovation utilizing our proprietary KINect platform. </w:t>
      </w:r>
      <w:r>
        <w:rPr>
          <w:rFonts w:ascii="Arial" w:cs="Arial" w:eastAsia="Arial" w:hAnsi="Arial"/>
          <w:sz w:val="18"/>
          <w:szCs w:val="18"/>
          <w:color w:val="auto"/>
        </w:rPr>
        <w:t>We are exploring the kinome, a subset of the human genome and one of the largest of all human</w:t>
      </w:r>
      <w:r>
        <w:rPr>
          <w:rFonts w:ascii="Arial" w:cs="Arial" w:eastAsia="Arial" w:hAnsi="Arial"/>
          <w:sz w:val="18"/>
          <w:szCs w:val="18"/>
          <w:b w:val="1"/>
          <w:bCs w:val="1"/>
          <w:color w:val="auto"/>
        </w:rPr>
        <w:t xml:space="preserve"> </w:t>
      </w:r>
      <w:r>
        <w:rPr>
          <w:rFonts w:ascii="Arial" w:cs="Arial" w:eastAsia="Arial" w:hAnsi="Arial"/>
          <w:sz w:val="18"/>
          <w:szCs w:val="18"/>
          <w:color w:val="auto"/>
        </w:rPr>
        <w:t>gene families, responsible for signal transduction controlling cellular responses. Kinases are key regulators of cell function in many cell processes. By transferring phosphates to other molecules, kinases can induce a cellular response to environmental cues. Dysregulation and/or activating/blocking mutations in kinases can disrupt normal cell signaling and lead to diseases including autoimmune, cardiovascular, inflammatory, and metabolic disorders, making them important targets for drug development. There are over 80 kinase inhibitors approved by the FDA on the market; however, these drugs only target a small fraction of the kinome, with many clinically relevant kinase targets lacking validated inhibitors. In 2025, the kinase inhibitors market was valued at over $67 billion and is expected to grow to over $94 billion by 2030. Our proprietary KINect platform enables us to identify potential small molecule product candidates through a unique combination of our proprietary chemical library of kinase inhibitors, our novel approach to inhibitor modalities, our expertise in SBDD and our custom kinase assays. The KINect platform is designed with the goal of expanding the druggable kinome, solving class challenges including affinity and selectivity, and providing a faster path to high quality inhibitor assets. We are focused on novel approaches toward the design and development of kinase inhibitors that target key enzymes involved in chronic inflammation and autoimmune disease. For example, we are developing a portfolio of highly potent, oral small molecule covalent inhibitors of IL-2-inducible tyrosine kinase (“ITK”). These include ATI-2138, an ITK and Janus</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880" w:h="15480" w:orient="portrait"/>
          <w:cols w:equalWidth="0" w:num="1">
            <w:col w:w="9720"/>
          </w:cols>
          <w:pgMar w:left="1080" w:top="1173" w:right="1080" w:bottom="0" w:gutter="0" w:footer="0" w:header="0"/>
          <w:type w:val="continuous"/>
        </w:sectPr>
      </w:pPr>
    </w:p>
    <w:bookmarkStart w:id="6" w:name="page7"/>
    <w:bookmarkEnd w:id="6"/>
    <w:p>
      <w:pPr>
        <w:ind w:left="1080"/>
        <w:spacing w:after="0"/>
        <w:rPr>
          <w:sz w:val="20"/>
          <w:szCs w:val="20"/>
          <w:color w:val="auto"/>
        </w:rPr>
      </w:pPr>
      <w:r>
        <w:rPr>
          <w:rFonts w:ascii="Arial" w:cs="Arial" w:eastAsia="Arial" w:hAnsi="Arial"/>
          <w:sz w:val="20"/>
          <w:szCs w:val="20"/>
          <w:color w:val="auto"/>
        </w:rPr>
        <w:t>kinase (“JAK”) 3 dual inhibitor, and JAK-sparing ITK inhibitors, including ATI-9494.</w:t>
      </w:r>
    </w:p>
    <w:p>
      <w:pPr>
        <w:spacing w:after="0" w:line="19" w:lineRule="exact"/>
        <w:rPr>
          <w:sz w:val="20"/>
          <w:szCs w:val="20"/>
          <w:color w:val="auto"/>
        </w:rPr>
      </w:pPr>
    </w:p>
    <w:p>
      <w:pPr>
        <w:jc w:val="both"/>
        <w:ind w:left="1080" w:hanging="353"/>
        <w:spacing w:after="0" w:line="251" w:lineRule="auto"/>
        <w:tabs>
          <w:tab w:leader="none" w:pos="108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Broaden our drug development pipeline internally and externally. </w:t>
      </w:r>
      <w:r>
        <w:rPr>
          <w:rFonts w:ascii="Arial" w:cs="Arial" w:eastAsia="Arial" w:hAnsi="Arial"/>
          <w:sz w:val="20"/>
          <w:szCs w:val="20"/>
          <w:color w:val="auto"/>
        </w:rPr>
        <w:t>A key element of our strategy is to</w:t>
      </w:r>
      <w:r>
        <w:rPr>
          <w:rFonts w:ascii="Arial" w:cs="Arial" w:eastAsia="Arial" w:hAnsi="Arial"/>
          <w:sz w:val="20"/>
          <w:szCs w:val="20"/>
          <w:b w:val="1"/>
          <w:bCs w:val="1"/>
          <w:color w:val="auto"/>
        </w:rPr>
        <w:t xml:space="preserve"> </w:t>
      </w:r>
      <w:r>
        <w:rPr>
          <w:rFonts w:ascii="Arial" w:cs="Arial" w:eastAsia="Arial" w:hAnsi="Arial"/>
          <w:sz w:val="20"/>
          <w:szCs w:val="20"/>
          <w:color w:val="auto"/>
        </w:rPr>
        <w:t>build and expand our pipeline of product candidates. We may seek to in-license or acquire additional product candidates, in addition to developing assets in-house.</w:t>
      </w:r>
    </w:p>
    <w:p>
      <w:pPr>
        <w:jc w:val="both"/>
        <w:ind w:left="1080" w:hanging="353"/>
        <w:spacing w:after="0" w:line="247" w:lineRule="auto"/>
        <w:tabs>
          <w:tab w:leader="none" w:pos="108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Identify and consummate transactions with third-party partners for our product candidates. </w:t>
      </w:r>
      <w:r>
        <w:rPr>
          <w:rFonts w:ascii="Arial" w:cs="Arial" w:eastAsia="Arial" w:hAnsi="Arial"/>
          <w:sz w:val="20"/>
          <w:szCs w:val="20"/>
          <w:color w:val="auto"/>
        </w:rPr>
        <w:t>We intend</w:t>
      </w:r>
      <w:r>
        <w:rPr>
          <w:rFonts w:ascii="Arial" w:cs="Arial" w:eastAsia="Arial" w:hAnsi="Arial"/>
          <w:sz w:val="20"/>
          <w:szCs w:val="20"/>
          <w:b w:val="1"/>
          <w:bCs w:val="1"/>
          <w:color w:val="auto"/>
        </w:rPr>
        <w:t xml:space="preserve"> </w:t>
      </w:r>
      <w:r>
        <w:rPr>
          <w:rFonts w:ascii="Arial" w:cs="Arial" w:eastAsia="Arial" w:hAnsi="Arial"/>
          <w:sz w:val="20"/>
          <w:szCs w:val="20"/>
          <w:color w:val="auto"/>
        </w:rPr>
        <w:t>to identify and consummate transactions with third-party partners to further develop, obtain marketing approval for and/or commercialize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Key Product Candidate Pipeline</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Our pipeline of key product candidates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169025" cy="3127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6169025" cy="312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Bosakitug, an Investigational, Novel Anti-TSLP Monoclonal Antibody</w:t>
      </w:r>
    </w:p>
    <w:p>
      <w:pPr>
        <w:spacing w:after="0" w:line="234"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Bosakitug (ATI-045) is an investigational, novel, humanized anti-TSLP monoclonal antibody that specifically binds to human TSLP, blocking its interaction with the receptor complex and disrupting signal transduction. This mechanism prevents immune cells targeted by TSLP from releasing proinflammatory cytokines. Bosakitug has potential best-in-class properties, including a very high affinity to TSLP, very high potency, an extremely low dissociation rate from TSLP leading to long residence time and enhanced neutralization activity, and a half-life that can potentially support an extended dosing interval. The high affinity and low dissociation observed with bosakitug may be the result of unique biparatopic binding to both the N- and C- terminus of TSLP. Bosakitug has the potential to treat a variety of atopic, immunologic and respiratory diseases. We exclusively license global rights (excluding Mainland China, Macau, Hong Kong and Taiwan (“Greater China”)) to bosakitug from Biosion, Inc. (“Biosion”).</w:t>
      </w:r>
    </w:p>
    <w:p>
      <w:pPr>
        <w:spacing w:after="0" w:line="175"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In a Phase 2a, single -arm, proof-of-concept trial in 22 U.S. patients with moderate to severe atopic dermatitis conducted by Biosion, 94% of patients receiving bosakitug achieved at least a 75% improvement in the Eczema Area and Severity Index (“EASI”), 65% of patients achieved EASI-90, and 88% of patients achieved an Investigator’s Global Assessment (“IGA”) score of 0 or 1 (clear or almost clear skin), at week 26 (n=17). Bosakitug demonstrated a strong pharmacodynamic profile and was generally well-tolerated with no serious adverse events reported. The most common treatment-emergent adverse event was headache (22.7% of patients). Grade 1 injection site reactions, primarily tenderness, occurred in 47.6% of patients.</w:t>
      </w:r>
    </w:p>
    <w:p>
      <w:pPr>
        <w:spacing w:after="0" w:line="200" w:lineRule="exact"/>
        <w:rPr>
          <w:sz w:val="20"/>
          <w:szCs w:val="20"/>
          <w:color w:val="auto"/>
        </w:rPr>
      </w:pPr>
    </w:p>
    <w:p>
      <w:pPr>
        <w:jc w:val="both"/>
        <w:ind w:firstLine="720"/>
        <w:spacing w:after="0" w:line="334" w:lineRule="auto"/>
        <w:rPr>
          <w:sz w:val="20"/>
          <w:szCs w:val="20"/>
          <w:color w:val="auto"/>
        </w:rPr>
      </w:pPr>
      <w:r>
        <w:rPr>
          <w:rFonts w:ascii="Arial" w:cs="Arial" w:eastAsia="Arial" w:hAnsi="Arial"/>
          <w:sz w:val="18"/>
          <w:szCs w:val="18"/>
          <w:color w:val="auto"/>
        </w:rPr>
        <w:t>In June 2025, we initiated a Phase 2 trial to investigate the efficacy, safety, tolerability, pharmacokinetics (“PK”) and pharmacodynamics (“PD”) of bosakitug compared to placebo in approximately 96 patients with moderate to severe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880" w:h="15480" w:orient="portrait"/>
          <w:cols w:equalWidth="0" w:num="1">
            <w:col w:w="9720"/>
          </w:cols>
          <w:pgMar w:left="1080" w:top="1177" w:right="1080" w:bottom="0" w:gutter="0" w:footer="0" w:header="0"/>
          <w:type w:val="continuous"/>
        </w:sectPr>
      </w:pPr>
    </w:p>
    <w:bookmarkStart w:id="7" w:name="page8"/>
    <w:bookmarkEnd w:id="7"/>
    <w:p>
      <w:pPr>
        <w:jc w:val="both"/>
        <w:spacing w:after="0" w:line="260" w:lineRule="auto"/>
        <w:rPr>
          <w:sz w:val="20"/>
          <w:szCs w:val="20"/>
          <w:color w:val="auto"/>
        </w:rPr>
      </w:pPr>
      <w:r>
        <w:rPr>
          <w:rFonts w:ascii="Arial" w:cs="Arial" w:eastAsia="Arial" w:hAnsi="Arial"/>
          <w:sz w:val="19"/>
          <w:szCs w:val="19"/>
          <w:color w:val="auto"/>
        </w:rPr>
        <w:t>atopic dermatitis. The primary endpoint is percent change from baseline in EASI at week 24. Secondary endpoints at week 24 include EASI response (EASI-50, EASI-75, EASI-90), validated IGA response, body surface area (“BSA”) response, and Peak Pruritus Numerical Rating Scale (“PP-NRS”) score, relative to baseline. We expect to announce top-line data in the second half of 2026. Bosakitug is also currently being studied in severe asthma, chronic rhinosinusitis with nasal polyps and moderate to severe chronic obstructive pulmonary disease in China by CTTQ. CTTQ licenses bosakitug from Biosion in Greater China. Our clinical focus for bosakitug will remain on dermatological immuno-inflammatory indications and further global (excluding Greater China) development in respiratory indications will be dependent on entering into potential partnerships.</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ATI-2138, an Investigational, Oral Covalent ITK/JAK3 Inhibitor</w:t>
      </w:r>
    </w:p>
    <w:p>
      <w:pPr>
        <w:spacing w:after="0" w:line="243"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ATI -2138 is a highly potent and selective novel investigational dual inhibitor of ITK and JAK3 for the potential treatment of T cell-mediated autoimmune diseases. The unique dual pharmacology of ATI-2138 regulates T cell development and function both upstream (ITK) and downstream (JAK3), which may provide a more potent and complete anti-inflammatory response.</w:t>
      </w:r>
    </w:p>
    <w:p>
      <w:pPr>
        <w:spacing w:after="0" w:line="19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8"/>
          <w:szCs w:val="18"/>
          <w:color w:val="auto"/>
        </w:rPr>
        <w:t>In July 2025, we announced positive top-line results from our open-label, single-arm Phase 2a trial of ATI-2138 in patients with moderate to severe atopic dermatitis. The trial met the primary and key secondary endpoints. The trial was designed to investigate the safety, tolerability, PK, efficacy, and PD of 10 mg of ATI-2138 administered twice daily (“BID”) for 12 weeks. The trial enrolled 14 patients in the United States, with 12 patients completing treatment and up to 10 patients available for the per protocol analysis. The primary endpoints were safety related parameters and the secondary endpoints included PD and efficacy related measures. No meaningful safety findings were observed, and ATI -2138 was very well tolerated. We observed consistent and rapid improvement across the efficacy assessments, with a mean and median improvement in EASI score at week 12 of 61% and 77%, respectively. Excluding one patient determined to be a statistical molecular outlier by more than four standard deviations who demonstrated systemic findings inconsistent with atopic dermatitis alone including significant non-lesional inflammation and who was not fully compliant with study drug administration, the mean and median improvement in EASI score at week 12 was 77% and 82%, respectively. At week 12, 63% of patients experienced a greater than or equal to 4-point improvement (which is considered a clinically meaningful response) in PP-NRS. Additional clinical results presented at the European Academy of Dermatology and Venerology conference in September 2025 further clarified the rapid improvements across efficacy measures, including week 4 decreases of 64% in BSA response (p&lt;0.001), 77% in EASI score (p&lt;0.001), and 45% in PP-NRS (p&lt;0.01). These results were sustained through end of treatment at week 12. ATI-2138 demonstrated near complete and sustained inhibition and occupancy of ITK ranging from approximately 90% at peak to 60% to 70% at trough, and a high level of inhibition of JAK3. Proteome and transcriptome lesional skin tap strip analyses showed significant ATI -2138-dependent reduction of multiple inflammatory pathways associated with ITK, including strong downregulation of Th2, Th17, and T cell receptor (“TCR”) pathways, along with the Th1 pathway and fibrosis-related markers. The decreases in inflammatory and fibrosis-related markers positively and strongly correlated with improvements in clinical scores.</w:t>
      </w:r>
    </w:p>
    <w:p>
      <w:pPr>
        <w:spacing w:after="0" w:line="16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We are exploring the potential of ATI-2138 in additional indications that are relevant to the dual pharmacology and mechanism of action, including certain alopecias and other inflammatory disorders.</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ATI-052, an Investigational, Novel Anti-TSLP and Anti-IL-4R</w:t>
      </w:r>
      <w:r>
        <w:rPr>
          <w:rFonts w:ascii="Arial" w:cs="Arial" w:eastAsia="Arial" w:hAnsi="Arial"/>
          <w:sz w:val="20"/>
          <w:szCs w:val="20"/>
          <w:b w:val="1"/>
          <w:bCs w:val="1"/>
          <w:color w:val="auto"/>
        </w:rPr>
        <w:t>α</w:t>
      </w:r>
      <w:r>
        <w:rPr>
          <w:rFonts w:ascii="Arial" w:cs="Arial" w:eastAsia="Arial" w:hAnsi="Arial"/>
          <w:sz w:val="20"/>
          <w:szCs w:val="20"/>
          <w:b w:val="1"/>
          <w:bCs w:val="1"/>
          <w:color w:val="auto"/>
        </w:rPr>
        <w:t xml:space="preserve"> Bispecific Antibody</w:t>
      </w:r>
    </w:p>
    <w:p>
      <w:pPr>
        <w:spacing w:after="0" w:line="249" w:lineRule="exact"/>
        <w:rPr>
          <w:sz w:val="20"/>
          <w:szCs w:val="20"/>
          <w:color w:val="auto"/>
        </w:rPr>
      </w:pPr>
    </w:p>
    <w:p>
      <w:pPr>
        <w:jc w:val="both"/>
        <w:ind w:firstLine="720"/>
        <w:spacing w:after="0" w:line="262" w:lineRule="auto"/>
        <w:rPr>
          <w:sz w:val="20"/>
          <w:szCs w:val="20"/>
          <w:color w:val="auto"/>
        </w:rPr>
      </w:pPr>
      <w:r>
        <w:rPr>
          <w:rFonts w:ascii="Arial" w:cs="Arial" w:eastAsia="Arial" w:hAnsi="Arial"/>
          <w:sz w:val="19"/>
          <w:szCs w:val="19"/>
          <w:color w:val="auto"/>
        </w:rPr>
        <w:t>ATI-052 is an investigational, novel, humanized anti-TSLP and anti-IL-4R</w:t>
      </w:r>
      <w:r>
        <w:rPr>
          <w:rFonts w:ascii="Arial" w:cs="Arial" w:eastAsia="Arial" w:hAnsi="Arial"/>
          <w:sz w:val="19"/>
          <w:szCs w:val="19"/>
          <w:color w:val="auto"/>
        </w:rPr>
        <w:t>α</w:t>
      </w:r>
      <w:r>
        <w:rPr>
          <w:rFonts w:ascii="Arial" w:cs="Arial" w:eastAsia="Arial" w:hAnsi="Arial"/>
          <w:sz w:val="19"/>
          <w:szCs w:val="19"/>
          <w:color w:val="auto"/>
        </w:rPr>
        <w:t xml:space="preserve"> bispecific antibody that exhibits high binding affinity to and dual blockage of both the upstream TSLP receptor signal transduction and downstream IL-4R</w:t>
      </w:r>
      <w:r>
        <w:rPr>
          <w:rFonts w:ascii="Arial" w:cs="Arial" w:eastAsia="Arial" w:hAnsi="Arial"/>
          <w:sz w:val="19"/>
          <w:szCs w:val="19"/>
          <w:color w:val="auto"/>
        </w:rPr>
        <w:t>α</w:t>
      </w:r>
      <w:r>
        <w:rPr>
          <w:rFonts w:ascii="Arial" w:cs="Arial" w:eastAsia="Arial" w:hAnsi="Arial"/>
          <w:sz w:val="19"/>
          <w:szCs w:val="19"/>
          <w:color w:val="auto"/>
        </w:rPr>
        <w:t xml:space="preserve"> activation thereby inhibiting this central proinflammatory pathway. ATI-052 binds TSLP, which sits at the top of the inflammatory cascade; by targeting IL-4R</w:t>
      </w:r>
      <w:r>
        <w:rPr>
          <w:rFonts w:ascii="Arial" w:cs="Arial" w:eastAsia="Arial" w:hAnsi="Arial"/>
          <w:sz w:val="19"/>
          <w:szCs w:val="19"/>
          <w:color w:val="auto"/>
        </w:rPr>
        <w:t>α</w:t>
      </w:r>
      <w:r>
        <w:rPr>
          <w:rFonts w:ascii="Arial" w:cs="Arial" w:eastAsia="Arial" w:hAnsi="Arial"/>
          <w:sz w:val="19"/>
          <w:szCs w:val="19"/>
          <w:color w:val="auto"/>
        </w:rPr>
        <w:t>, it blocks downstream signaling of both IL-4 and IL-13, two anti-inflammatory cytokines, which are critical components of Th2-mediated immunity and play a crucial role in the pathogenesis of inflammation and allergic diseases. ATI-052 utilizes the same TSLP antigen-binding fragment (“Fab”) as bosakitug but is engineered to bind more tightly to the neonatal Fc receptor (“FcRn”), potentially extending its half-life. In addition, the AQQ mutation in the Fc limits effector functionality, reducing off-target binding and potential toxicity. ATI-052 has the potential to treat a variety of atopic, immunologic and respiratory diseases. We exclusively license global rights (excluding Greater China) to ATI-052 from Biosion.</w:t>
      </w:r>
    </w:p>
    <w:p>
      <w:pPr>
        <w:spacing w:after="0" w:line="176"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18"/>
          <w:szCs w:val="18"/>
          <w:color w:val="auto"/>
        </w:rPr>
        <w:t>In January 2026, we announced positive interim results from our Phase 1a single ascending dose (“SAD”) and multiple ascending dose (“MAD”) portion of our first-in-human study evaluating ATI-052 in healthy volunteers. The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880" w:h="15480" w:orient="portrait"/>
          <w:cols w:equalWidth="0" w:num="1">
            <w:col w:w="9720"/>
          </w:cols>
          <w:pgMar w:left="1080" w:top="1177" w:right="1080" w:bottom="0" w:gutter="0" w:footer="0" w:header="0"/>
          <w:type w:val="continuous"/>
        </w:sectPr>
      </w:pPr>
    </w:p>
    <w:bookmarkStart w:id="8" w:name="page9"/>
    <w:bookmarkEnd w:id="8"/>
    <w:p>
      <w:pPr>
        <w:jc w:val="both"/>
        <w:spacing w:after="0" w:line="272" w:lineRule="auto"/>
        <w:rPr>
          <w:sz w:val="20"/>
          <w:szCs w:val="20"/>
          <w:color w:val="auto"/>
        </w:rPr>
      </w:pPr>
      <w:r>
        <w:rPr>
          <w:rFonts w:ascii="Arial" w:cs="Arial" w:eastAsia="Arial" w:hAnsi="Arial"/>
          <w:sz w:val="18"/>
          <w:szCs w:val="18"/>
          <w:color w:val="auto"/>
        </w:rPr>
        <w:t>randomized, blinded, placebo-controlled study enrolled 48 participants across four SAD cohorts (receiving single doses of 30, 120, 360, or 720 mg or placebo) and two MAD cohorts (receiving five doses of 240 or 480 mg or placebo administered every seven days). ATI-052 demonstrated a favorable safety and tolerability profile across all dose levels, with treatment-emergent adverse events (“TEAEs”) being predominantly Grade 1 in severity. The most common TEAE was mild, self-resolving injection site redness, and notably, no conjunctivitis was observed in any cohort. No Grade 3 TEAEs related to study drug, serious adverse events, or discontinuations due to adverse events occurred. The PK profile showed dose proportionality across the pharmacologic dose range with an effective half-life of at least 26 days. PD results demonstrated robust target engagement with concentration-dependent inhibition of IL-4 and TSLP stimulated CCL17/TARC at all doses tested. At 360 mg, ATI-052 achieved complete and sustained inhibition through week three, with near complete inhibition of TSLP stimulated CCL17/TARC observed at least six weeks after administration. These combined PK and PD characteristics support the potential for dosing intervals of up to every three months. We expect to announce complete top-line results from the SAD and MAD cohorts in the second quarter of 2026.</w:t>
      </w:r>
    </w:p>
    <w:p>
      <w:pPr>
        <w:spacing w:after="0" w:line="175"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Based on these positive results, we initiated a Phase 1b proof-of-concept trial in atopic dermatitis in January 2026 and a Phase 1b proof-of- concept trial in asthma in February 2026, with top-line data from both studies expected in the second half of 2026. We plan to initiate a Phase 2b program for ATI-052 with asthma and atopic dermatitis as potential first indications, in the second half of 2026.</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ATI-9494, an Investigational, Oral Covalent ITK Inhibitor, and Other JAK-Sparing ITK Inhibitors</w:t>
      </w:r>
    </w:p>
    <w:p>
      <w:pPr>
        <w:spacing w:after="0" w:line="234"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We are developing ATI-9494, a highly potent, oral, covalent, investigational dual inhibitor of ITK and Resting Lymphocyte Kinase (TXK), and other covalent JAK-sparing ITK inhibitors with differentiated pharmacological properties and selectivity profiles. These inhibitors have the potential to differentially modulate T cell biology across a broad range of disease indications with extended half-lives and potential best-in-class potency, ITK occupancy, and ITK activation at low doses. We expect to file an IND application for ATI-9494 in the second half of 2026.</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Discovery and Preclinical Programs</w:t>
      </w:r>
    </w:p>
    <w:p>
      <w:pPr>
        <w:spacing w:after="0" w:line="23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We conduct small molecule drug discovery through KINect, our proprietary drug discovery platform. We also engage in discovery efforts for novel, injectable, multi-specific antibodies. Through our integrated discovery approach, we can progress product candidates from concept through lead optimization, employing robust screening cascades and protein characterization techniques to identify molecules with desired therapeutic properties.</w:t>
      </w:r>
    </w:p>
    <w:p>
      <w:pPr>
        <w:spacing w:after="0" w:line="167"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Our KINect platform allows us to address challenges associated with difficult to drug kinases including selectivity and biochemical efficiency, through a unique combination of our proprietary chemical library of kinase inhibitors, our novel approaches to inhibitor modalities, our expertise in SBDD, and our custom kinase assays. Our approach involves the following mechanisms: (1) reversible and irreversible covalent inhibitors, (2) molecular glue/complex targeted inhibitors, (3) tissue specific inhibitors, and (4) targeted protein degraders. These novel approaches are currently being utilized to prosecute additional validated, difficult to drug kinase targets with the goal of demonstrating broad target utility. Our small molecule discovery efforts center on targeting kinases that play pivotal roles in various inflammatory and autoimmune pathways.</w:t>
      </w:r>
    </w:p>
    <w:p>
      <w:pPr>
        <w:spacing w:after="0" w:line="175"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b w:val="1"/>
          <w:bCs w:val="1"/>
          <w:i w:val="1"/>
          <w:iCs w:val="1"/>
          <w:color w:val="auto"/>
        </w:rPr>
        <w:t xml:space="preserve">Reversible and Irreversible Covalent Inhibitors </w:t>
      </w:r>
      <w:r>
        <w:rPr>
          <w:rFonts w:ascii="Arial" w:cs="Arial" w:eastAsia="Arial" w:hAnsi="Arial"/>
          <w:sz w:val="18"/>
          <w:szCs w:val="18"/>
          <w:color w:val="auto"/>
        </w:rPr>
        <w:t>(small molecules inhibiting kinases by forming irreversible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bonds with a cysteine at the active site): Central to the KINect platform is our novel chemical library of several hundred compounds specifically designed to target non-catalytic cysteine residues near the adenosine triphosphate (“ATP”) binding site of more than 300 kinases. Furthermore, using state-of-the-art drug modeling software, we are able to elaborate the structure of viable drug-like compounds culled from our library and extensive in silico libraries to optimize reversible binding to the target kinase and allow them to selectively form a covalent bond with the cysteine residue near the ATP site on the specific kinase target. This approach delivers inhibitors exhibiting enhanced potency, selectivity and biochemical efficiency thereby allowing pharmacological access to ‘hard to drug’ kinases. We then assess the function of the newly created compounds with physiologically relevant custom assays that effectively translate to human diseases.</w:t>
      </w:r>
    </w:p>
    <w:p>
      <w:pPr>
        <w:spacing w:after="0" w:line="166"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b w:val="1"/>
          <w:bCs w:val="1"/>
          <w:i w:val="1"/>
          <w:iCs w:val="1"/>
          <w:color w:val="auto"/>
        </w:rPr>
        <w:t xml:space="preserve">Molecular Glue/Complex Targeted Inhibitors </w:t>
      </w:r>
      <w:r>
        <w:rPr>
          <w:rFonts w:ascii="Arial" w:cs="Arial" w:eastAsia="Arial" w:hAnsi="Arial"/>
          <w:sz w:val="18"/>
          <w:szCs w:val="18"/>
          <w:color w:val="auto"/>
        </w:rPr>
        <w:t>(small molecules that stabilize kinases in an inactive confirmation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ready them for degradation): Targeting kinase complexes with small molecule drugs designed to either stabilize (molecular glue) and/or generate inactive complexes provides several potential advantages over those designed against a single protein target including: (1) utilizing a more physiological translatable complex as the target, (2) providing novel protein interfaces devoid of competing endogenous ligands to target, and (3) identifying new chemical matter and</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880" w:h="15480" w:orient="portrait"/>
          <w:cols w:equalWidth="0" w:num="1">
            <w:col w:w="9720"/>
          </w:cols>
          <w:pgMar w:left="1080" w:top="1177" w:right="1080" w:bottom="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color w:val="auto"/>
        </w:rPr>
        <w:t>modalities for difficult to drug kinase targets.</w:t>
      </w:r>
    </w:p>
    <w:p>
      <w:pPr>
        <w:spacing w:after="0" w:line="240"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b w:val="1"/>
          <w:bCs w:val="1"/>
          <w:i w:val="1"/>
          <w:iCs w:val="1"/>
          <w:color w:val="auto"/>
        </w:rPr>
        <w:t xml:space="preserve">Tissue Specific Inhibitors </w:t>
      </w:r>
      <w:r>
        <w:rPr>
          <w:rFonts w:ascii="Arial" w:cs="Arial" w:eastAsia="Arial" w:hAnsi="Arial"/>
          <w:sz w:val="20"/>
          <w:szCs w:val="20"/>
          <w:color w:val="auto"/>
        </w:rPr>
        <w:t>(small molecules that inhibit kinases in target tissues with minimal systemic exposure):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Target- specific inhibitors are drugs, often small molecules, designed to block specific proteins (like kinases) or pathways driving diseases including immunologic and inflammatory disorders. We believe that such inhibitors provide a unique opportunity to target certain diseases with highly specific compounds which may allow us to overcome potential systemic safety concerns and raise the efficacy ceiling.</w:t>
      </w:r>
    </w:p>
    <w:p>
      <w:pPr>
        <w:spacing w:after="0" w:line="197"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b w:val="1"/>
          <w:bCs w:val="1"/>
          <w:i w:val="1"/>
          <w:iCs w:val="1"/>
          <w:color w:val="auto"/>
        </w:rPr>
        <w:t xml:space="preserve">Targeted Protein Degraders </w:t>
      </w:r>
      <w:r>
        <w:rPr>
          <w:rFonts w:ascii="Arial" w:cs="Arial" w:eastAsia="Arial" w:hAnsi="Arial"/>
          <w:sz w:val="20"/>
          <w:szCs w:val="20"/>
          <w:color w:val="auto"/>
        </w:rPr>
        <w:t>(small molecules that trigger the degradation of specific proteins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ubiquitin/proteasome pathway): We believe targeted protein degraders represent a powerful approach to develop drugs against biologically important but difficult to drug proteins including kinases. This approach harnesses cellular protein clearing machinery to selectively remove proteins from the cell in contrast to inhibiting their function. This approach is particularly useful for kinases that have both catalytic and scaffolding functions for which inhibitors will only partially impact biology. We are exploring selective degraders of kinase targets with multiple biological functions in addition to the catalytic activity.</w:t>
      </w:r>
    </w:p>
    <w:p>
      <w:pPr>
        <w:spacing w:after="0" w:line="201"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Our discovery efforts to develop multi-specific antibodies are focused on generating antibodies with superior target affinity, specificity, and potency utilizing combinations of (a) two or more clinically validated targets with non-overlapping biology, (b) clinically validated targets with novel biology, and/or (c) synergistic target combinations in an effort to address shortcomings of single drug administration. This complementary approach to our small molecule programs enables us to pursue optimal therapeutic modalities for each target and indication of interest. For example, we are progressing several bispecific antibodies utilizing the bosakitug anti-TSLP binding region paired with binding fragments targeting other undisclosed cytokine signaling pathways.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evaluate both internal and external development options, including strategic partnerships, for these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assets.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Investigational Product Candidates</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Lepzacitinib, an Investigational Topical “Soft” JAK 1/3 Inhibitor</w:t>
      </w:r>
    </w:p>
    <w:p>
      <w:pPr>
        <w:spacing w:after="0" w:line="244"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Lepzacitinib (ATI-1777) is an investigational topical “soft” JAK 1/3 inhibitor for the potential treatment of atopic dermatitis and potentially other dermatologic conditions. “Soft” JAK inhibitors are designed to be topically applied and active in the skin, but rapidly metabolized and inactivated when they enter the bloodstream, which may result in low systemic exposure. We are currently seeking a global development and commercialization partner for this program (excluding Greater China). In 2022, we granted Pediatrix Therapeutics, Inc. (“Pediatrix”) exclusive rights to develop and commercialize lepzacitinib in Greater China.</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and Supply</w:t>
      </w:r>
    </w:p>
    <w:p>
      <w:pPr>
        <w:spacing w:after="0" w:line="243"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We do not have any manufacturing facilities. We rely on third parties for the manufacture of preclinical and clinical supplies for our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3"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The 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major pharmaceutical, biotechnology and specialty pharmaceutical companies, academic institutions and governmental agencies and public and private research institutions. Our product candidates, if approved, will compete with existing treatments and new treatments that may become available in the future.</w:t>
      </w:r>
    </w:p>
    <w:p>
      <w:pPr>
        <w:spacing w:after="0" w:line="200"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With respect to bosakitug, we are aware of a number of companies with monoclonal antibodies also targeting the TSLP ligand, and one company targeting the TSLP receptor, including Amgen and AstraZeneca (Tezepelumab, AMG-104), KeyMed Biosciences (CM326), Uniquity Bio (solrikitug), Windward Bio and Harbour BioMed and Kelun -Biotech (WIN378/HBM9378), GlaxoSmithKline (“GSK”) (GSK5784283), Generate Biomedicines (GB-0895), Qyuns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880" w:h="15480" w:orient="portrait"/>
          <w:cols w:equalWidth="0" w:num="1">
            <w:col w:w="9720"/>
          </w:cols>
          <w:pgMar w:left="1080" w:top="1177" w:right="108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color w:val="auto"/>
        </w:rPr>
        <w:t>Therapeutics (QX008N), and UpStream Bio (verekutig).</w:t>
      </w:r>
    </w:p>
    <w:p>
      <w:pPr>
        <w:spacing w:after="0" w:line="240" w:lineRule="exact"/>
        <w:rPr>
          <w:sz w:val="20"/>
          <w:szCs w:val="20"/>
          <w:color w:val="auto"/>
        </w:rPr>
      </w:pPr>
    </w:p>
    <w:p>
      <w:pPr>
        <w:jc w:val="both"/>
        <w:ind w:firstLine="720"/>
        <w:spacing w:after="0" w:line="304" w:lineRule="auto"/>
        <w:rPr>
          <w:sz w:val="20"/>
          <w:szCs w:val="20"/>
          <w:color w:val="auto"/>
        </w:rPr>
      </w:pPr>
      <w:r>
        <w:rPr>
          <w:rFonts w:ascii="Arial" w:cs="Arial" w:eastAsia="Arial" w:hAnsi="Arial"/>
          <w:sz w:val="19"/>
          <w:szCs w:val="19"/>
          <w:color w:val="auto"/>
        </w:rPr>
        <w:t>With respect to ATI-052, our primary competitors include those developing multi-specific antibodies designed to inhibit both TSLP and IL-4R</w:t>
      </w:r>
      <w:r>
        <w:rPr>
          <w:rFonts w:ascii="Arial" w:cs="Arial" w:eastAsia="Arial" w:hAnsi="Arial"/>
          <w:sz w:val="19"/>
          <w:szCs w:val="19"/>
          <w:color w:val="auto"/>
        </w:rPr>
        <w:t>Į</w:t>
      </w:r>
      <w:r>
        <w:rPr>
          <w:rFonts w:ascii="Arial" w:cs="Arial" w:eastAsia="Arial" w:hAnsi="Arial"/>
          <w:sz w:val="19"/>
          <w:szCs w:val="19"/>
          <w:color w:val="auto"/>
        </w:rPr>
        <w:t xml:space="preserve"> activity, such as Innovent Biologics (IBI3002) and Pfizer (PF-07275315).</w:t>
      </w:r>
    </w:p>
    <w:p>
      <w:pPr>
        <w:spacing w:after="0" w:line="137"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9"/>
          <w:szCs w:val="19"/>
          <w:color w:val="auto"/>
        </w:rPr>
        <w:t>Competitors for ATI-052 may also include those developing or commercializing multi-specific antibodies targeting two or more of TSLP, IL-4, and IL-13. For example, we are aware of Regeneron Pharmaceuticals and Sanofi (dupilumab), Sanofi (lunsekimig), Pfizer (PF-07264660), and KeyMed Biosciences (CM512).</w:t>
      </w:r>
    </w:p>
    <w:p>
      <w:pPr>
        <w:spacing w:after="0" w:line="160"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9"/>
          <w:szCs w:val="19"/>
          <w:color w:val="auto"/>
        </w:rPr>
        <w:t>With respect to bosakitug and ATI-052 as a potential treatment for atopic dermatitis, there are several different types of therapies in the atopic dermatitis market, such as biologics, oral and topical corticosteroids, oral and topical calcineurin inhibitors, oral mycophenolate products, JAK inhibitors, other oral antibiotics and antihistamines and phototherapy. There are also several prescription, non-prescription and over-the- counter topical products, including PDE4 inhibitors, utilized to treat atopic dermatitis. These types of drugs are produced and sold, or are approved for marketing, by large pharmaceutical companies, including AbbVie (upadacitinib), Incyte (ruxolitinib), LEO Pharma A/S (delgocitinib, tralokinumab), Pfizer (crisaborole; abrocitinib), Eli Lilly (lebrikizumab), Dermavant Sciences (tapinarof), Galderma (nemolizumab), and Regeneron Pharmaceuticals and Sanofi (dupilumab). In addition, we are aware of a number of companies developing and conducting clinical trials for investigational product candidates that could compete with bosakitug and ATI -052 in each case if approved, for the treatment of atopic dermatitis. With respect to ATI-052 as a potential treatment for asthma, existing therapeutics for asthma include controller medications, reliever medications, as well as biologics from Genentech and Novartis (omalizumab), Sanofi and Regeneron (dupilumab), GSK (mepolizumab, depemokimab), Amgen and AstraZeneca (tezepelumab), and AstraZeneca (benralizumab), with other products in development.</w:t>
      </w:r>
    </w:p>
    <w:p>
      <w:pPr>
        <w:spacing w:after="0" w:line="188"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With respect to ATI-2138, there are several companies that are developing or have approved drugs that target either ITK or JAK that could compete with ATI- 2138, if approved. For example, Corvus Pharmaceuticals is currently developing a selective, covalent inhibitor of ITK (soquelitinib). In addition, several companies are developing or have commercialized JAK inhibitors that may compete with ATI-2138, if approved, including Pfizer (tofacitinib, abrocitinib, and ritlecitinib), Eli Lilly (baricitinib), AbbVie (upadacitinib), and Sun Pharmaceutical (deuruxolitinib).</w:t>
      </w:r>
    </w:p>
    <w:p>
      <w:pPr>
        <w:spacing w:after="0" w:line="156"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The commercial opportunity for our product candidates, if approved, could be reduced or eliminated if our competitors develop and commercialize drugs that are safer, more effective, have fewer or less severe side effects, are more convenient or are less expensive than any drug we may develop. Our competitors also may obtain FDA or other regulatory approval for their product candidates more rapidly than our potential third-party partners may obtain approval for our product candidates, which could result in our competitors establishing a strong market position before our product candidates are able to enter the market.</w:t>
      </w:r>
    </w:p>
    <w:p>
      <w:pPr>
        <w:spacing w:after="0" w:line="191"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and preclinical and clinical development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development programs.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2"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Our success depends in large part upon our ability to obtain and maintain proprietary protection for our product candidates and to operate without infringing the proprietary rights of others. We seek to avoid the latter by monitoring patents and publications that may affect our business, and to the extent we identify such developments, evaluating and taking appropriate courses of action. Our policy is to protect our proprietary position by, among other methods, filing patent applications on inventions that are important to the development and conduct of our business with the U.S. Patent and Trademark Office (“USPTO”) and its foreign counterparts.</w:t>
      </w:r>
    </w:p>
    <w:p>
      <w:pPr>
        <w:spacing w:after="0" w:line="173"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18"/>
          <w:szCs w:val="18"/>
          <w:color w:val="auto"/>
        </w:rPr>
        <w:t>With respect to our TSLP monoclonal antibody development program, we exclusively license an issued patent and pending applications in the United States, European Union, Japan and South Korea directed to TSLP monoclonal</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880" w:h="15480" w:orient="portrait"/>
          <w:cols w:equalWidth="0" w:num="1">
            <w:col w:w="9720"/>
          </w:cols>
          <w:pgMar w:left="1080" w:top="1177" w:right="1080" w:bottom="0" w:gutter="0" w:footer="0" w:header="0"/>
          <w:type w:val="continuous"/>
        </w:sectPr>
      </w:pPr>
    </w:p>
    <w:bookmarkStart w:id="11" w:name="page12"/>
    <w:bookmarkEnd w:id="11"/>
    <w:p>
      <w:pPr>
        <w:jc w:val="both"/>
        <w:spacing w:after="0" w:line="280" w:lineRule="auto"/>
        <w:rPr>
          <w:sz w:val="20"/>
          <w:szCs w:val="20"/>
          <w:color w:val="auto"/>
        </w:rPr>
      </w:pPr>
      <w:r>
        <w:rPr>
          <w:rFonts w:ascii="Arial" w:cs="Arial" w:eastAsia="Arial" w:hAnsi="Arial"/>
          <w:sz w:val="18"/>
          <w:szCs w:val="18"/>
          <w:color w:val="auto"/>
        </w:rPr>
        <w:t>antibodies, including bosakitug. Our issued U.S. patent expires in 2043 with its patent term adjustment, and the pending applications in the United States and foreign countries, if issued, would naturally expire in 2040, subject to any applicable patent term adjustment or extension that may be available in a particular country. We also exclusively license a pending international patent application filed under the Patent Cooperation Treaty (“PCT”) directed to methods of using TSLP monoclonal antibodies for the treatment of atopic dermatitis, which, if issued, would naturally expire in 2045, subject to any applicable patent term adjustment or extension that may be available in a particular country.</w:t>
      </w:r>
    </w:p>
    <w:p>
      <w:pPr>
        <w:spacing w:after="0" w:line="162"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With respect to our ITK inhibitor development program, we own numerous issued patents and pending applications in the United States and foreign countries directed to novel inhibitors of ITK, including ATI-2138 and ATI-9494, and methods of use that expire, or would expire, between 2035 and 2046, subject to any applicable patent term adjustment or extension that may be available in a particular country. For example, we own multiple U.S. patent and pending U.S., European Union and other foreign country applications directed to ATI-2138 and analogs thereof and methods of using the same, which, if issued, would expire in 2039, subject to any applicable adjustment or extension. We also own a pending PCT application directed to methods of using ATI-2138, which if issued, would expire in 2043, subject to any applicable adjustment or extension. We also own pending PCT applications directed to crystal forms of ATI-2138 and to methods of synthesizing such ITK inhibitors, including ATI -2138, which if issued, would expire in 2044, and to methods of using ATI-2138 for treating atopic dermatitis, which if issued, would expire in 2045, in each case subject to any applicable adjustment or extension. We also own provisional applications on novel JAK-sparing inhibitors of ITK, including ATI-9494, which if issued, would expire in 2046.</w:t>
      </w:r>
    </w:p>
    <w:p>
      <w:pPr>
        <w:spacing w:after="0" w:line="174"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With respect to our bispecific antibody development program, we exclusively license pending applications in the United States, Europe and other foreign countries directed to such bispecific antibodies, including ATI-052, which, if issued, would naturally expire in 2043, subject to any applicable patent term adjustment or extension that may be available in a particular country.</w:t>
      </w:r>
    </w:p>
    <w:p>
      <w:pPr>
        <w:spacing w:after="0" w:line="184"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 In most countries in which we file, the patent term is 20 years from the earliest date of filing a non-provisional patent application. In the United States, a patent term may be shortened if a patent is terminally disclaimed over another patent or as a result of delays in patent prosecution by the patentee, and a patent’s term may be lengthened by patent term adjustment, which compensates a patentee for administrative delays by the USPTO in granting a patent or by patent term extension, which compensates a patentee for delays at the FDA. The patent term of a European patent is 20 years from its filing date; however, unlike in the United States, the European patent is not subject to patent term adjustments. The European Union does have a compensation program similar to patent term extension called supplementary protection certificate that would effectively extend patent protection for up to five years.</w:t>
      </w:r>
    </w:p>
    <w:p>
      <w:pPr>
        <w:spacing w:after="0" w:line="170"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We also use other forms of protection, such as trademark, copyright, and/or trade secret protection, to protect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positions for our product candidates, where available.</w:t>
      </w:r>
    </w:p>
    <w:p>
      <w:pPr>
        <w:spacing w:after="0" w:line="166"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We also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also require confidentiality or service agreements from third parties that receive our confidential information or materials.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and License Agreements</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Exclusive License Agreement with Biosion</w:t>
      </w:r>
    </w:p>
    <w:p>
      <w:pPr>
        <w:spacing w:after="0" w:line="230"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In November 2024, we entered into an exclusive license agreement (the “Biosion Agreement”) with Biosion, pursuant to which we received exclusive rights to develop, manufacture and commercialize bosakitug and ATI-052 worldwide, excluding Greater China. In connection with the Biosion Agreement, we also entered into a collaboration agreement (the “CTTQ Agreement”, and together with the Biosion Agreement, the “Biosion Agreements”) with Biosion and CTTQ, a licensee of bosakitug in Greater China.</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720"/>
          </w:cols>
          <w:pgMar w:left="1080" w:top="1177" w:right="1080" w:bottom="0" w:gutter="0" w:footer="0" w:header="0"/>
          <w:type w:val="continuous"/>
        </w:sectPr>
      </w:pPr>
    </w:p>
    <w:bookmarkStart w:id="12" w:name="page13"/>
    <w:bookmarkEnd w:id="12"/>
    <w:p>
      <w:pPr>
        <w:jc w:val="both"/>
        <w:ind w:firstLine="720"/>
        <w:spacing w:after="0" w:line="289" w:lineRule="auto"/>
        <w:rPr>
          <w:sz w:val="20"/>
          <w:szCs w:val="20"/>
          <w:color w:val="auto"/>
        </w:rPr>
      </w:pPr>
      <w:r>
        <w:rPr>
          <w:rFonts w:ascii="Arial" w:cs="Arial" w:eastAsia="Arial" w:hAnsi="Arial"/>
          <w:sz w:val="17"/>
          <w:szCs w:val="17"/>
          <w:color w:val="auto"/>
        </w:rPr>
        <w:t>Under the Biosion Agreements, we paid, in the aggregate, $30.0 million in upfront cash consideration, $4.5 million for the reimbursement of certain development costs, plus $6.2 million for the reimbursement of certain development costs and drug product material. We also issued warrants in the aggregate to purchase 14,281,985 shares of our common stock with an exercise price of $0.00001 per share. The warrants are immediately exercisable, subject to any required overseas direct investment filings, and terminate when exercised in full. We also agreed to pay, in the aggregate</w:t>
      </w:r>
    </w:p>
    <w:p>
      <w:pPr>
        <w:spacing w:after="0" w:line="1" w:lineRule="exact"/>
        <w:rPr>
          <w:sz w:val="20"/>
          <w:szCs w:val="20"/>
          <w:color w:val="auto"/>
        </w:rPr>
      </w:pPr>
    </w:p>
    <w:p>
      <w:pPr>
        <w:jc w:val="both"/>
        <w:ind w:firstLine="7"/>
        <w:spacing w:after="0" w:line="260" w:lineRule="auto"/>
        <w:tabs>
          <w:tab w:leader="none" w:pos="239" w:val="left"/>
        </w:tabs>
        <w:numPr>
          <w:ilvl w:val="0"/>
          <w:numId w:val="4"/>
        </w:numPr>
        <w:rPr>
          <w:rFonts w:ascii="Arial" w:cs="Arial" w:eastAsia="Arial" w:hAnsi="Arial"/>
          <w:sz w:val="19"/>
          <w:szCs w:val="19"/>
          <w:color w:val="auto"/>
        </w:rPr>
      </w:pPr>
      <w:r>
        <w:rPr>
          <w:rFonts w:ascii="Arial" w:cs="Arial" w:eastAsia="Arial" w:hAnsi="Arial"/>
          <w:sz w:val="19"/>
          <w:szCs w:val="19"/>
          <w:color w:val="auto"/>
        </w:rPr>
        <w:t>up to $125 million upon the achievement of specified regulatory milestones beginning with product approval, (ii) up to $795 million upon the achievement of specified sales milestones, (iii) a tiered low-to-mid single digit royalty based upon a percentage of annual net sales, subject to specified reductions, and (iv) a portion of any sublicense consideration received from granting sublicense or similar rights under any of the rights or licenses granted to us.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Agreement and Plan of Merger with Confluence</w:t>
      </w:r>
    </w:p>
    <w:p>
      <w:pPr>
        <w:spacing w:after="0" w:line="230" w:lineRule="exact"/>
        <w:rPr>
          <w:sz w:val="20"/>
          <w:szCs w:val="20"/>
          <w:color w:val="auto"/>
        </w:rPr>
      </w:pPr>
    </w:p>
    <w:p>
      <w:pPr>
        <w:jc w:val="both"/>
        <w:ind w:firstLine="720"/>
        <w:spacing w:after="0" w:line="262" w:lineRule="auto"/>
        <w:rPr>
          <w:sz w:val="20"/>
          <w:szCs w:val="20"/>
          <w:color w:val="auto"/>
        </w:rPr>
      </w:pPr>
      <w:r>
        <w:rPr>
          <w:rFonts w:ascii="Arial" w:cs="Arial" w:eastAsia="Arial" w:hAnsi="Arial"/>
          <w:sz w:val="19"/>
          <w:szCs w:val="19"/>
          <w:color w:val="auto"/>
        </w:rPr>
        <w:t>In 2017, we entered into an Agreement and Plan of Merger (the “Confluence Agreement”) with Confluence, Aclaris Life Sciences, Inc., our wholly owned subsidiary (“Merger Sub”), and Fortis Advisors LLC, as representative of the former equity holders of Confluence. Pursuant to the terms of the Confluence Agreement, Merger Sub merged with and into Confluence, with Confluence surviving as our wholly owned subsidiary, resulting in our acquisition of 100% of the outstanding shares of Confluence. As part of the Confluence acquisition we acquired, among others, our investigational product candidates lepzacitinib and ATI-2138.</w:t>
      </w:r>
    </w:p>
    <w:p>
      <w:pPr>
        <w:spacing w:after="0" w:line="17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Under the Confluence Agreement, we agreed to pay the former Confluence equity holders aggregate remaining contingent consideration of up to $75.0 million based upon the achievement of specified regulatory and commercial milestones set forth in the Confluence Agreement. In addition, we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 -product basis or, in specified circumstances, ten years from the first commercial sale of such product. In addition to the payments described above, if we sell, license or transfer any of the intellectual property acquired from Confluence pursuant to the Confluence Agreement to a third party, we will be obligated to pay the former Confluence equity holders a portion of any consideration received from such sale, license, or transfer in specified circumstances.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 and Product Approval</w:t>
      </w:r>
    </w:p>
    <w:p>
      <w:pPr>
        <w:spacing w:after="0" w:line="234"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Governmental authorities in the United States, at the federal, state and local level, and analogous authorities in other countries extensively regulate, among other things, the research, development, testing, manufacture, safety surveillance, efficacy, quality control, labeling, packaging, distribution, record keeping, promotion, storage, advertising, distribution, marketing, sale, export and import, and the reporting of safety and other post-market information of products such as the ones we are developing. A drug or biological product candidate must be approved by the FDA before it may be legally promoted in the United States and by comparable foreign regulatory authorities before marketing in other jurisdictions. The process of obtaining regulatory approvals and the subsequent compliance with applicable federal, state, local and foreign statutes and regulations require the expenditure of substantial time and resources. Failure to comply with the applicable U.S. requirements at any time during the product development process, approval process or after approval may subject an applicant and/or sponsor to a variety of administrative or judicial sanctions, including refusal by regulatory authorities to approve applications, withdrawal of an approval, imposition of a clinical hold, import/export delays, issuance of warning letters and untitled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United States Government Regulation</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NDA and BLA Approval Processes</w:t>
      </w:r>
    </w:p>
    <w:p>
      <w:pPr>
        <w:spacing w:after="0" w:line="240"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and biologics under the FDCA, the Public Health Service Act (“PHSA”) and their implementing regulations. Drugs and biologics also are subject to other federal, state, local and foreign statutes and regulations. The process required by the FDA before new drug and biologic product candidates may be marketed in the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720"/>
          </w:cols>
          <w:pgMar w:left="1080" w:top="1177" w:right="108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color w:val="auto"/>
        </w:rPr>
        <w:t>United States generally involves the following:</w:t>
      </w:r>
    </w:p>
    <w:p>
      <w:pPr>
        <w:spacing w:after="0" w:line="174" w:lineRule="exact"/>
        <w:rPr>
          <w:sz w:val="20"/>
          <w:szCs w:val="20"/>
          <w:color w:val="auto"/>
        </w:rPr>
      </w:pPr>
    </w:p>
    <w:p>
      <w:pPr>
        <w:ind w:left="1080" w:hanging="353"/>
        <w:spacing w:after="0" w:line="259" w:lineRule="auto"/>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completion of preclinical laboratory tests, animal studies and formulation studies in compliance with the FDA’s good laboratory practice (“GLP”) regulations;</w:t>
      </w:r>
    </w:p>
    <w:p>
      <w:pPr>
        <w:ind w:left="1080" w:hanging="352"/>
        <w:spacing w:after="0"/>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submission to the FDA of an IND which must take effect before clinical trials may begin;</w:t>
      </w:r>
    </w:p>
    <w:p>
      <w:pPr>
        <w:spacing w:after="0" w:line="13" w:lineRule="exact"/>
        <w:rPr>
          <w:rFonts w:ascii="Arial" w:cs="Arial" w:eastAsia="Arial" w:hAnsi="Arial"/>
          <w:sz w:val="20"/>
          <w:szCs w:val="20"/>
          <w:color w:val="auto"/>
        </w:rPr>
      </w:pPr>
    </w:p>
    <w:p>
      <w:pPr>
        <w:ind w:left="1080" w:hanging="352"/>
        <w:spacing w:after="0" w:line="248" w:lineRule="auto"/>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approval by an independent institutional review board (“IRB”) representing each clinical site before clinical testing may be initiated at the clinical site;</w:t>
      </w:r>
    </w:p>
    <w:p>
      <w:pPr>
        <w:ind w:left="1080" w:hanging="352"/>
        <w:spacing w:after="0" w:line="27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good clinical practice (“GCP”) regulations to establish the safety and efficacy of the proposed drug product for each indication;</w:t>
      </w:r>
    </w:p>
    <w:p>
      <w:pPr>
        <w:spacing w:after="0" w:line="1" w:lineRule="exact"/>
        <w:rPr>
          <w:rFonts w:ascii="Arial" w:cs="Arial" w:eastAsia="Arial" w:hAnsi="Arial"/>
          <w:sz w:val="18"/>
          <w:szCs w:val="18"/>
          <w:color w:val="auto"/>
        </w:rPr>
      </w:pPr>
    </w:p>
    <w:p>
      <w:pPr>
        <w:ind w:left="1080" w:hanging="352"/>
        <w:spacing w:after="0" w:line="247" w:lineRule="auto"/>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preparation and submission to the FDA of a New Drug Application (“NDA”) for a drug or a Biologics License Application (“BLA”) for a biologic, after completion of all pivotal trials;</w:t>
      </w:r>
    </w:p>
    <w:p>
      <w:pPr>
        <w:ind w:left="1080" w:hanging="35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or BLA to file the application for review;</w:t>
      </w:r>
    </w:p>
    <w:p>
      <w:pPr>
        <w:spacing w:after="0" w:line="37" w:lineRule="exact"/>
        <w:rPr>
          <w:rFonts w:ascii="Arial" w:cs="Arial" w:eastAsia="Arial" w:hAnsi="Arial"/>
          <w:sz w:val="18"/>
          <w:szCs w:val="18"/>
          <w:color w:val="auto"/>
        </w:rPr>
      </w:pPr>
    </w:p>
    <w:p>
      <w:pPr>
        <w:ind w:left="1080" w:hanging="352"/>
        <w:spacing w:after="0"/>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review of the NDA or BLA by an FDA advisory committee, if applicable;</w:t>
      </w:r>
    </w:p>
    <w:p>
      <w:pPr>
        <w:spacing w:after="0" w:line="13" w:lineRule="exact"/>
        <w:rPr>
          <w:rFonts w:ascii="Arial" w:cs="Arial" w:eastAsia="Arial" w:hAnsi="Arial"/>
          <w:sz w:val="20"/>
          <w:szCs w:val="20"/>
          <w:color w:val="auto"/>
        </w:rPr>
      </w:pPr>
    </w:p>
    <w:p>
      <w:pPr>
        <w:jc w:val="both"/>
        <w:ind w:left="1080" w:hanging="352"/>
        <w:spacing w:after="0" w:line="243" w:lineRule="auto"/>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satisfactory completion of one or more FDA inspections of the manufacturing facility or facilities at which the drug or biologic or its components are produced to assess compliance with current good manufacturing practices (“cGMP”) and regulations to assure that the facilities, methods and controls are adequate to preserve the product’s identity, strength, quality and purity;</w:t>
      </w:r>
    </w:p>
    <w:p>
      <w:pPr>
        <w:spacing w:after="0" w:line="3" w:lineRule="exact"/>
        <w:rPr>
          <w:rFonts w:ascii="Arial" w:cs="Arial" w:eastAsia="Arial" w:hAnsi="Arial"/>
          <w:sz w:val="20"/>
          <w:szCs w:val="20"/>
          <w:color w:val="auto"/>
        </w:rPr>
      </w:pPr>
    </w:p>
    <w:p>
      <w:pPr>
        <w:ind w:left="1080" w:hanging="352"/>
        <w:spacing w:after="0"/>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payment of user fees and securing FDA approval of the NDA or BLA; and</w:t>
      </w:r>
    </w:p>
    <w:p>
      <w:pPr>
        <w:spacing w:after="0" w:line="14" w:lineRule="exact"/>
        <w:rPr>
          <w:rFonts w:ascii="Arial" w:cs="Arial" w:eastAsia="Arial" w:hAnsi="Arial"/>
          <w:sz w:val="20"/>
          <w:szCs w:val="20"/>
          <w:color w:val="auto"/>
        </w:rPr>
      </w:pPr>
    </w:p>
    <w:p>
      <w:pPr>
        <w:ind w:left="1080" w:hanging="352"/>
        <w:spacing w:after="0" w:line="254" w:lineRule="auto"/>
        <w:tabs>
          <w:tab w:leader="none" w:pos="10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compliance with any post-approval requirements, including potential requirements for a risk evaluation and mitigation strategy and post-approval studies required by the FDA.</w:t>
      </w:r>
    </w:p>
    <w:p>
      <w:pPr>
        <w:spacing w:after="0" w:line="111"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Once a drug or biological product candidate is identified for development, it enters the preclinical or nonclinical testing stage. Preclinical studies include laboratory evaluations of product chemistry, pharmacology, toxicity and formulation. An IND sponsor must submit the results of the preclinical studies, together with manufacturing information and analytical data, to the FDA as part of the IND. Some preclinical studies may continue even after the IND is submitted. In addition to including the results of the preclinical studies, the IND will also include a protocol detailing, among other things, the objectives of the clinical trial, the parameters to be 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clinical trials or all clinical trials conducted under the IND.</w:t>
      </w:r>
    </w:p>
    <w:p>
      <w:pPr>
        <w:spacing w:after="0" w:line="117"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current GCP regulations. They must be conducted under protocols detailing the objectives of the trial, dosing procedures, research subject selection and exclusion criteria, and the safety and effectiveness criteria to be evaluated. Each protocol must be submitted to the FDA as part of the IND, and progress reports detailing the status of the clinical trials must be submitted to the FDA annually, as well as safety reporting. An IRB for each site participating in the clinical trial must review and approve the protocol before the clinical trial commences at that institution and must also approve the information regarding the trial and the consent form that must be provided to each research subject or the subject’s legal representative, monitor the study until completed and otherwise comply with IRB regulations.</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Clinical trials are typically conducted in three sequential phases that may overlap or be combined:</w:t>
      </w:r>
    </w:p>
    <w:p>
      <w:pPr>
        <w:spacing w:after="0" w:line="176" w:lineRule="exact"/>
        <w:rPr>
          <w:sz w:val="20"/>
          <w:szCs w:val="20"/>
          <w:color w:val="auto"/>
        </w:rPr>
      </w:pPr>
    </w:p>
    <w:p>
      <w:pPr>
        <w:jc w:val="both"/>
        <w:ind w:left="1080" w:hanging="353"/>
        <w:spacing w:after="0" w:line="260" w:lineRule="auto"/>
        <w:tabs>
          <w:tab w:leader="none" w:pos="108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Phase 1. </w:t>
      </w:r>
      <w:r>
        <w:rPr>
          <w:rFonts w:ascii="Arial" w:cs="Arial" w:eastAsia="Arial" w:hAnsi="Arial"/>
          <w:sz w:val="19"/>
          <w:szCs w:val="19"/>
          <w:color w:val="auto"/>
        </w:rPr>
        <w:t>The drug or biological product candidate is initially introduced into healthy human subjects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tested for safety, dosage tolerance, absorption, metabolism, distribution and elimination. In the case of some products for severe or life-threatening diseases, such as cancer, and especially when the product may be inherently too toxic to ethically administer to healthy volunteers, the initial human testing is often conducted in patients who already have the condition.</w:t>
      </w:r>
    </w:p>
    <w:p>
      <w:pPr>
        <w:spacing w:after="0" w:line="3" w:lineRule="exact"/>
        <w:rPr>
          <w:rFonts w:ascii="Arial" w:cs="Arial" w:eastAsia="Arial" w:hAnsi="Arial"/>
          <w:sz w:val="19"/>
          <w:szCs w:val="19"/>
          <w:color w:val="auto"/>
        </w:rPr>
      </w:pPr>
    </w:p>
    <w:p>
      <w:pPr>
        <w:jc w:val="both"/>
        <w:ind w:left="1080" w:hanging="353"/>
        <w:spacing w:after="0" w:line="257" w:lineRule="auto"/>
        <w:tabs>
          <w:tab w:leader="none" w:pos="108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Phase 2. </w:t>
      </w:r>
      <w:r>
        <w:rPr>
          <w:rFonts w:ascii="Arial" w:cs="Arial" w:eastAsia="Arial" w:hAnsi="Arial"/>
          <w:sz w:val="19"/>
          <w:szCs w:val="19"/>
          <w:color w:val="auto"/>
        </w:rPr>
        <w:t>Clinical trials are performed on a limited patient population intended to identify possible adverse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effects and safety risks, to preliminarily evaluate the efficacy of the drug or biological product candidate for specific targeted diseases and to determine dosage tolerance and optimal dosage.</w:t>
      </w:r>
    </w:p>
    <w:p>
      <w:pPr>
        <w:spacing w:after="0" w:line="2" w:lineRule="exact"/>
        <w:rPr>
          <w:rFonts w:ascii="Arial" w:cs="Arial" w:eastAsia="Arial" w:hAnsi="Arial"/>
          <w:sz w:val="19"/>
          <w:szCs w:val="19"/>
          <w:color w:val="auto"/>
        </w:rPr>
      </w:pPr>
    </w:p>
    <w:p>
      <w:pPr>
        <w:jc w:val="both"/>
        <w:ind w:left="1080" w:hanging="353"/>
        <w:spacing w:after="0" w:line="301"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If a drug or biological product candidate is found to be potentially effective and to have an acceptable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safety profile in Phase 2 clinical trials, the clinical trial program will be expanded to Phase 3 clinical trials to further evaluate dosage, to provide substantial evidence of efficacy, or purity and potency, and to further test for safety in an expanded patient population at geographically dispersed clinical trial sites. These trials are intended</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720"/>
          </w:cols>
          <w:pgMar w:left="1080" w:top="1177" w:right="1080" w:bottom="0" w:gutter="0" w:footer="0" w:header="0"/>
          <w:type w:val="continuous"/>
        </w:sectPr>
      </w:pPr>
    </w:p>
    <w:bookmarkStart w:id="14" w:name="page15"/>
    <w:bookmarkEnd w:id="14"/>
    <w:p>
      <w:pPr>
        <w:ind w:left="1080"/>
        <w:spacing w:after="0" w:line="278" w:lineRule="auto"/>
        <w:rPr>
          <w:sz w:val="20"/>
          <w:szCs w:val="20"/>
          <w:color w:val="auto"/>
        </w:rPr>
      </w:pPr>
      <w:r>
        <w:rPr>
          <w:rFonts w:ascii="Arial" w:cs="Arial" w:eastAsia="Arial" w:hAnsi="Arial"/>
          <w:sz w:val="20"/>
          <w:szCs w:val="20"/>
          <w:color w:val="auto"/>
        </w:rPr>
        <w:t>to establish the overall risk-benefit ratio of the drug or biological product candidate and provide an adequate basis for product approval and labeling claims.</w:t>
      </w:r>
    </w:p>
    <w:p>
      <w:pPr>
        <w:spacing w:after="0" w:line="127"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Phase 4 clinical trials are conducted after approval to gain additional experience from the treatment of patients in the intended therapeutic indication and to document a clinical benefit in the case of drugs or biologics approved under accelerated approval regulations, or when otherwise requested by the FDA in the form of post-market requirements or commitments. Failure to promptly conduct any required Phase 4 clinical trials could result in withdrawal of approval of an NDA or BLA.</w:t>
      </w:r>
    </w:p>
    <w:p>
      <w:pPr>
        <w:spacing w:after="0" w:line="157"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Clinical trials are inherently uncertain, and Phase 1, Phase 2 and Phase 3 testing may not be successfully completed. The FDA or the sponsor may suspend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candidate has been associated with unexpected serious harm to patients. In some cases, clinical trials are overseen by an independent group of qualified experts organized by the trial sponsor, which is called the clinical monitoring board or data safety monitoring board. This group provides authorization for whether or not a trial may move forward at designated check points. These decisions are based on the limited access to data from the ongoing trial.</w:t>
      </w:r>
    </w:p>
    <w:p>
      <w:pPr>
        <w:spacing w:after="0" w:line="149"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During the development of a new drug or biologic, sponsors are given opportunities to meet with the FDA at certain points. These points may be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trial results and present their plans for the pivotal Phase 3 clinical trial or trials that they believe will support the approval of the new drug or biologic.</w:t>
      </w:r>
    </w:p>
    <w:p>
      <w:pPr>
        <w:spacing w:after="0" w:line="131"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Concurrent with clinical trials, sponsors usually complete additional animal safety studies and also develop additional information about the chemistry and physical characteristics of the drug or biologic and finalize a process for manufacturing commercial quantities of the product in accordance with cGMP requirements. The manufacturing process must be capable of consistently producing quality batches of the drug or biologic and the manufacturer must develop methods for testing the quality, purity and potency of the drug or biologic. Additionally, appropriate packaging must be selected and tested, and stability studies must be conducted to demonstrate that the drug or biological product candidate does not undergo unacceptable deterioration over its proposed shelf-life.</w:t>
      </w:r>
    </w:p>
    <w:p>
      <w:pPr>
        <w:spacing w:after="0" w:line="147"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The results of product development, preclinical studies and clinical trials, along with descriptions of the manufacturing process, analytical tests and other control mechanisms, proposed labeling and other relevant information are submitted to the FDA as part of an NDA or BLA requesting approval to market the product. The submission of an NDA or BLA is subject to the payment of user fees, but a waiver of such fees may be obtained under specified circumstances. The FDA reviews all NDAs and BLAs submitted for a period of 60 days to ensure that they are sufficiently complete for substantive review before it accepts them for filing. It may request additional information rather than accept an NDA or BLA for filing. In this event, the NDA or BLA must be resubmitted with the additional information. The resubmitted application also is subject to review before the FDA accepts it for filing.</w:t>
      </w:r>
    </w:p>
    <w:p>
      <w:pPr>
        <w:spacing w:after="0" w:line="147"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During the approval process, the FDA also will determine whether a risk evaluation and mitigation strategy (“REMS”) is necessary to assure the safe use of the product. If the FDA concludes a REMS is needed, the sponsor of the NDA or BLA must submit a proposed REMS, and the FDA will not approve the application without an approved REMS, if required. A REMS can substantially increase the costs of obtaining approval. The FDA could also require a special warning, known as a boxed warning, to be included in the product label in order to highlight a particular safety risk.</w:t>
      </w:r>
    </w:p>
    <w:p>
      <w:pPr>
        <w:spacing w:after="0" w:line="126"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Once the submission is accepted for filing, the FDA begins an in -depth review. The FDA reviews an NDA to determine, among other things, whether a product is safe and effective for its intended use, and a BLA to determine, among other things, whether the product is safe, pure and potent for its intended use. As part of the NDA and BLA review, the FDA also evaluates whether the manufacturing of the drug or biologic product candidate is cGMP-compliant to assure and preserve the product’s identity, strength, quality, and purity. The FDA may refer the NDA or BLA to an advisory committee for review and recommendation as to whether the application should be approved and under what conditions. The FDA is not bound by the recommendation of an advisory committee, but it generally follows such recommendations. NDAs and BLAs receive either standard or priority review. A drug or biological product candidate representing a significant improvement in treatment, prevention or diagnosis of disease may receive priority review. A priority review</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9720"/>
          </w:cols>
          <w:pgMar w:left="1080" w:top="1177" w:right="1080" w:bottom="0" w:gutter="0" w:footer="0" w:header="0"/>
          <w:type w:val="continuous"/>
        </w:sectPr>
      </w:pPr>
    </w:p>
    <w:bookmarkStart w:id="15" w:name="page16"/>
    <w:bookmarkEnd w:id="15"/>
    <w:p>
      <w:pPr>
        <w:jc w:val="both"/>
        <w:spacing w:after="0" w:line="274" w:lineRule="auto"/>
        <w:rPr>
          <w:sz w:val="20"/>
          <w:szCs w:val="20"/>
          <w:color w:val="auto"/>
        </w:rPr>
      </w:pPr>
      <w:r>
        <w:rPr>
          <w:rFonts w:ascii="Arial" w:cs="Arial" w:eastAsia="Arial" w:hAnsi="Arial"/>
          <w:sz w:val="18"/>
          <w:szCs w:val="18"/>
          <w:color w:val="auto"/>
        </w:rPr>
        <w:t>designation is intended to direct overall attention and resources to the evaluation of such applications, and to shorten the FDA’s goal for taking action on the NDA or BLA from ten months to six months from filing of the NDA or BLA. After the FDA evaluates the NDA or BLA and conducts inspections of manufacturing facilities where the drug or biological product candidate and/or its active pharmaceutical ingredient will be produced, it may issue an approval letter or a Complete Response Letter. An approval letter authorizes commercial marketing of the drug or biologic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data and information are submitted, the FDA may ultimately decide that the NDA or BLA does not satisfy the criteria for approval.</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231"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Drugs and biologics manufactured or distributed pursuant to FDA approvals are subject to pervasive and continuing regulation by the FDA and other governmental agencies, including, among other things, requirements relating to recordkeeping, periodic reporting, product sampling and distribution, advertising and promotion, and reporting of adverse experiences with the product. Once an approval is granted, the FDA may withdraw the approval if compliance with regulatory requirements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manufacturing changes and additional labeling claims, are subject to further FDA review and approval. There are also continuing annual user fee requirements for products, as well as new application fees for certain supplemental applications.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82" w:lineRule="exact"/>
        <w:rPr>
          <w:sz w:val="20"/>
          <w:szCs w:val="20"/>
          <w:color w:val="auto"/>
        </w:rPr>
      </w:pPr>
    </w:p>
    <w:p>
      <w:pPr>
        <w:jc w:val="both"/>
        <w:ind w:firstLine="720"/>
        <w:spacing w:after="0" w:line="244" w:lineRule="auto"/>
        <w:rPr>
          <w:sz w:val="20"/>
          <w:szCs w:val="20"/>
          <w:color w:val="auto"/>
        </w:rPr>
      </w:pPr>
      <w:r>
        <w:rPr>
          <w:rFonts w:ascii="Arial" w:cs="Arial" w:eastAsia="Arial" w:hAnsi="Arial"/>
          <w:sz w:val="20"/>
          <w:szCs w:val="20"/>
          <w:color w:val="auto"/>
        </w:rPr>
        <w:t>Drug and biologic manufacturers and other entities involved in the manufacture and distribution of approved products are required to register their establishments with the FDA and certain state agencies and are subject to periodic unannounced inspections by the FDA and some state agencies for compliance with GMP regulations and other laws. The FDA has promulgated specific requirements for drug and biologic cGMPs.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Failure to comply with the applicable U.S. requirements at any time during the product development process or approval process, or after approval, may subject us to administrative or judicial sanctions, any of which could have a material adverse effect on us. These sanctions could include:</w:t>
      </w:r>
    </w:p>
    <w:p>
      <w:pPr>
        <w:spacing w:after="0" w:line="192" w:lineRule="exact"/>
        <w:rPr>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refusal to approve pending applications;</w:t>
      </w:r>
    </w:p>
    <w:p>
      <w:pPr>
        <w:spacing w:after="0" w:line="36" w:lineRule="exact"/>
        <w:rPr>
          <w:rFonts w:ascii="Arial" w:cs="Arial" w:eastAsia="Arial" w:hAnsi="Arial"/>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withdrawal of an approval;</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imposition of a clinical hold;</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warning letters;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product seizures or detention, or refusal to permit the import or export of products;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total or partial suspension of production or distribution or product recalls; or</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injunctions, fines, disgorgement, or civil or criminal penalties.</w:t>
      </w:r>
    </w:p>
    <w:p>
      <w:pPr>
        <w:spacing w:after="0" w:line="208"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The FDA strictly regulates the marketing, labeling, advertising and promotion of drug and biological products that are placed on the market. Drugs and biologics may be promoted only for the approved indications and in accordance with the provisions of the approved label.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720"/>
          </w:cols>
          <w:pgMar w:left="1080" w:top="1177" w:right="1080" w:bottom="0" w:gutter="0" w:footer="0" w:header="0"/>
          <w:type w:val="continuous"/>
        </w:sectPr>
      </w:pPr>
    </w:p>
    <w:bookmarkStart w:id="16" w:name="page17"/>
    <w:bookmarkEnd w:id="16"/>
    <w:p>
      <w:pPr>
        <w:jc w:val="both"/>
        <w:spacing w:after="0" w:line="305" w:lineRule="auto"/>
        <w:rPr>
          <w:sz w:val="20"/>
          <w:szCs w:val="20"/>
          <w:color w:val="auto"/>
        </w:rPr>
      </w:pPr>
      <w:r>
        <w:rPr>
          <w:rFonts w:ascii="Arial" w:cs="Arial" w:eastAsia="Arial" w:hAnsi="Arial"/>
          <w:sz w:val="19"/>
          <w:szCs w:val="19"/>
          <w:color w:val="auto"/>
        </w:rPr>
        <w:t>prescribe legally available products for off-label uses. The FDA does not regulate the behavior of physicians in their choice of treatments, but the FDA does restrict sponsor communications on the subject of off-label use.</w:t>
      </w:r>
    </w:p>
    <w:p>
      <w:pPr>
        <w:spacing w:after="0" w:line="135"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From time to time, legislation is drafted, introduced and passed in Congress that could significantly change the statutory provisions governing the approval, manufacturing and marketing of products regulated by the FDA. In addition, FDA regulations and guidance are often issued revised or reinterpreted by the agency in ways that may significantly affect our business and our product candidates. It is impossible to predict whether legislative changes will be enacted, or whether FDA regulations, guidance or interpretations will be issued or changed or what the impact of such changes, if any, may be.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Non-patent Exclusivity</w:t>
      </w:r>
    </w:p>
    <w:p>
      <w:pPr>
        <w:spacing w:after="0" w:line="234"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The FDCA provides a five-year period of non-patent marketing exclusivity within the United States to the first applicant to obtain approval of an NDA for a new chemical entity (“NCE”). A drug is an NCE if the FDA has not previously approved any other new drug containing the same active moiety, which is the molecule or ion responsible for the action of the drug substance. If market exclusivity is granted for an NCE, during the exclusivity period, the FDA may not accept for review or approve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6"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prohibits the FDA from approving an ANDA or a 505(b)(2) NDA submitted by another company with overlapping conditions associated with the new clinical investigations for the three-year period. Clinical investigation exclusivity does not prohibit the FDA from approving ANDAs for drugs containing the original active agent. Five-year and three-year exclusivity will not delay the submission or approval of an NDA for the same drug. However, an applicant submitting an NDA would be required to conduct or obtain a right of reference to all of the preclinical studies and adequate and well-controlled clinical trials necessary to demonstrate safety and effectiveness.</w:t>
      </w:r>
    </w:p>
    <w:p>
      <w:pPr>
        <w:spacing w:after="0" w:line="16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Biosimilars and Exclusivity</w:t>
      </w:r>
    </w:p>
    <w:p>
      <w:pPr>
        <w:spacing w:after="0" w:line="23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The Biologics Price Competition and Innovation Act of 2009 (“BPCIA”) created an abbreviated approval pathway in the PHSA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as applicable, analytical studies, animal studies, and a clinical study or studies. Interchangeability means that a product is biosimilar to the reference product and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79"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established an exclusivity period for biosimilars approved as interchangeable products. Substitution at the pharmacy level of biosimilar products deemed to be interchangeable is governed by state pharmacy law.</w:t>
      </w:r>
    </w:p>
    <w:p>
      <w:pPr>
        <w:spacing w:after="0" w:line="166"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A biological product can also obtain pediatric market exclusivity in the United States. Pediatric exclusivity, if granted, adds six months to existing exclusivity protection. This six-month exclusivity, which runs from the end of other exclusivity protection, may be granted based on the voluntary completion of a pediatric study in accordance with an FDA-issued “Written Request” for such a study.</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720"/>
          </w:cols>
          <w:pgMar w:left="1080" w:top="1177" w:right="1080" w:bottom="0" w:gutter="0" w:footer="0" w:header="0"/>
          <w:type w:val="continuous"/>
        </w:sectPr>
      </w:pPr>
    </w:p>
    <w:bookmarkStart w:id="17" w:name="page18"/>
    <w:bookmarkEnd w:id="17"/>
    <w:p>
      <w:pPr>
        <w:ind w:left="720"/>
        <w:spacing w:after="0"/>
        <w:rPr>
          <w:sz w:val="20"/>
          <w:szCs w:val="20"/>
          <w:color w:val="auto"/>
        </w:rPr>
      </w:pPr>
      <w:r>
        <w:rPr>
          <w:rFonts w:ascii="Arial" w:cs="Arial" w:eastAsia="Arial" w:hAnsi="Arial"/>
          <w:sz w:val="20"/>
          <w:szCs w:val="20"/>
          <w:b w:val="1"/>
          <w:bCs w:val="1"/>
          <w:color w:val="auto"/>
        </w:rPr>
        <w:t>Regulation Outside of the United States</w:t>
      </w:r>
    </w:p>
    <w:p>
      <w:pPr>
        <w:spacing w:after="0" w:line="234"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Even if we obtain FDA approval for a drug or biological product candidate, we must obtain approval by the comparable regulatory authorities of countries outside of the United States before we can commence clinical trials in such countries, and our potential third-party partners must obtain approval of the regulators of such countries or economic areas, such as the European Union, before they may market any of our product candidates in those countries or areas. The approval process and requirements governing the conduct of clinical trials, product licensing and promotion, pricing and reimbursement vary greatly by geographic region, and the time may be longer or shorter than that required for FDA approval.</w:t>
      </w:r>
    </w:p>
    <w:p>
      <w:pPr>
        <w:spacing w:after="0" w:line="191"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In the European Economic Area (“EEA”) which is composed of the Member States of the European Union plus Norway, Iceland and Liechtenstein, medicinal products can only be commercialized after obtaining a Marketing Authorization (“MA”).</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There are two types of MAs:</w:t>
      </w:r>
    </w:p>
    <w:p>
      <w:pPr>
        <w:spacing w:after="0" w:line="245" w:lineRule="exact"/>
        <w:rPr>
          <w:sz w:val="20"/>
          <w:szCs w:val="20"/>
          <w:color w:val="auto"/>
        </w:rPr>
      </w:pPr>
    </w:p>
    <w:p>
      <w:pPr>
        <w:jc w:val="both"/>
        <w:ind w:left="1080" w:hanging="353"/>
        <w:spacing w:after="0" w:line="26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8" w:lineRule="exact"/>
        <w:rPr>
          <w:rFonts w:ascii="Arial" w:cs="Arial" w:eastAsia="Arial" w:hAnsi="Arial"/>
          <w:sz w:val="18"/>
          <w:szCs w:val="18"/>
          <w:color w:val="auto"/>
        </w:rPr>
      </w:pPr>
    </w:p>
    <w:p>
      <w:pPr>
        <w:jc w:val="both"/>
        <w:ind w:left="1080" w:hanging="353"/>
        <w:spacing w:after="0" w:line="27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65" w:lineRule="exact"/>
        <w:rPr>
          <w:sz w:val="20"/>
          <w:szCs w:val="20"/>
          <w:color w:val="auto"/>
        </w:rPr>
      </w:pPr>
    </w:p>
    <w:p>
      <w:pPr>
        <w:jc w:val="both"/>
        <w:ind w:firstLine="720"/>
        <w:spacing w:after="0" w:line="299" w:lineRule="auto"/>
        <w:rPr>
          <w:sz w:val="20"/>
          <w:szCs w:val="20"/>
          <w:color w:val="auto"/>
        </w:rPr>
      </w:pPr>
      <w:r>
        <w:rPr>
          <w:rFonts w:ascii="Arial" w:cs="Arial" w:eastAsia="Arial" w:hAnsi="Arial"/>
          <w:sz w:val="17"/>
          <w:szCs w:val="17"/>
          <w:color w:val="auto"/>
        </w:rPr>
        <w:t>In the EEA, upon receiving marketing authorization, NCEs generally receive eight years of data exclusivity and an additional two years of market exclusivity. If granted, data exclusivity prevents regulatory authorities in the EEA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EEA’s regulatory authorities to be an NCE, and products may not qualify for data exclusivity.</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Other Health Care Laws</w:t>
      </w:r>
    </w:p>
    <w:p>
      <w:pPr>
        <w:spacing w:after="0" w:line="234"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Our current and future activities, as well as our potential third-party partners’ activities, may, directly or indirectly, expose us and them to broadly applicable fraud and abuse and other health care laws and regulations, including, without limitation, the federal Anti-Kickback Statute and the federal civil False Claims Act, that may constrain the business or financial arrangements and relationships through which any products for which marketing approval is obtained is sold, marketed and distributed. In addition, we and our potential third-party partners may be subject to transparency laws and patient privacy regulation by the federal government and by the U.S. states and foreign jurisdictions in which we or they conduct business.</w:t>
      </w:r>
    </w:p>
    <w:p>
      <w:pPr>
        <w:spacing w:after="0" w:line="190"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or lease of any</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720"/>
          </w:cols>
          <w:pgMar w:left="1080" w:top="1173" w:right="1080" w:bottom="0" w:gutter="0" w:footer="0" w:header="0"/>
          <w:type w:val="continuous"/>
        </w:sectPr>
      </w:pPr>
    </w:p>
    <w:bookmarkStart w:id="18" w:name="page19"/>
    <w:bookmarkEnd w:id="18"/>
    <w:p>
      <w:pPr>
        <w:jc w:val="both"/>
        <w:spacing w:after="0" w:line="272" w:lineRule="auto"/>
        <w:rPr>
          <w:sz w:val="20"/>
          <w:szCs w:val="20"/>
          <w:color w:val="auto"/>
        </w:rPr>
      </w:pPr>
      <w:r>
        <w:rPr>
          <w:rFonts w:ascii="Arial" w:cs="Arial" w:eastAsia="Arial" w:hAnsi="Arial"/>
          <w:sz w:val="18"/>
          <w:szCs w:val="18"/>
          <w:color w:val="auto"/>
        </w:rPr>
        <w:t>good, facility, item or service for which payment may be made under a federal health 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 care covered business, the Anti-Kickback Statute has been violated.</w:t>
      </w:r>
    </w:p>
    <w:p>
      <w:pPr>
        <w:spacing w:after="0" w:line="176"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61"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activities relating to the sale and marketing of products are subject to scrutiny under such laws.</w:t>
      </w:r>
    </w:p>
    <w:p>
      <w:pPr>
        <w:spacing w:after="0" w:line="177"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The federal Health Insurance Portability and Accountability Act of 1996 (“HIPAA”) prohibits among other actions, knowingly and willfully executing, or attempting to execute, a scheme to defraud any health care benefit program, including private third-party payors, knowingly and willfully embezzling or stealing from a health care benefit program, willfully obstructing a criminal investigation of a health care offense, and knowingly and willfully falsifying, concealing or covering up a material fact or making any materially false, fictitious or fraudulent statement in connection with the delivery of or payment for health care benefits, items or services. Like the Anti-Kickback Statute, the Affordable Care Act amended the intent standard for the health care fraud statute under HIPAA such that a person or entity no longer needs to have actual knowledge of the statute or specific intent to violate it in order to have committed a violation.</w:t>
      </w:r>
    </w:p>
    <w:p>
      <w:pPr>
        <w:spacing w:after="0" w:line="166"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9"/>
          <w:szCs w:val="19"/>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59"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 Additionally, to the extent that a product is sold in a foreign country, the seller may be subject to similar foreign laws.</w:t>
      </w:r>
    </w:p>
    <w:p>
      <w:pPr>
        <w:spacing w:after="0" w:line="141"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In addition, legislation imposing marketing restrictions and transparency requirements on pharmaceutical manufacturers has been enacted at the state and federal levels. For example, the Affordable Care Act imposed, among other things, annual reporting requirements to the Centers for Medicare &amp; Medicaid Services (“CMS”) for covered manufacturers for certain payments and other transfers of value provided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Certain states also mandate implementation of compliance programs, impose restrictions on drug manufacturer marketing practices, require registration of certain employees engaged in marketing activities in the location, and/or require the tracking and reporting of gifts, compensation and other remuneration to health care professionals, including physicians.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720"/>
          </w:cols>
          <w:pgMar w:left="1080" w:top="1177" w:right="1080" w:bottom="0" w:gutter="0" w:footer="0" w:header="0"/>
          <w:type w:val="continuous"/>
        </w:sectPr>
      </w:pPr>
    </w:p>
    <w:bookmarkStart w:id="19" w:name="page20"/>
    <w:bookmarkEnd w:id="19"/>
    <w:p>
      <w:pPr>
        <w:jc w:val="both"/>
        <w:ind w:firstLine="720"/>
        <w:spacing w:after="0" w:line="259" w:lineRule="auto"/>
        <w:rPr>
          <w:sz w:val="20"/>
          <w:szCs w:val="20"/>
          <w:color w:val="auto"/>
        </w:rPr>
      </w:pPr>
      <w:r>
        <w:rPr>
          <w:rFonts w:ascii="Arial" w:cs="Arial" w:eastAsia="Arial" w:hAnsi="Arial"/>
          <w:sz w:val="19"/>
          <w:szCs w:val="19"/>
          <w:color w:val="auto"/>
        </w:rPr>
        <w:t>We may also be subject to data privacy and security regulation by both the federal government and the states in which we conduct our business. HIPAA, as amended by the Health Information Technology for Economic and Clinical Health Act (“HITECH”) and their implementing regulations, among other things, imposes standards relating to the privacy and security of individually identifiable health information on HIPAA covered entities, which include certain healthcare providers, healthcare clearing houses and health plans, and individuals and entities that provide services on their behalf that involve individually identifiable health information, known as business associates, as well as their covered subcontractors.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w:t>
      </w:r>
    </w:p>
    <w:p>
      <w:pPr>
        <w:spacing w:after="0" w:line="179"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Failure to comply with these laws, where applicable, can result in the imposition of significant penalties, including, without limitation, administrative, civil, and criminal penalties, damages, fines, disgorgement, imprisonment, contractual damages, reputational harm, diminished profits and future earnings, the curtailment or restructuring of our operations, exclusion from participation in federal and state health care programs, additional reporting requirements and oversight if we become subject to a corporate integrity agreement or similar agreement to resolve allegations of non-compliance with these laws and individual imprisonment.</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Health Care Reform</w:t>
      </w:r>
    </w:p>
    <w:p>
      <w:pPr>
        <w:spacing w:after="0" w:line="234"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In the United States, there have been and continue to be a number of significant legislative initiatives to contain health care costs. For example, in March 2010, the Affordable Care Act was passed, which has had, and is expected to continue to have, a significant impact on the health care industry. The Affordable Care Act was designed to, among other things, expand coverage for the uninsured and at the same time contain overall health care costs.</w:t>
      </w:r>
    </w:p>
    <w:p>
      <w:pPr>
        <w:spacing w:after="0" w:line="154"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There have been executive branch, judicial and Congressional challenges and amendments to certain aspects of the Affordable Care Act. For example, on July 4, 2025, the One Big Beautiful Bill Act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United States federal healthcare reform measures will be adopted in the future, any of which could limit the amounts that the federal government will pay for healthcare products and services.</w:t>
      </w:r>
    </w:p>
    <w:p>
      <w:pPr>
        <w:spacing w:after="0" w:line="187"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In addition, other legislative changes have been proposed and adopted since the Affordable Care Act was enacted. For example, in August 2011, the Budget Control Act of 2011, among other things, included aggregate reductions in Medicare payments to providers of 2% per fiscal year, which began in 2013 and will stay in effect through 2032 unless additional Congressional action is taken.</w:t>
      </w:r>
    </w:p>
    <w:p>
      <w:pPr>
        <w:spacing w:after="0" w:line="184" w:lineRule="exact"/>
        <w:rPr>
          <w:sz w:val="20"/>
          <w:szCs w:val="20"/>
          <w:color w:val="auto"/>
        </w:rPr>
      </w:pPr>
    </w:p>
    <w:p>
      <w:pPr>
        <w:jc w:val="both"/>
        <w:ind w:firstLine="721"/>
        <w:spacing w:after="0" w:line="288" w:lineRule="auto"/>
        <w:rPr>
          <w:sz w:val="20"/>
          <w:szCs w:val="20"/>
          <w:color w:val="auto"/>
        </w:rPr>
      </w:pPr>
      <w:r>
        <w:rPr>
          <w:rFonts w:ascii="Arial" w:cs="Arial" w:eastAsia="Arial" w:hAnsi="Arial"/>
          <w:sz w:val="17"/>
          <w:szCs w:val="17"/>
          <w:color w:val="auto"/>
        </w:rPr>
        <w:t>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 -Favored-Nation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720"/>
          </w:cols>
          <w:pgMar w:left="1080" w:top="1177" w:right="1080" w:bottom="0" w:gutter="0" w:footer="0" w:header="0"/>
          <w:type w:val="continuous"/>
        </w:sectPr>
      </w:pPr>
    </w:p>
    <w:bookmarkStart w:id="20" w:name="page21"/>
    <w:bookmarkEnd w:id="20"/>
    <w:p>
      <w:pPr>
        <w:jc w:val="both"/>
        <w:spacing w:after="0" w:line="299" w:lineRule="auto"/>
        <w:rPr>
          <w:sz w:val="20"/>
          <w:szCs w:val="20"/>
          <w:color w:val="auto"/>
        </w:rPr>
      </w:pPr>
      <w:r>
        <w:rPr>
          <w:rFonts w:ascii="Arial" w:cs="Arial" w:eastAsia="Arial" w:hAnsi="Arial"/>
          <w:sz w:val="17"/>
          <w:szCs w:val="17"/>
          <w:color w:val="auto"/>
        </w:rPr>
        <w:t xml:space="preserve">payment methodologies, among other things. These actions and policies may significantly reduce U.S. drug prices, potentially impacting manufacturers’ global pricing strategies and profitability, while increasing their operational costs and compliance risks. In June 2024, in </w:t>
      </w:r>
      <w:r>
        <w:rPr>
          <w:rFonts w:ascii="Arial" w:cs="Arial" w:eastAsia="Arial" w:hAnsi="Arial"/>
          <w:sz w:val="17"/>
          <w:szCs w:val="17"/>
          <w:i w:val="1"/>
          <w:iCs w:val="1"/>
          <w:color w:val="auto"/>
        </w:rPr>
        <w:t>Loper Bright Enterprises v. Raimondo</w:t>
      </w:r>
      <w:r>
        <w:rPr>
          <w:rFonts w:ascii="Arial" w:cs="Arial" w:eastAsia="Arial" w:hAnsi="Arial"/>
          <w:sz w:val="17"/>
          <w:szCs w:val="17"/>
          <w:color w:val="auto"/>
        </w:rPr>
        <w:t>, the United States Supreme Court greatly reduced judicial deference to regulatory agencies, which could increase successful legal challenges to federal regulations affecting our or our potential partners’ operations. Congress may introduce and ultimately pass health care related legislation that could impact the drug approval process and make changes to the Medicare Drug Price Negotiation Program.</w:t>
      </w:r>
    </w:p>
    <w:p>
      <w:pPr>
        <w:spacing w:after="0" w:line="150" w:lineRule="exact"/>
        <w:rPr>
          <w:sz w:val="20"/>
          <w:szCs w:val="20"/>
          <w:color w:val="auto"/>
        </w:rPr>
      </w:pPr>
    </w:p>
    <w:p>
      <w:pPr>
        <w:jc w:val="both"/>
        <w:ind w:firstLine="720"/>
        <w:spacing w:after="0" w:line="283" w:lineRule="auto"/>
        <w:rPr>
          <w:sz w:val="20"/>
          <w:szCs w:val="20"/>
          <w:color w:val="auto"/>
        </w:rPr>
      </w:pPr>
      <w:r>
        <w:rPr>
          <w:rFonts w:ascii="Arial" w:cs="Arial" w:eastAsia="Arial" w:hAnsi="Arial"/>
          <w:sz w:val="18"/>
          <w:szCs w:val="18"/>
          <w:color w:val="auto"/>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Any such importation plans, if implemented, may result in lower drug prices for products covered by those programs.</w:t>
      </w:r>
    </w:p>
    <w:p>
      <w:pPr>
        <w:spacing w:after="0" w:line="160"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Existing and future federal and state health care reform measures could harm our future revenue. Additional legislative actions may be taken in the future which may change current regulations, guidance and interpretations. The impact of such actions on our business, if any, cannot presently be determined.</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The Hatch Waxman Amendments to the FDCA</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Orange Book Listing</w:t>
      </w:r>
    </w:p>
    <w:p>
      <w:pPr>
        <w:spacing w:after="0" w:line="231"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In seeking approval for a drug through an NDA, applicants are required to list with the FDA each patent whose claims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an application covered by Section 505(b)(2) of the FDCA. An ANDA provides for marketing of a drug product that has the same active ingredients, generally in the same strengths and dosage form, as the listed drug and has been shown through PK testing to be bioequivalent to the listed drug. Drugs approved in this way are commonly referred to as “generic equivalents” to the listed drug and can often be substituted by pharmacists under prescriptions written for the original listed drug. Other than the requirement for bioequivalence testing, ANDA applicants are generally not required to conduct, or submit results of, preclinical studies or clinical tests to prove the safety or effectiveness of their drug product. Section 505(b)(2) applications provide for marketing of a drug product that may have the same active ingredients as the listed drug and contains full safety and effectiveness data as an NDA, but at least some of this information comes from studies not conducted by or for the applicant. This alternate regulatory pathway enables the applicant to rely, in part, on the FDA’s findings of safety and efficacy for an existing product, or published literature, in support of its application. The FDA may then approve the new product candidate for all or some of the labeled indications for which the referenced product has been approved, as well as for any new indication sought by the 505(b)(2) applicant.</w:t>
      </w:r>
    </w:p>
    <w:p>
      <w:pPr>
        <w:spacing w:after="0" w:line="119"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The ANDA or Section 505(b)(2)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or Section 505(b)(2) applicant may also elect to submit a statement certifying that its proposed ANDA label does not contain, or carves out, any language regarding a patented method of use rather than certify to such listed method of use patent. If the applicant does not challenge the listed patents by filing a certification that the listed patent is invalid or will not be infringed by the new product, the ANDA or Section 505(b)(2) application will not be approved until all the listed patents claiming the referenced product have expired.</w:t>
      </w:r>
    </w:p>
    <w:p>
      <w:pPr>
        <w:spacing w:after="0" w:line="119"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is called a Paragraph IV certification. If the ANDA or Section 505(b)(2) applicant has provided a Paragraph IV certification to the FDA, the applicant must also send notice of the Paragraph IV certification to the NDA and patent holders once the ANDA or Section 505(b)(2)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Section 505(b)(2) application until the earliest of 30 months, expiration of the patent, settlement of the lawsuit, and a decision in the infringement case that is favorable to</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720"/>
          </w:cols>
          <w:pgMar w:left="1080" w:top="1177" w:right="1080" w:bottom="0" w:gutter="0" w:footer="0" w:header="0"/>
          <w:type w:val="continuous"/>
        </w:sectPr>
      </w:pPr>
    </w:p>
    <w:bookmarkStart w:id="21" w:name="page22"/>
    <w:bookmarkEnd w:id="21"/>
    <w:p>
      <w:pPr>
        <w:jc w:val="both"/>
        <w:spacing w:after="0" w:line="258" w:lineRule="auto"/>
        <w:rPr>
          <w:sz w:val="20"/>
          <w:szCs w:val="20"/>
          <w:color w:val="auto"/>
        </w:rPr>
      </w:pPr>
      <w:r>
        <w:rPr>
          <w:rFonts w:ascii="Arial" w:cs="Arial" w:eastAsia="Arial" w:hAnsi="Arial"/>
          <w:sz w:val="20"/>
          <w:szCs w:val="20"/>
          <w:color w:val="auto"/>
        </w:rPr>
        <w:t>the ANDA or Section 505(b)(2) applicant. This prohibition is generally referred to as the 30-month stay. Thus, approval of an ANDA or 505(b)(2) NDA could be delayed for a significant period of time depending on the patent certification the applicant makes and the reference drug sponsor’s decision to initiate patent litigation.</w:t>
      </w:r>
    </w:p>
    <w:p>
      <w:pPr>
        <w:spacing w:after="0" w:line="132"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 ANDA or Section 505(b)(2) application also will not be approved until any applicable non-patent exclusivity listed in the Orange Book for the referenced product has expired.</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Patent Term Extension</w:t>
      </w:r>
    </w:p>
    <w:p>
      <w:pPr>
        <w:spacing w:after="0" w:line="184"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8"/>
          <w:szCs w:val="18"/>
          <w:color w:val="auto"/>
        </w:rPr>
        <w:t>In the United States, after NDA approval or BLA licensure, owners of relevant drug patents may apply for up to a five-year patent extension, which provides patent term restoration as compensation for the patent term lost during the FDA regulatory review process for the first permitted commercial marketing of a drug product. The Drug Price Competition and Patent Term Restoration Act of 1984 (the “Hatch-Waxman Act”), permits a patent term extension of up to five years beyond the expiration of the patent. The allowable patent term extension is calculated as half of the drug’s testing phase, which is the time between the IND submission becoming effective and the NDA or BLA submission, and all of the review phase, which is the time between NDA or BLA submission and approval, up to a maximum extension of five years. The time can be shortened if the FDA determines that the applicant did not pursue approval with due diligence. Patent extension cannot extend the remaining term of a patent beyond a total of 14 years from the date of product approval and only one patent applicable to an approved drug may be extended.</w:t>
      </w:r>
    </w:p>
    <w:p>
      <w:pPr>
        <w:spacing w:after="0" w:line="121"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Similar provisions are available in the European Union and other foreign jurisdictions to extend the term of a patent that covers an approved drug. For example, in Japan, it may be possible to extend the patent term for up to five years and in the European Union, it may be possible to obtain a supplementary protection certificate that would effectively extend patent protection for up to five years.</w:t>
      </w:r>
    </w:p>
    <w:p>
      <w:pPr>
        <w:spacing w:after="0" w:line="13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Coverage and Reimbursement</w:t>
      </w:r>
    </w:p>
    <w:p>
      <w:pPr>
        <w:spacing w:after="0" w:line="188"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9"/>
          <w:szCs w:val="19"/>
          <w:color w:val="auto"/>
        </w:rPr>
        <w:t>We believe the success of our product candidates, if approved, will depend on obtaining and maintaining coverage and adequate reimbursement as a prescription treatment or in the absence of coverage and adequate reimbursement, on the extent to which patients will be willing to pay out of pocket for our prescription drug products.</w:t>
      </w:r>
    </w:p>
    <w:p>
      <w:pPr>
        <w:spacing w:after="0" w:line="114"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Third-party payors determine which prescription drug products they will cover and establish reimbursement levels. Reimbursement by a third-party payor may depend upon a number of factors, including: the third-party payor’s determination that a product is safe, effective, and medically necessary; appropriate for the specific patient; cost-effective; supported by peer-reviewed medical journals or current clinical practice guidelines; and whether there are competitive products, either branded or generic, and the pricing of those products. Many private third-party payors, such as managed care plans, manage access to drug products’ coverage partly to control costs for their plans, and may use drug formularies and medical policies to limit their exposure. Obtaining and maintaining favorable reimbursement can be a time-consuming and expensive process, and our potential third-party partners may not be able to negotiate or continue to negotiate reimbursement or pricing terms for our product candidates, if approved, with third-party payors at levels that are profitable to us, or at all. Further coverage policies and third-party reimbursement rates may change at any time. Even if favorable coverage and reimbursement status is attained for one or more products which receive regulatory approval, less favorable coverage policies and reimbursement rates may be implemented in the future.</w:t>
      </w:r>
    </w:p>
    <w:p>
      <w:pPr>
        <w:spacing w:after="0" w:line="106" w:lineRule="exact"/>
        <w:rPr>
          <w:sz w:val="20"/>
          <w:szCs w:val="20"/>
          <w:color w:val="auto"/>
        </w:rPr>
      </w:pPr>
    </w:p>
    <w:p>
      <w:pPr>
        <w:jc w:val="both"/>
        <w:ind w:firstLine="721"/>
        <w:spacing w:after="0" w:line="288" w:lineRule="auto"/>
        <w:rPr>
          <w:sz w:val="20"/>
          <w:szCs w:val="20"/>
          <w:color w:val="auto"/>
        </w:rPr>
      </w:pPr>
      <w:r>
        <w:rPr>
          <w:rFonts w:ascii="Arial" w:cs="Arial" w:eastAsia="Arial" w:hAnsi="Arial"/>
          <w:sz w:val="17"/>
          <w:szCs w:val="17"/>
          <w:color w:val="auto"/>
        </w:rPr>
        <w:t>In addition to uncertainties surrounding coverage policies, there are periodic changes to reimbursement. Third-party payors regularly update reimbursement amounts and also from time to time revise the methodologies used to determine reimbursement amounts. Accordingly, these updates could impact the demand for our product candidates, if approved. Our product candidates, if approved, may not be considered cost effective, and government and third-party private health insurance coverage and reimbursement may not be available to patients or sufficient to allow our potential third-party partners to sell our product candidates, if approved, on a competitive and profitable basis. Further, the containment of healthcare costs also has become a priority of federal, state and foreign governments and the prices of drugs have been a focus in this effort.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 addition, increasing emphasis on managed care in the United States will continue to put pressure on the pricing of pharmaceutical products. Cost control initiatives could decrease the price that our potential third-party partners could receive for any of</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720"/>
          </w:cols>
          <w:pgMar w:left="1080" w:top="1177" w:right="1080" w:bottom="0" w:gutter="0" w:footer="0" w:header="0"/>
          <w:type w:val="continuous"/>
        </w:sectPr>
      </w:pPr>
    </w:p>
    <w:bookmarkStart w:id="22" w:name="page23"/>
    <w:bookmarkEnd w:id="22"/>
    <w:p>
      <w:pPr>
        <w:jc w:val="both"/>
        <w:spacing w:after="0" w:line="258" w:lineRule="auto"/>
        <w:rPr>
          <w:sz w:val="20"/>
          <w:szCs w:val="20"/>
          <w:color w:val="auto"/>
        </w:rPr>
      </w:pPr>
      <w:r>
        <w:rPr>
          <w:rFonts w:ascii="Arial" w:cs="Arial" w:eastAsia="Arial" w:hAnsi="Arial"/>
          <w:sz w:val="20"/>
          <w:szCs w:val="20"/>
          <w:color w:val="auto"/>
        </w:rPr>
        <w:t>our product candidates, if approved, and could adversely affect our profitability. We cannot predict how pending and future health care legislation will impact our business, and any changes in coverage and reimbursement that further restricts coverage of our product candidates could harm our business.</w:t>
      </w:r>
    </w:p>
    <w:p>
      <w:pPr>
        <w:spacing w:after="0" w:line="132"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Foreign governments also have their own health care reimbursement systems, which vary significantly by country and region, and we cannot be sure that coverage and adequate reimbursement will be made available with respect to our product candidates, if approved, under any foreign reimbursement system. In some foreign countries, including major markets in the European Union and Japan, the pricing of prescription pharmaceuticals is subject to governmental control. In these countries, pricing negotiations with governmental authorities can take up to 12 months or longer after the receipt of regulatory marketing approval for a product. To obtain reimbursement or pricing approval in some countries, we may be required to conduct a pharmacoeconomic study that compares the cost-effectiveness of our product to other available therapies. Such pharmacoeconomic studies can be costly and the results uncertain. Our business could be harmed if reimbursement of our product candidates, if approved, is unavailable or limited in scope or amount or if pricing is set at unsatisfactory levels.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188"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As of December 31, 2025, we had 73 total employees, of which 69 were full-time employees. None of our employees are represented by a labor union or covered by a collective bargaining agreement. We consider our relationship with our employees to be good. In addition to our employees, we engage consultants and independent contractors to provide flexibility in support of our business execution and objectives.</w:t>
      </w:r>
    </w:p>
    <w:p>
      <w:pPr>
        <w:spacing w:after="0" w:line="166"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18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were incorporated under the laws of the State of Delaware in July 2012. Our principal executive offices are located at 701 Lee Road, Suite 103, Wayne, PA 19087. Our telephone number is (484) 324-7933. Our common stock is listed on the Nasdaq Global Select Market under the symbol “ACRS.”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88"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Our internet website address is www.aclaristx.com. In addition to the information contained in this Annual Report, information about us can be found on our website. Our website and information included in or linked to our website are not part of this Annual Report.</w:t>
      </w:r>
    </w:p>
    <w:p>
      <w:pPr>
        <w:spacing w:after="0" w:line="106"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 (“SEC”). The SEC also maintains a website that contains our reports, proxy and information statements and other information. The address of the SEC’s website is www.sec.gov.</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720"/>
          </w:cols>
          <w:pgMar w:left="1080" w:top="1177" w:right="108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Item 1A. Risk Factors</w:t>
      </w:r>
    </w:p>
    <w:p>
      <w:pPr>
        <w:spacing w:after="0" w:line="236"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i w:val="1"/>
          <w:iCs w:val="1"/>
          <w:color w:val="auto"/>
        </w:rPr>
        <w:t>Our business is subject to numerous risks. You should carefully consider the following risks and all other information contained in this Annual Report, as well as general economic and business risks, together with any other documents we file with the SEC. If any of the following events actually occur or risks actually materialize, it could have a material adverse effect on our business, operating results and financial condition and cause the trading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Risk Factors</w:t>
      </w:r>
    </w:p>
    <w:p>
      <w:pPr>
        <w:spacing w:after="0" w:line="249" w:lineRule="exact"/>
        <w:rPr>
          <w:sz w:val="20"/>
          <w:szCs w:val="20"/>
          <w:color w:val="auto"/>
        </w:rPr>
      </w:pPr>
    </w:p>
    <w:p>
      <w:pPr>
        <w:ind w:left="1080" w:hanging="353"/>
        <w:spacing w:after="0" w:line="258" w:lineRule="auto"/>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have incurred significant losses since our inception. We expect to incur losses over the next several years and may never achieve or maintain profitability.</w:t>
      </w:r>
    </w:p>
    <w:p>
      <w:pPr>
        <w:spacing w:after="0" w:line="1" w:lineRule="exact"/>
        <w:rPr>
          <w:rFonts w:ascii="Arial" w:cs="Arial" w:eastAsia="Arial" w:hAnsi="Arial"/>
          <w:sz w:val="20"/>
          <w:szCs w:val="20"/>
          <w:color w:val="auto"/>
        </w:rPr>
      </w:pPr>
    </w:p>
    <w:p>
      <w:pPr>
        <w:jc w:val="both"/>
        <w:ind w:left="1080" w:hanging="353"/>
        <w:spacing w:after="0" w:line="291"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need substantial additional funding to meet our financial obligations and to pursue our business objectives. If we are unable to raise capital when needed, we could be forced to curtail our planned operations.</w:t>
      </w:r>
    </w:p>
    <w:p>
      <w:pPr>
        <w:spacing w:after="0" w:line="1" w:lineRule="exact"/>
        <w:rPr>
          <w:rFonts w:ascii="Arial" w:cs="Arial" w:eastAsia="Arial" w:hAnsi="Arial"/>
          <w:sz w:val="17"/>
          <w:szCs w:val="17"/>
          <w:color w:val="auto"/>
        </w:rPr>
      </w:pPr>
    </w:p>
    <w:p>
      <w:pPr>
        <w:jc w:val="both"/>
        <w:ind w:left="1080" w:hanging="353"/>
        <w:spacing w:after="0" w:line="244" w:lineRule="auto"/>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have a limited history as a clinical-stage biopharmaceutical company developing and partnering our product candidates, which may make it difficult to evaluate the success of our business to date and to assess our future viability.</w:t>
      </w:r>
    </w:p>
    <w:p>
      <w:pPr>
        <w:spacing w:after="0" w:line="1" w:lineRule="exact"/>
        <w:rPr>
          <w:rFonts w:ascii="Arial" w:cs="Arial" w:eastAsia="Arial" w:hAnsi="Arial"/>
          <w:sz w:val="20"/>
          <w:szCs w:val="20"/>
          <w:color w:val="auto"/>
        </w:rPr>
      </w:pPr>
    </w:p>
    <w:p>
      <w:pPr>
        <w:jc w:val="both"/>
        <w:ind w:left="1080" w:hanging="353"/>
        <w:spacing w:after="0" w:line="27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successfully develop our product candidates and identify and consummate transactions with third-party partners to further develop, obtain marketing approval for and/or commercialize our product candidates, or experience significant delays in doing so, our business will be harmed.</w:t>
      </w:r>
    </w:p>
    <w:p>
      <w:pPr>
        <w:ind w:left="1080" w:hanging="353"/>
        <w:spacing w:after="0" w:line="248" w:lineRule="auto"/>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future success depends on our ability to retain key executives and to attract, retain and motivate qualified personnel.</w:t>
      </w:r>
    </w:p>
    <w:p>
      <w:pPr>
        <w:ind w:left="1080" w:hanging="353"/>
        <w:spacing w:after="0" w:line="247" w:lineRule="auto"/>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rely heavily on third parties for clinical trials, manufacturing, and development support. Their performance impacts our timelines and success.</w:t>
      </w:r>
    </w:p>
    <w:p>
      <w:pPr>
        <w:jc w:val="both"/>
        <w:ind w:left="1080" w:hanging="353"/>
        <w:spacing w:after="0" w:line="243" w:lineRule="auto"/>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If we are unable to obtain and maintain patent protection for our product candidates, or if the scope of the patent protection obtained is not sufficiently broad, our competitors could develop and commercialize technology and drugs similar or identical to ours, and our ability to successfully identify and consummate transactions with potential third-party partners, to commercialize our technology and product candidates may be impaired.</w:t>
      </w:r>
    </w:p>
    <w:p>
      <w:pPr>
        <w:ind w:left="1080" w:hanging="353"/>
        <w:spacing w:after="0" w:line="254" w:lineRule="auto"/>
        <w:tabs>
          <w:tab w:leader="none" w:pos="108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face substantial competition, which may result in others discovering, developing or commercializing drugs before or more successfully than we do.</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Our Financial Position and Capital Needs</w:t>
      </w:r>
    </w:p>
    <w:p>
      <w:pPr>
        <w:spacing w:after="0" w:line="234" w:lineRule="exact"/>
        <w:rPr>
          <w:sz w:val="20"/>
          <w:szCs w:val="20"/>
          <w:color w:val="auto"/>
        </w:rPr>
      </w:pPr>
    </w:p>
    <w:p>
      <w:pPr>
        <w:ind w:right="40" w:firstLine="720"/>
        <w:spacing w:after="0" w:line="278" w:lineRule="auto"/>
        <w:rPr>
          <w:sz w:val="20"/>
          <w:szCs w:val="20"/>
          <w:color w:val="auto"/>
        </w:rPr>
      </w:pPr>
      <w:r>
        <w:rPr>
          <w:rFonts w:ascii="Arial" w:cs="Arial" w:eastAsia="Arial" w:hAnsi="Arial"/>
          <w:sz w:val="20"/>
          <w:szCs w:val="20"/>
          <w:b w:val="1"/>
          <w:bCs w:val="1"/>
          <w:i w:val="1"/>
          <w:iCs w:val="1"/>
          <w:color w:val="auto"/>
        </w:rPr>
        <w:t>We have incurred significant losses since our inception. We expect to incur losses over the next several years and may never achieve or maintain profitability.</w:t>
      </w:r>
    </w:p>
    <w:p>
      <w:pPr>
        <w:spacing w:after="0" w:line="157" w:lineRule="exact"/>
        <w:rPr>
          <w:sz w:val="20"/>
          <w:szCs w:val="20"/>
          <w:color w:val="auto"/>
        </w:rPr>
      </w:pPr>
    </w:p>
    <w:p>
      <w:pPr>
        <w:jc w:val="both"/>
        <w:ind w:firstLine="720"/>
        <w:spacing w:after="0" w:line="251" w:lineRule="auto"/>
        <w:rPr>
          <w:sz w:val="20"/>
          <w:szCs w:val="20"/>
          <w:color w:val="auto"/>
        </w:rPr>
      </w:pPr>
      <w:r>
        <w:rPr>
          <w:rFonts w:ascii="Arial" w:cs="Arial" w:eastAsia="Arial" w:hAnsi="Arial"/>
          <w:sz w:val="20"/>
          <w:szCs w:val="20"/>
          <w:color w:val="auto"/>
        </w:rPr>
        <w:t>Since inception, we have incurred significant net losses. We incurred net losses of $64.9 million and $132.1 million for the years ended December 31, 2025 and 2024, respectively. As of December 31, 2025, we had an accumulated deficit of $967.8 million. We have financed our operations over the last several years primarily from sales of equity securities and non-dilutive financing.</w:t>
      </w:r>
    </w:p>
    <w:p>
      <w:pPr>
        <w:spacing w:after="0" w:line="185"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We have devoted substantially all of our financial resources and efforts to the development of our product candidates, including preclinical studies and clinical trials. Our net losses may fluctuate significantly from quarter to quarter and year to year. We expect to continue to incur significant expenses and operating losses in the near term as we:</w:t>
      </w:r>
    </w:p>
    <w:p>
      <w:pPr>
        <w:spacing w:after="0" w:line="156" w:lineRule="exact"/>
        <w:rPr>
          <w:sz w:val="20"/>
          <w:szCs w:val="20"/>
          <w:color w:val="auto"/>
        </w:rPr>
      </w:pPr>
    </w:p>
    <w:p>
      <w:pPr>
        <w:ind w:left="1080" w:hanging="353"/>
        <w:spacing w:after="0" w:line="258" w:lineRule="auto"/>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seek to identify and consummate transactions with third-party partners to further develop, obtain marketing approval for and/or commercialize our product candidates;</w:t>
      </w:r>
    </w:p>
    <w:p>
      <w:pPr>
        <w:spacing w:after="0" w:line="1" w:lineRule="exact"/>
        <w:rPr>
          <w:rFonts w:ascii="Arial" w:cs="Arial" w:eastAsia="Arial" w:hAnsi="Arial"/>
          <w:sz w:val="20"/>
          <w:szCs w:val="20"/>
          <w:color w:val="auto"/>
        </w:rPr>
      </w:pPr>
    </w:p>
    <w:p>
      <w:pPr>
        <w:ind w:left="1080" w:hanging="353"/>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continue to develop our product candidates;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continue to discover and develop additional product candidates;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 and</w:t>
      </w:r>
    </w:p>
    <w:p>
      <w:pPr>
        <w:spacing w:after="0" w:line="13" w:lineRule="exact"/>
        <w:rPr>
          <w:rFonts w:ascii="Arial" w:cs="Arial" w:eastAsia="Arial" w:hAnsi="Arial"/>
          <w:sz w:val="20"/>
          <w:szCs w:val="20"/>
          <w:color w:val="auto"/>
        </w:rPr>
      </w:pPr>
    </w:p>
    <w:p>
      <w:pPr>
        <w:ind w:left="1080" w:hanging="352"/>
        <w:spacing w:after="0" w:line="254" w:lineRule="auto"/>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incur legal, accounting, investor relations and other administrative expenses in operating as a public company.</w:t>
      </w:r>
    </w:p>
    <w:p>
      <w:pPr>
        <w:spacing w:after="0" w:line="182" w:lineRule="exact"/>
        <w:rPr>
          <w:sz w:val="20"/>
          <w:szCs w:val="20"/>
          <w:color w:val="auto"/>
        </w:rPr>
      </w:pPr>
    </w:p>
    <w:p>
      <w:pPr>
        <w:ind w:firstLine="720"/>
        <w:spacing w:after="0" w:line="334" w:lineRule="auto"/>
        <w:rPr>
          <w:sz w:val="20"/>
          <w:szCs w:val="20"/>
          <w:color w:val="auto"/>
        </w:rPr>
      </w:pPr>
      <w:r>
        <w:rPr>
          <w:rFonts w:ascii="Arial" w:cs="Arial" w:eastAsia="Arial" w:hAnsi="Arial"/>
          <w:sz w:val="18"/>
          <w:szCs w:val="18"/>
          <w:color w:val="auto"/>
        </w:rPr>
        <w:t>To become and remain profitable, we must succeed in a range of challenging activities, including completing preclinical testing and clinical trials of our product candidates and identifying and consummating transactions with third-</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720"/>
          </w:cols>
          <w:pgMar w:left="1080" w:top="1173" w:right="1080" w:bottom="0" w:gutter="0" w:footer="0" w:header="0"/>
          <w:type w:val="continuous"/>
        </w:sectPr>
      </w:pPr>
    </w:p>
    <w:bookmarkStart w:id="24" w:name="page25"/>
    <w:bookmarkEnd w:id="24"/>
    <w:p>
      <w:pPr>
        <w:jc w:val="both"/>
        <w:spacing w:after="0" w:line="252" w:lineRule="auto"/>
        <w:rPr>
          <w:sz w:val="20"/>
          <w:szCs w:val="20"/>
          <w:color w:val="auto"/>
        </w:rPr>
      </w:pPr>
      <w:r>
        <w:rPr>
          <w:rFonts w:ascii="Arial" w:cs="Arial" w:eastAsia="Arial" w:hAnsi="Arial"/>
          <w:sz w:val="20"/>
          <w:szCs w:val="20"/>
          <w:color w:val="auto"/>
        </w:rPr>
        <w:t>party partners for the further development and/or commercialization of our product candidates, as well as discovering and developing additional product candidates. We are in the early stages of most of these activities. We may never succeed in these activities and, even if we do, may never earn revenue from our product candidates that is significant enough to achieve profitability.</w:t>
      </w:r>
    </w:p>
    <w:p>
      <w:pPr>
        <w:spacing w:after="0" w:line="184"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8"/>
          <w:szCs w:val="18"/>
          <w:color w:val="auto"/>
        </w:rPr>
        <w:t>For any of our product candidates, our revenue will be dependent, in part, upon our ability to identify and consummate transactions with third-party partners to further develop, obtain marketing approval for and/or commercialize those product candidates. Further, we will be dependent on our potential third-party partners’ ability to obtain marketing approval and successfully commercialize the product, upon the size of the markets in the territories where marketing approval is obtained, the accepted price for the product, and the ability to obtain coverage and reimbursement, if any. If we fail to identify and enter into partnerships with third parties to further develop, obtain marketing approval for and/or commercialize our product candidates, any partnerships we enter into do not result in the successful development, marketing approval for and commercialization of our product candidates, the number of addressable patients is not as significant as estimated by our potential third-party partners, the indication approved by regulatory authorities is narrower than expected, or the treatment population is narrowed by competition, physician choice or treatment guidelines, we may not earn significant revenue from agreements with potential third-party partners for such product candidates, even if the product candidates are approved for marketing.</w:t>
      </w:r>
    </w:p>
    <w:p>
      <w:pPr>
        <w:spacing w:after="0" w:line="166"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expected, or if there are any delays in the initiation and completion of our clinical trials, the development of any of our product candidates or the identification and consummation of transactions with third-party partners to further develop, obtain marketing approval for and/or commercialize our product candidates, our expenses could increase.</w:t>
      </w:r>
    </w:p>
    <w:p>
      <w:pPr>
        <w:spacing w:after="0" w:line="189"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or continue our operations. A decline in the value of our company could also cause you to lose all or part of your investment.</w:t>
      </w:r>
    </w:p>
    <w:p>
      <w:pPr>
        <w:spacing w:after="0" w:line="185" w:lineRule="exact"/>
        <w:rPr>
          <w:sz w:val="20"/>
          <w:szCs w:val="20"/>
          <w:color w:val="auto"/>
        </w:rPr>
      </w:pPr>
    </w:p>
    <w:p>
      <w:pPr>
        <w:jc w:val="both"/>
        <w:ind w:firstLine="720"/>
        <w:spacing w:after="0" w:line="334" w:lineRule="auto"/>
        <w:rPr>
          <w:sz w:val="20"/>
          <w:szCs w:val="20"/>
          <w:color w:val="auto"/>
        </w:rPr>
      </w:pPr>
      <w:r>
        <w:rPr>
          <w:rFonts w:ascii="Arial" w:cs="Arial" w:eastAsia="Arial" w:hAnsi="Arial"/>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w:t>
      </w:r>
    </w:p>
    <w:p>
      <w:pPr>
        <w:spacing w:after="0" w:line="114"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identify and consummate transactions with third-party partners to further develop, obtain marketing approval for and/or commercialize our product candidates. We expect to incur significant expenses and operating losses for the foreseeable future as we advance our product candidates from discovery through preclinical and clinical development. In addition, we may not be able to identify and consummate transactions with third-party partners to further develop, obtain marketing approval for and/or commercialize our product candidates, and our product candidates, if approved, may not achieve commercial success. Furthermore, we incur and expect to continue to incur significant costs associated with operating as a public company, including legal, accounting, investor relations and other expenses.</w:t>
      </w:r>
    </w:p>
    <w:p>
      <w:pPr>
        <w:spacing w:after="0" w:line="165"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As of December 31, 2025, we had cash, cash equivalents and marketable securities of $151.4 million. We believe that our existing cash, cash equivalents and marketable securities as of the date of this Annual Report will enable us to fund our operating expenses and capital expenditure requirements for a period greater than 12 months from the date of this report based on our current operating assumptions. These assumptions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products or product candidates, and changes in regulation. Our future capital requirements will depend on many factors, including:</w:t>
      </w:r>
    </w:p>
    <w:p>
      <w:pPr>
        <w:spacing w:after="0" w:line="191" w:lineRule="exact"/>
        <w:rPr>
          <w:sz w:val="20"/>
          <w:szCs w:val="20"/>
          <w:color w:val="auto"/>
        </w:rPr>
      </w:pPr>
    </w:p>
    <w:p>
      <w:pPr>
        <w:ind w:left="1080" w:hanging="351"/>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number and development requirements of the product candidates that we may pursue;</w:t>
      </w:r>
    </w:p>
    <w:p>
      <w:pPr>
        <w:spacing w:after="0" w:line="36" w:lineRule="exact"/>
        <w:rPr>
          <w:rFonts w:ascii="Arial" w:cs="Arial" w:eastAsia="Arial" w:hAnsi="Arial"/>
          <w:sz w:val="20"/>
          <w:szCs w:val="20"/>
          <w:color w:val="auto"/>
        </w:rPr>
      </w:pPr>
    </w:p>
    <w:p>
      <w:pPr>
        <w:ind w:left="1080" w:hanging="351"/>
        <w:spacing w:after="0" w:line="247" w:lineRule="auto"/>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scope, progress, results and costs of preclinical development, laboratory testing and conducting preclinical and clinical studies for our product candidates;</w:t>
      </w:r>
    </w:p>
    <w:p>
      <w:pPr>
        <w:ind w:left="1080" w:hanging="351"/>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costs, timing and outcome of regulatory review of our product candidates;</w:t>
      </w:r>
    </w:p>
    <w:p>
      <w:pPr>
        <w:spacing w:after="0" w:line="14" w:lineRule="exact"/>
        <w:rPr>
          <w:rFonts w:ascii="Arial" w:cs="Arial" w:eastAsia="Arial" w:hAnsi="Arial"/>
          <w:sz w:val="20"/>
          <w:szCs w:val="20"/>
          <w:color w:val="auto"/>
        </w:rPr>
      </w:pPr>
    </w:p>
    <w:p>
      <w:pPr>
        <w:ind w:left="1080" w:hanging="351"/>
        <w:spacing w:after="0"/>
        <w:tabs>
          <w:tab w:leader="none" w:pos="10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extent to which we in-license or acquire product candidates and technologies;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720"/>
          </w:cols>
          <w:pgMar w:left="1080" w:top="1177" w:right="1080" w:bottom="0" w:gutter="0" w:footer="0" w:header="0"/>
          <w:type w:val="continuous"/>
        </w:sectPr>
      </w:pPr>
    </w:p>
    <w:bookmarkStart w:id="25" w:name="page26"/>
    <w:bookmarkEnd w:id="25"/>
    <w:p>
      <w:pPr>
        <w:ind w:left="1080" w:hanging="353"/>
        <w:spacing w:after="0" w:line="259" w:lineRule="auto"/>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maintaining and enforcing our intellectual property rights and defending any intellectual property-related claims;</w:t>
      </w:r>
    </w:p>
    <w:p>
      <w:pPr>
        <w:ind w:left="1080" w:hanging="353"/>
        <w:spacing w:after="0" w:line="247" w:lineRule="auto"/>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our ability to identify and consummate transactions with third-party partners to further develop, obtain marketing approval for and/or commercialize our product candidates; and</w:t>
      </w:r>
    </w:p>
    <w:p>
      <w:pPr>
        <w:ind w:left="1080" w:hanging="353"/>
        <w:spacing w:after="0"/>
        <w:tabs>
          <w:tab w:leader="none" w:pos="10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our ability to earn revenue from licenses to, or partnerships or other arrangements with, third parties.</w:t>
      </w:r>
    </w:p>
    <w:p>
      <w:pPr>
        <w:spacing w:after="0" w:line="22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We will require additional capital to develop our product candidates and to support our discovery efforts. Additional funds may not be available on a timely basis, on commercially acceptable terms, or at all, and such funds, if raised, may not be sufficient to enable us to continue to implement our long-term business strategy. Our ability to raise additional capital may be adversely impacted by potential worsening global economic conditions caused by a variety of factors including geopolitical tensions, tariff policies, and inflationary pressures. If we are unable to raise sufficient additional capital or generate revenue from transactions with potential third-party partners for the development and/or commercialization of our product candidates, we could be forced to curtail our planned operations.</w:t>
      </w:r>
    </w:p>
    <w:p>
      <w:pPr>
        <w:spacing w:after="0" w:line="161" w:lineRule="exact"/>
        <w:rPr>
          <w:sz w:val="20"/>
          <w:szCs w:val="20"/>
          <w:color w:val="auto"/>
        </w:rPr>
      </w:pPr>
    </w:p>
    <w:p>
      <w:pPr>
        <w:jc w:val="both"/>
        <w:ind w:firstLine="720"/>
        <w:spacing w:after="0" w:line="37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intellectual property, potential future revenue streams or product candidates.</w:t>
      </w:r>
    </w:p>
    <w:p>
      <w:pPr>
        <w:spacing w:after="0" w:line="87"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Until such time, if ever, as we can earn substantial revenue, we expect to finance our cash needs through a combination of equity offerings, debt financings and license and partnership agreements or other non-dilutive financing. To the extent that we raise additional capital through the sale of equity securities or convertible debt securities, our stockholders’ ownership interest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7"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If we raise additional funds through partnerships, strategic alliances or marketing, distribution or licensing arrangements with potential third-party partners, we may be required to relinquish valuable rights to our technologies, intellectual property, potential future revenue streams, or product candidates or grant licenses on terms that may not be favorable to us. If we are unable to raise additional funds through equity or debt financings or other arrangements with third parties when needed, we may be required to delay, limit, reduce or terminate our drug development efforts or grant rights to third parties to develop technologies, intellectual property, or product candidates that we would otherwise prefer to develop ourselves.</w:t>
      </w:r>
    </w:p>
    <w:p>
      <w:pPr>
        <w:spacing w:after="0" w:line="19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b w:val="1"/>
          <w:bCs w:val="1"/>
          <w:i w:val="1"/>
          <w:iCs w:val="1"/>
          <w:color w:val="auto"/>
        </w:rPr>
        <w:t>We have a limited history as a clinical-stage biopharmaceutical company developing and partnering our product candidates, which may make it difficult to evaluate the success of our business to date and to assess our future viability.</w:t>
      </w:r>
    </w:p>
    <w:p>
      <w:pPr>
        <w:spacing w:after="0" w:line="176"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Our operations over the last several years have been largely focused on undertaking preclinical studies and conducting clinical trials, drug discovery, acquiring new product candidates and related intellectual property, and raising capital. We have had limited time to demonstrate our ability to successfully develop, manufacture and identify and consummate transactions with third-party partners to further develop, obtain marketing approval for and/or commercialize our product candidates. Consequently, any predictions you make about our future success or viability may not be as accurate as they could be if we had a longer history of being a clinical-stage biopharmaceutical company focused on developing and partnering product candidates. We may also encounter unforeseen expenses, difficulties, complications, delays and other known or unknown factors in achieving our business objectives.</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9"/>
          <w:szCs w:val="19"/>
          <w:b w:val="1"/>
          <w:bCs w:val="1"/>
          <w:i w:val="1"/>
          <w:iCs w:val="1"/>
          <w:color w:val="auto"/>
        </w:rPr>
        <w:t>Certain estimates of market opportunity and forecasts may prove to be smaller than we believe.</w:t>
      </w:r>
    </w:p>
    <w:p>
      <w:pPr>
        <w:spacing w:after="0" w:line="241"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projections of addressable patient populations within the indications we pursue are based on our estimates and independent market research, industry and general publications obtained from third parties. Market opportunity estimates and growth forecasts included in this Annual Report and the other documents that we file with the SEC are subject to significant uncertainty and are based on assumptions and estimates. These estimates, which have been derived from a variety of sources, including scientific literature and market research, may prove to be incorrect. Further, new studies may change the estimated incidence or prevalence of these indications. Additionally, the potentially addressable patient population may not ultimately be amenable to treatment with</w:t>
      </w:r>
    </w:p>
    <w:p>
      <w:pPr>
        <w:sectPr>
          <w:pgSz w:w="11880" w:h="15480" w:orient="portrait"/>
          <w:cols w:equalWidth="0" w:num="1">
            <w:col w:w="9720"/>
          </w:cols>
          <w:pgMar w:left="1080" w:top="1191" w:right="108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720"/>
          </w:cols>
          <w:pgMar w:left="1080" w:top="1191" w:right="1080" w:bottom="0" w:gutter="0" w:footer="0" w:header="0"/>
          <w:type w:val="continuous"/>
        </w:sectPr>
      </w:pPr>
    </w:p>
    <w:bookmarkStart w:id="26" w:name="page27"/>
    <w:bookmarkEnd w:id="26"/>
    <w:p>
      <w:pPr>
        <w:jc w:val="both"/>
        <w:spacing w:after="0" w:line="252" w:lineRule="auto"/>
        <w:rPr>
          <w:sz w:val="20"/>
          <w:szCs w:val="20"/>
          <w:color w:val="auto"/>
        </w:rPr>
      </w:pPr>
      <w:r>
        <w:rPr>
          <w:rFonts w:ascii="Arial" w:cs="Arial" w:eastAsia="Arial" w:hAnsi="Arial"/>
          <w:sz w:val="20"/>
          <w:szCs w:val="20"/>
          <w:color w:val="auto"/>
        </w:rPr>
        <w:t>our product candidates. Our market opportunity may also be limited by current and future products of our competitors that are already available in the market or may enter the market for such patients. If any of our estimates prove to be inaccurate, the market opportunity for our product candidates could be significantly diminished and have an adverse material impact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Development and Potential Commercialization of Our Product Candidates</w:t>
      </w:r>
    </w:p>
    <w:p>
      <w:pPr>
        <w:spacing w:after="0" w:line="235" w:lineRule="exact"/>
        <w:rPr>
          <w:sz w:val="20"/>
          <w:szCs w:val="20"/>
          <w:color w:val="auto"/>
        </w:rPr>
      </w:pPr>
    </w:p>
    <w:p>
      <w:pPr>
        <w:jc w:val="both"/>
        <w:ind w:firstLine="612"/>
        <w:spacing w:after="0" w:line="277" w:lineRule="auto"/>
        <w:rPr>
          <w:sz w:val="20"/>
          <w:szCs w:val="20"/>
          <w:color w:val="auto"/>
        </w:rPr>
      </w:pPr>
      <w:r>
        <w:rPr>
          <w:rFonts w:ascii="Arial" w:cs="Arial" w:eastAsia="Arial" w:hAnsi="Arial"/>
          <w:sz w:val="20"/>
          <w:szCs w:val="20"/>
          <w:b w:val="1"/>
          <w:bCs w:val="1"/>
          <w:i w:val="1"/>
          <w:iCs w:val="1"/>
          <w:color w:val="auto"/>
        </w:rPr>
        <w:t>Biologics carry unique risks and uncertainties, which could have a negative impact on future results of operations.</w:t>
      </w:r>
    </w:p>
    <w:p>
      <w:pPr>
        <w:spacing w:after="0" w:line="159" w:lineRule="exact"/>
        <w:rPr>
          <w:sz w:val="20"/>
          <w:szCs w:val="20"/>
          <w:color w:val="auto"/>
        </w:rPr>
      </w:pPr>
    </w:p>
    <w:p>
      <w:pPr>
        <w:jc w:val="both"/>
        <w:ind w:firstLine="612"/>
        <w:spacing w:after="0" w:line="271" w:lineRule="auto"/>
        <w:rPr>
          <w:sz w:val="20"/>
          <w:szCs w:val="20"/>
          <w:color w:val="auto"/>
        </w:rPr>
      </w:pPr>
      <w:r>
        <w:rPr>
          <w:rFonts w:ascii="Arial" w:cs="Arial" w:eastAsia="Arial" w:hAnsi="Arial"/>
          <w:sz w:val="18"/>
          <w:szCs w:val="18"/>
          <w:color w:val="auto"/>
        </w:rPr>
        <w:t>The successful discovery, development, manufacturing and sale of biologics is a long, expensive and uncertain process subject to more complex regulatory requirements than small molecule drugs.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The types of analytical development data necessary for verifying structural biocomparability when changing manufacturing sites is also more difficult and complex to generate for biologics than for other pharmaceutical products.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In addition, the regulatory scrutiny of and landscape for the chemistry, manufacturing and analytical controls information is also considered to be more complex for biologics than other pharmaceutical products. Failure to successfully discover, develop and manufacture our biological product candidates would adversely impact our business and future results of operations.</w:t>
      </w:r>
    </w:p>
    <w:p>
      <w:pPr>
        <w:spacing w:after="0" w:line="174" w:lineRule="exact"/>
        <w:rPr>
          <w:sz w:val="20"/>
          <w:szCs w:val="20"/>
          <w:color w:val="auto"/>
        </w:rPr>
      </w:pPr>
    </w:p>
    <w:p>
      <w:pPr>
        <w:jc w:val="both"/>
        <w:ind w:firstLine="612"/>
        <w:spacing w:after="0" w:line="278" w:lineRule="auto"/>
        <w:rPr>
          <w:sz w:val="20"/>
          <w:szCs w:val="20"/>
          <w:color w:val="auto"/>
        </w:rPr>
      </w:pPr>
      <w:r>
        <w:rPr>
          <w:rFonts w:ascii="Arial" w:cs="Arial" w:eastAsia="Arial" w:hAnsi="Arial"/>
          <w:sz w:val="20"/>
          <w:szCs w:val="20"/>
          <w:b w:val="1"/>
          <w:bCs w:val="1"/>
          <w:i w:val="1"/>
          <w:iCs w:val="1"/>
          <w:color w:val="auto"/>
        </w:rPr>
        <w:t>We may not be successful in our efforts to identify and develop additional product candidates, including through leveraging our KINect drug discovery platform.</w:t>
      </w:r>
    </w:p>
    <w:p>
      <w:pPr>
        <w:spacing w:after="0" w:line="157" w:lineRule="exact"/>
        <w:rPr>
          <w:sz w:val="20"/>
          <w:szCs w:val="20"/>
          <w:color w:val="auto"/>
        </w:rPr>
      </w:pPr>
    </w:p>
    <w:p>
      <w:pPr>
        <w:jc w:val="both"/>
        <w:ind w:firstLine="612"/>
        <w:spacing w:after="0" w:line="249" w:lineRule="auto"/>
        <w:rPr>
          <w:sz w:val="20"/>
          <w:szCs w:val="20"/>
          <w:color w:val="auto"/>
        </w:rPr>
      </w:pPr>
      <w:r>
        <w:rPr>
          <w:rFonts w:ascii="Arial" w:cs="Arial" w:eastAsia="Arial" w:hAnsi="Arial"/>
          <w:sz w:val="20"/>
          <w:szCs w:val="20"/>
          <w:color w:val="auto"/>
        </w:rPr>
        <w:t>A key element of our approach is to identify and develop additional novel product candidates, including through leveraging our KINect drug discovery engine. Our platform is powered by a unique combination of our proprietary chemical library of kinase inhibitors, our novel approaches to inhibitor modalities, our expertise in SBDD, and our custom kinase assays. Our ability to identify and develop additional product candidates is subject to numerous risks, including that:</w:t>
      </w:r>
    </w:p>
    <w:p>
      <w:pPr>
        <w:spacing w:after="0" w:line="202" w:lineRule="exact"/>
        <w:rPr>
          <w:sz w:val="20"/>
          <w:szCs w:val="20"/>
          <w:color w:val="auto"/>
        </w:rPr>
      </w:pPr>
    </w:p>
    <w:p>
      <w:pPr>
        <w:ind w:left="1080" w:hanging="352"/>
        <w:spacing w:after="0" w:line="259" w:lineRule="auto"/>
        <w:tabs>
          <w:tab w:leader="none" w:pos="10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our drug discovery methods and our KINect platform may not be successful in identifying additional product candidates;</w:t>
      </w:r>
    </w:p>
    <w:p>
      <w:pPr>
        <w:ind w:left="1080" w:hanging="352"/>
        <w:spacing w:after="0" w:line="247" w:lineRule="auto"/>
        <w:tabs>
          <w:tab w:leader="none" w:pos="10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our discovery programs may initially show promise in identifying potential product candidates, yet fail to yield product candidates for clinical development; and</w:t>
      </w:r>
    </w:p>
    <w:p>
      <w:pPr>
        <w:jc w:val="both"/>
        <w:ind w:left="1080" w:hanging="352"/>
        <w:spacing w:after="0" w:line="247" w:lineRule="auto"/>
        <w:tabs>
          <w:tab w:leader="none" w:pos="10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88" w:lineRule="exact"/>
        <w:rPr>
          <w:sz w:val="20"/>
          <w:szCs w:val="20"/>
          <w:color w:val="auto"/>
        </w:rPr>
      </w:pPr>
    </w:p>
    <w:p>
      <w:pPr>
        <w:jc w:val="both"/>
        <w:ind w:firstLine="720"/>
        <w:spacing w:after="0" w:line="299" w:lineRule="auto"/>
        <w:rPr>
          <w:sz w:val="20"/>
          <w:szCs w:val="20"/>
          <w:color w:val="auto"/>
        </w:rPr>
      </w:pPr>
      <w:r>
        <w:rPr>
          <w:rFonts w:ascii="Arial" w:cs="Arial" w:eastAsia="Arial" w:hAnsi="Arial"/>
          <w:sz w:val="17"/>
          <w:szCs w:val="17"/>
          <w:color w:val="auto"/>
        </w:rPr>
        <w:t>In addition, discovery programs require substantial technical, financial and human resources. We may not be able to maintain sufficient resources and expertise to discover additional product candidates. It could take years to identify a viable product candidate, and there is a risk that we may never do so. If we are unable to identify successful product candidates for preclinical and clinical development and regulatory approval in a timely matter or at all, we could experience significant delays or an inability to successfully identify and consummate transactions with third-party partners to further develop, obtain marketing approval for and/or commercialize our product candidates, which could harm our business.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720"/>
          </w:cols>
          <w:pgMar w:left="1080" w:top="1177" w:right="1080" w:bottom="0" w:gutter="0" w:footer="0" w:header="0"/>
          <w:type w:val="continuous"/>
        </w:sectPr>
      </w:pPr>
    </w:p>
    <w:bookmarkStart w:id="27" w:name="page28"/>
    <w:bookmarkEnd w:id="27"/>
    <w:p>
      <w:pPr>
        <w:jc w:val="both"/>
        <w:ind w:firstLine="720"/>
        <w:spacing w:after="0" w:line="301" w:lineRule="auto"/>
        <w:rPr>
          <w:sz w:val="20"/>
          <w:szCs w:val="20"/>
          <w:color w:val="auto"/>
        </w:rPr>
      </w:pPr>
      <w:r>
        <w:rPr>
          <w:rFonts w:ascii="Arial" w:cs="Arial" w:eastAsia="Arial" w:hAnsi="Arial"/>
          <w:sz w:val="18"/>
          <w:szCs w:val="18"/>
          <w:b w:val="1"/>
          <w:bCs w:val="1"/>
          <w:i w:val="1"/>
          <w:iCs w:val="1"/>
          <w:color w:val="auto"/>
        </w:rPr>
        <w:t>The rapid advancement of artificial intelligence and computational drug discovery technologies could make our KINect platform and discovery approaches less competitive or obsolete, and our failure to successfully adopt and integrate artificial intelligence technologies could put us at a competitive disadvantage.</w:t>
      </w:r>
    </w:p>
    <w:p>
      <w:pPr>
        <w:spacing w:after="0" w:line="142"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The pharmaceutical and biotechnology industries are experiencing rapid transformation through artificial intelligence (“AI”), machine learning (“ML”), and computational approaches to drug discovery and development. Large pharmaceutical companies and well-funded biotechnology companies are making substantial investments in AI-driven drug discovery platforms that may:</w:t>
      </w:r>
    </w:p>
    <w:p>
      <w:pPr>
        <w:spacing w:after="0" w:line="198" w:lineRule="exact"/>
        <w:rPr>
          <w:sz w:val="20"/>
          <w:szCs w:val="20"/>
          <w:color w:val="auto"/>
        </w:rPr>
      </w:pPr>
    </w:p>
    <w:p>
      <w:pPr>
        <w:ind w:left="1080" w:hanging="353"/>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identify product candidates faster and more efficiently than our KINect platform;</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reduce the time and cost required to progress from target identification to clinical candidate;</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enable competitors to explore larger areas of chemical and biological space; or</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provide more accurate predictions of clinical outcomes, reducing development risk.</w:t>
      </w:r>
    </w:p>
    <w:p>
      <w:pPr>
        <w:spacing w:after="0" w:line="208" w:lineRule="exact"/>
        <w:rPr>
          <w:sz w:val="20"/>
          <w:szCs w:val="20"/>
          <w:color w:val="auto"/>
        </w:rPr>
      </w:pPr>
    </w:p>
    <w:p>
      <w:pPr>
        <w:ind w:firstLine="720"/>
        <w:spacing w:after="0" w:line="278" w:lineRule="auto"/>
        <w:rPr>
          <w:sz w:val="20"/>
          <w:szCs w:val="20"/>
          <w:color w:val="auto"/>
        </w:rPr>
      </w:pPr>
      <w:r>
        <w:rPr>
          <w:rFonts w:ascii="Arial" w:cs="Arial" w:eastAsia="Arial" w:hAnsi="Arial"/>
          <w:sz w:val="20"/>
          <w:szCs w:val="20"/>
          <w:color w:val="auto"/>
        </w:rPr>
        <w:t>Our KINect drug discovery platform, while innovative, may become less competitive if we fail to successfully integrate advanced AI and ML capabilities. Specifically:</w:t>
      </w:r>
    </w:p>
    <w:p>
      <w:pPr>
        <w:spacing w:after="0" w:line="172" w:lineRule="exact"/>
        <w:rPr>
          <w:sz w:val="20"/>
          <w:szCs w:val="20"/>
          <w:color w:val="auto"/>
        </w:rPr>
      </w:pPr>
    </w:p>
    <w:p>
      <w:pPr>
        <w:ind w:left="1080" w:hanging="353"/>
        <w:spacing w:after="0" w:line="259" w:lineRule="auto"/>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proprietary chemical library and SBDD approaches may be replicated or surpassed by AI-driven generative chemistry platforms;</w:t>
      </w:r>
    </w:p>
    <w:p>
      <w:pPr>
        <w:ind w:left="1080" w:hanging="35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competitors using AI may identify superior kinase inhibitors targeting the same pathways we are pursuing;</w:t>
      </w:r>
    </w:p>
    <w:p>
      <w:pPr>
        <w:spacing w:after="0" w:line="36" w:lineRule="exact"/>
        <w:rPr>
          <w:rFonts w:ascii="Arial" w:cs="Arial" w:eastAsia="Arial" w:hAnsi="Arial"/>
          <w:sz w:val="18"/>
          <w:szCs w:val="18"/>
          <w:color w:val="auto"/>
        </w:rPr>
      </w:pPr>
    </w:p>
    <w:p>
      <w:pPr>
        <w:ind w:left="1080" w:hanging="352"/>
        <w:spacing w:after="0" w:line="248" w:lineRule="auto"/>
        <w:tabs>
          <w:tab w:leader="none" w:pos="10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AI-enabled clinical trial design and patient selection may allow competitors to achieve proof-of-concept more rapidly and efficiently; and</w:t>
      </w:r>
    </w:p>
    <w:p>
      <w:pPr>
        <w:ind w:left="1080" w:hanging="352"/>
        <w:spacing w:after="0"/>
        <w:tabs>
          <w:tab w:leader="none" w:pos="10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internal expertise and resources for AI/ML integration are limited compared to larger competitors.</w:t>
      </w:r>
    </w:p>
    <w:p>
      <w:pPr>
        <w:spacing w:after="0" w:line="218"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Furthermore, the use of AI in drug discovery and development raises new regulatory uncertainties. Regulatory agencies including the FDA are still developing frameworks for evaluating AI-generated data and AI-assisted drug development processes. If we utilize AI technologies, we may face uncertainty about what data and documentation regulators will require regarding AI-generated discoveries, potential challenges to the patentability of AI-discovered compounds or methods, questions about data integrity, bias, or validity of AI-generated predictions, and/or additional regulatory scrutiny or requirements that could delay our development timelines.</w:t>
      </w:r>
    </w:p>
    <w:p>
      <w:pPr>
        <w:spacing w:after="0" w:line="174"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Our ability to remain competitive will depend on our capacity to adopt and integrate appropriate AI and computational technologies, which will require significant investment in technology infrastructure, data systems, and personnel with specialized expertise. If we are unable to successfully leverage these technologies, or if we make substantial investments in AI approaches that do not yield productive results, our competitive position and financial condition could be materially harmed.</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Additionally, the potential use of AI by contract research organizations, clinical trial sites, or regulatory agencies could change the standards and expectations for drug development, requiring us to adapt our processes and potentially increasing our costs and development timelines.</w:t>
      </w:r>
    </w:p>
    <w:p>
      <w:pPr>
        <w:spacing w:after="0" w:line="179"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b w:val="1"/>
          <w:bCs w:val="1"/>
          <w:i w:val="1"/>
          <w:iCs w:val="1"/>
          <w:color w:val="auto"/>
        </w:rPr>
        <w:t>If we are unable to successfully develop our product candidates and identify and consummate transactions with third- party partners to further develop, obtain marketing approval for and/or commercialize our product candidates, or experience significant delays in doing so, our business will be harmed.</w:t>
      </w:r>
    </w:p>
    <w:p>
      <w:pPr>
        <w:spacing w:after="0" w:line="141"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9"/>
          <w:szCs w:val="19"/>
          <w:color w:val="auto"/>
        </w:rPr>
        <w:t>We have invested significant efforts and financial resources in the development of our product candidates and the identification of potential product candidates. Our ability to earn substantial revenue from our product candidates will depend heavily on our ability to successfully develop and identify and consummate transactions with third-party partners to further develop, obtain marketing approval for and/or commercialize these product candidates. The success of any product candidates that we develop will depend on several factors, including:</w:t>
      </w:r>
    </w:p>
    <w:p>
      <w:pPr>
        <w:spacing w:after="0" w:line="184" w:lineRule="exact"/>
        <w:rPr>
          <w:sz w:val="20"/>
          <w:szCs w:val="20"/>
          <w:color w:val="auto"/>
        </w:rPr>
      </w:pPr>
    </w:p>
    <w:p>
      <w:pPr>
        <w:ind w:left="1080" w:hanging="353"/>
        <w:spacing w:after="0"/>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successful completion of preclinical studies and our clinical trials;</w:t>
      </w:r>
    </w:p>
    <w:p>
      <w:pPr>
        <w:spacing w:after="0" w:line="36" w:lineRule="exact"/>
        <w:rPr>
          <w:rFonts w:ascii="Arial" w:cs="Arial" w:eastAsia="Arial" w:hAnsi="Arial"/>
          <w:sz w:val="20"/>
          <w:szCs w:val="20"/>
          <w:color w:val="auto"/>
        </w:rPr>
      </w:pPr>
    </w:p>
    <w:p>
      <w:pPr>
        <w:ind w:left="1080" w:hanging="352"/>
        <w:spacing w:after="0"/>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successful development of manufacturing processes;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receipt of timely approvals from applicable regulatory authorities;</w:t>
      </w:r>
    </w:p>
    <w:p>
      <w:pPr>
        <w:spacing w:after="0" w:line="13" w:lineRule="exact"/>
        <w:rPr>
          <w:rFonts w:ascii="Arial" w:cs="Arial" w:eastAsia="Arial" w:hAnsi="Arial"/>
          <w:sz w:val="20"/>
          <w:szCs w:val="20"/>
          <w:color w:val="auto"/>
        </w:rPr>
      </w:pPr>
    </w:p>
    <w:p>
      <w:pPr>
        <w:ind w:left="1080" w:hanging="352"/>
        <w:spacing w:after="0" w:line="254" w:lineRule="auto"/>
        <w:tabs>
          <w:tab w:leader="none" w:pos="10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identification and consummation of transactions with third-party partners to further develop, obtain marketing approval for and/or commercialize our product candidates;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720"/>
          </w:cols>
          <w:pgMar w:left="1080" w:top="1177" w:right="1080" w:bottom="0" w:gutter="0" w:footer="0" w:header="0"/>
          <w:type w:val="continuous"/>
        </w:sectPr>
      </w:pPr>
    </w:p>
    <w:bookmarkStart w:id="28" w:name="page29"/>
    <w:bookmarkEnd w:id="28"/>
    <w:p>
      <w:pPr>
        <w:ind w:left="1080" w:hanging="353"/>
        <w:spacing w:after="0"/>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commercial launch of our product candidates, if approved, by a potential third-party partner;</w:t>
      </w:r>
    </w:p>
    <w:p>
      <w:pPr>
        <w:spacing w:after="0" w:line="36" w:lineRule="exact"/>
        <w:rPr>
          <w:rFonts w:ascii="Arial" w:cs="Arial" w:eastAsia="Arial" w:hAnsi="Arial"/>
          <w:sz w:val="20"/>
          <w:szCs w:val="20"/>
          <w:color w:val="auto"/>
        </w:rPr>
      </w:pPr>
    </w:p>
    <w:p>
      <w:pPr>
        <w:jc w:val="both"/>
        <w:ind w:left="1080" w:hanging="353"/>
        <w:spacing w:after="0" w:line="272"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potential third-party partners’ ability to achieve acceptance of our product candidates, if approved, by patients, the medical community and third-party payors, and willingness of patients to pay out of pocket for our product candidates when third-party payor coverage and reimbursement is limited or unavailable;</w:t>
      </w:r>
    </w:p>
    <w:p>
      <w:pPr>
        <w:ind w:left="1080" w:hanging="353"/>
        <w:spacing w:after="0" w:line="247" w:lineRule="auto"/>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potential third-party partners’ ability to achieve success in educating physicians and patients about the benefits, administration and use of our product candidates, if approved;</w:t>
      </w:r>
    </w:p>
    <w:p>
      <w:pPr>
        <w:ind w:left="1080" w:hanging="353"/>
        <w:spacing w:after="0"/>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prevalence and severity of adverse events experienced with our product candidates;</w:t>
      </w:r>
    </w:p>
    <w:p>
      <w:pPr>
        <w:spacing w:after="0" w:line="14" w:lineRule="exact"/>
        <w:rPr>
          <w:rFonts w:ascii="Arial" w:cs="Arial" w:eastAsia="Arial" w:hAnsi="Arial"/>
          <w:sz w:val="20"/>
          <w:szCs w:val="20"/>
          <w:color w:val="auto"/>
        </w:rPr>
      </w:pPr>
    </w:p>
    <w:p>
      <w:pPr>
        <w:ind w:left="1080" w:hanging="352"/>
        <w:spacing w:after="0" w:line="247" w:lineRule="auto"/>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availability, perceived advantages, cost, safety and efficacy of alternative treatments for the proposed indications of our product candidates;</w:t>
      </w:r>
    </w:p>
    <w:p>
      <w:pPr>
        <w:ind w:left="1080" w:hanging="352"/>
        <w:spacing w:after="0" w:line="247" w:lineRule="auto"/>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obtaining and maintaining patent, trademark and trade secret protection and regulatory exclusivity for our product candidates and otherwise protecting the intellectual property portfolio;</w:t>
      </w:r>
    </w:p>
    <w:p>
      <w:pPr>
        <w:ind w:left="1080" w:hanging="352"/>
        <w:spacing w:after="0"/>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maintaining compliance with regulatory requirements, including cGMPs;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potential third-party partners’ ability to compete effectively with other treatments; and</w:t>
      </w:r>
    </w:p>
    <w:p>
      <w:pPr>
        <w:spacing w:after="0" w:line="14" w:lineRule="exact"/>
        <w:rPr>
          <w:rFonts w:ascii="Arial" w:cs="Arial" w:eastAsia="Arial" w:hAnsi="Arial"/>
          <w:sz w:val="20"/>
          <w:szCs w:val="20"/>
          <w:color w:val="auto"/>
        </w:rPr>
      </w:pPr>
    </w:p>
    <w:p>
      <w:pPr>
        <w:ind w:left="1080" w:hanging="352"/>
        <w:spacing w:after="0" w:line="254" w:lineRule="auto"/>
        <w:tabs>
          <w:tab w:leader="none" w:pos="10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our potential third-party partners’ ability to maintain a continued acceptable safety, tolerability and efficacy profile of our product candidates following marketing approval.</w:t>
      </w:r>
    </w:p>
    <w:p>
      <w:pPr>
        <w:spacing w:after="0" w:line="181"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8"/>
          <w:szCs w:val="18"/>
          <w:color w:val="auto"/>
        </w:rPr>
        <w:t>Whether marketing approval will be granted is unpredictable and depends upon numerous factors, including the substantial discretion of the regulatory authorities. Our product candidates’ success in clinical trials will not guarantee marketing approval. Following submission, the NDA or BLA for any product candidate may not be accepted for substantive review, or even if it is accepted for substantive review the FDA or other comparable foreign regulatory authorities may require additional studies or clinical trials, additional data, or additional manufacturing steps, or require other conditions before they will reconsider or approve the application, which could increase costs and cause delays in the marketing approval process and which may require the expenditure of additional resources. These delays would also impact our ability to identify and consummate transactions with third-party partners to further develop, obtain marketing approval for and/or commercialize our product candidates.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71"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It is possible that our product candidates currently in development will never obtain marketing approval. If we do not achieve one or more of these factors in a timely manner or at all, we could experience significant delays or an inability to successfully identify and consummate transactions with third-party partners to further develop, obtain marketing approval for and/or commercialize our product candidates, which would harm our business.</w:t>
      </w:r>
    </w:p>
    <w:p>
      <w:pPr>
        <w:spacing w:after="0" w:line="167"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of our product candidates or the identification and consummation of transactions with third-party partners to further develop, obtain marketing approval for and/or commercialize our product candidates.</w:t>
      </w:r>
    </w:p>
    <w:p>
      <w:pPr>
        <w:spacing w:after="0" w:line="154" w:lineRule="exact"/>
        <w:rPr>
          <w:sz w:val="20"/>
          <w:szCs w:val="20"/>
          <w:color w:val="auto"/>
        </w:rPr>
      </w:pPr>
    </w:p>
    <w:p>
      <w:pPr>
        <w:jc w:val="both"/>
        <w:ind w:firstLine="721"/>
        <w:spacing w:after="0" w:line="304" w:lineRule="auto"/>
        <w:rPr>
          <w:sz w:val="20"/>
          <w:szCs w:val="20"/>
          <w:color w:val="auto"/>
        </w:rPr>
      </w:pPr>
      <w:r>
        <w:rPr>
          <w:rFonts w:ascii="Arial" w:cs="Arial" w:eastAsia="Arial" w:hAnsi="Arial"/>
          <w:sz w:val="17"/>
          <w:szCs w:val="17"/>
          <w:color w:val="auto"/>
        </w:rPr>
        <w:t>The risk of failure for our product candidates is high. It is impossible to predict when or if any of our product candidates will prove effective or safe in humans or will receive marketing approval. Before obtaining regulatory approval for the sale of any product candidate, we must complete preclinical development and then conduct extensive clinical trials to demonstrate the safety and efficacy of our product candidates in humans for use in the target indication. Clinical testing is expensive, difficult to design and implement, can take many years to complete and is inherently uncertain as to outcome.</w:t>
      </w:r>
    </w:p>
    <w:p>
      <w:pPr>
        <w:spacing w:after="0" w:line="141"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56" w:lineRule="exact"/>
        <w:rPr>
          <w:sz w:val="20"/>
          <w:szCs w:val="20"/>
          <w:color w:val="auto"/>
        </w:rPr>
      </w:pPr>
    </w:p>
    <w:p>
      <w:pPr>
        <w:jc w:val="both"/>
        <w:ind w:firstLine="719"/>
        <w:spacing w:after="0" w:line="280" w:lineRule="auto"/>
        <w:rPr>
          <w:sz w:val="20"/>
          <w:szCs w:val="20"/>
          <w:color w:val="auto"/>
        </w:rPr>
      </w:pPr>
      <w:r>
        <w:rPr>
          <w:rFonts w:ascii="Arial" w:cs="Arial" w:eastAsia="Arial" w:hAnsi="Arial"/>
          <w:sz w:val="18"/>
          <w:szCs w:val="18"/>
          <w:color w:val="auto"/>
        </w:rPr>
        <w:t>Additionally, we may utilize an “open-label” clinical trial design. For example, our Phase 2a trial of ATI-2138 in patients with atopic dermatitis was an “open label” trial.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w:t>
      </w:r>
    </w:p>
    <w:p>
      <w:pPr>
        <w:sectPr>
          <w:pgSz w:w="11880" w:h="15480" w:orient="portrait"/>
          <w:cols w:equalWidth="0" w:num="1">
            <w:col w:w="9720"/>
          </w:cols>
          <w:pgMar w:left="1080" w:top="119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720"/>
          </w:cols>
          <w:pgMar w:left="1080" w:top="1191" w:right="1080" w:bottom="0" w:gutter="0" w:footer="0" w:header="0"/>
          <w:type w:val="continuous"/>
        </w:sectPr>
      </w:pPr>
    </w:p>
    <w:bookmarkStart w:id="29" w:name="page30"/>
    <w:bookmarkEnd w:id="29"/>
    <w:p>
      <w:pPr>
        <w:jc w:val="both"/>
        <w:spacing w:after="0" w:line="247" w:lineRule="auto"/>
        <w:rPr>
          <w:sz w:val="20"/>
          <w:szCs w:val="20"/>
          <w:color w:val="auto"/>
        </w:rPr>
      </w:pPr>
      <w:r>
        <w:rPr>
          <w:rFonts w:ascii="Arial" w:cs="Arial" w:eastAsia="Arial" w:hAnsi="Arial"/>
          <w:sz w:val="20"/>
          <w:szCs w:val="20"/>
          <w:color w:val="auto"/>
        </w:rPr>
        <w:t>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90"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may experience numerous unforeseen events during or as a result of clinical trials that could delay or prevent our ability to identify and consummate transactions with third-party partners to further develop, obtain marketing approval for and/or commercialize our product candidates, including:</w:t>
      </w:r>
    </w:p>
    <w:p>
      <w:pPr>
        <w:spacing w:after="0" w:line="192" w:lineRule="exact"/>
        <w:rPr>
          <w:sz w:val="20"/>
          <w:szCs w:val="20"/>
          <w:color w:val="auto"/>
        </w:rPr>
      </w:pPr>
    </w:p>
    <w:p>
      <w:pPr>
        <w:ind w:left="1080" w:hanging="353"/>
        <w:spacing w:after="0" w:line="259"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regulators or IRBs may not authorize us or our investigators to commence a clinical trial or conduct a clinical trial at a prospective trial site;</w:t>
      </w:r>
    </w:p>
    <w:p>
      <w:pPr>
        <w:jc w:val="both"/>
        <w:ind w:left="1080" w:hanging="353"/>
        <w:spacing w:after="0" w:line="243"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may experience delays in reaching, or fail to reach, agreement on acceptable clinical trial contracts or clinical trial protocols with prospective trial sites or prospective contract research organizations (“CROs”), the terms of which can be subject to extensive negotiation and may vary significantly among different CROs and trial sites;</w:t>
      </w:r>
    </w:p>
    <w:p>
      <w:pPr>
        <w:spacing w:after="0" w:line="2" w:lineRule="exact"/>
        <w:rPr>
          <w:rFonts w:ascii="Arial" w:cs="Arial" w:eastAsia="Arial" w:hAnsi="Arial"/>
          <w:sz w:val="20"/>
          <w:szCs w:val="20"/>
          <w:color w:val="auto"/>
        </w:rPr>
      </w:pPr>
    </w:p>
    <w:p>
      <w:pPr>
        <w:jc w:val="both"/>
        <w:ind w:left="1080" w:hanging="353"/>
        <w:spacing w:after="0" w:line="245"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ind w:left="1080" w:hanging="353"/>
        <w:spacing w:after="0" w:line="248"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early-stage clinical trial results may be subject to variability due to small sample size and may not be indicative of results from future clinical trials;</w:t>
      </w:r>
    </w:p>
    <w:p>
      <w:pPr>
        <w:jc w:val="both"/>
        <w:ind w:left="1080" w:hanging="353"/>
        <w:spacing w:after="0" w:line="272"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jc w:val="both"/>
        <w:ind w:left="1080" w:hanging="353"/>
        <w:spacing w:after="0" w:line="257" w:lineRule="auto"/>
        <w:tabs>
          <w:tab w:leader="none" w:pos="10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patients or clinical trial investigators may not comply with or may deviate from the clinical trial protocol, including failing to follow specified testing procedures, schedules, or other protocol requirements, which could impact the integrity of clinical trial data and potentially jeopardize the trial;</w:t>
      </w:r>
    </w:p>
    <w:p>
      <w:pPr>
        <w:spacing w:after="0" w:line="1" w:lineRule="exact"/>
        <w:rPr>
          <w:rFonts w:ascii="Arial" w:cs="Arial" w:eastAsia="Arial" w:hAnsi="Arial"/>
          <w:sz w:val="19"/>
          <w:szCs w:val="19"/>
          <w:color w:val="auto"/>
        </w:rPr>
      </w:pPr>
    </w:p>
    <w:p>
      <w:pPr>
        <w:jc w:val="both"/>
        <w:ind w:left="1080" w:hanging="353"/>
        <w:spacing w:after="0" w:line="245"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while a product candidate may show evidence of clinical activity, we may experience a high placebo effect which will make it difficult to show a statistically significant effect of the product candidate as compared to the control arm;</w:t>
      </w:r>
    </w:p>
    <w:p>
      <w:pPr>
        <w:ind w:left="1080" w:hanging="353"/>
        <w:spacing w:after="0" w:line="248"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product candidates may have undesirable side effects or other unexpected characteristics, causing us or our investigators, regulators or IRBs to suspend or terminate the trials;</w:t>
      </w:r>
    </w:p>
    <w:p>
      <w:pPr>
        <w:jc w:val="both"/>
        <w:ind w:left="1080" w:hanging="353"/>
        <w:spacing w:after="0" w:line="254" w:lineRule="auto"/>
        <w:tabs>
          <w:tab w:leader="none" w:pos="10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third parties conducting clinical trials using our product candidates may produce issues such as poor data integrity, safety concerns, protocol violations, or failure to meet endpoints in these third-party trials, which could adversely impact the development timeline and regulatory approval process for those product candidates in other indications or territories, require additional studies, create negative market perception affecting future commercial potential, result in increased regulatory scrutiny, or impact our ability to identify and consummate transactions with third-party partners to further develop, obtain marketing approval for and/or commercialize such product candidates;</w:t>
      </w:r>
    </w:p>
    <w:p>
      <w:pPr>
        <w:spacing w:after="0" w:line="5" w:lineRule="exact"/>
        <w:rPr>
          <w:rFonts w:ascii="Arial" w:cs="Arial" w:eastAsia="Arial" w:hAnsi="Arial"/>
          <w:sz w:val="19"/>
          <w:szCs w:val="19"/>
          <w:color w:val="auto"/>
        </w:rPr>
      </w:pPr>
    </w:p>
    <w:p>
      <w:pPr>
        <w:ind w:left="1080" w:hanging="353"/>
        <w:spacing w:after="0" w:line="247"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third-party contractors may fail to comply with regulatory requirements or meet their contractual obligations to us in a timely manner, or at all;</w:t>
      </w:r>
    </w:p>
    <w:p>
      <w:pPr>
        <w:jc w:val="both"/>
        <w:ind w:left="1080" w:hanging="353"/>
        <w:spacing w:after="0" w:line="245"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regulators or IRBs may require that we or our investigators suspend or terminate clinical development for various reasons, including noncompliance with regulatory requirements or a finding that the participants are being exposed to unacceptable health risks;</w:t>
      </w:r>
    </w:p>
    <w:p>
      <w:pPr>
        <w:ind w:left="1080" w:hanging="353"/>
        <w:spacing w:after="0"/>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cost of clinical trials of our product candidates may be greater than we anticipate; and</w:t>
      </w:r>
    </w:p>
    <w:p>
      <w:pPr>
        <w:spacing w:after="0" w:line="14" w:lineRule="exact"/>
        <w:rPr>
          <w:rFonts w:ascii="Arial" w:cs="Arial" w:eastAsia="Arial" w:hAnsi="Arial"/>
          <w:sz w:val="20"/>
          <w:szCs w:val="20"/>
          <w:color w:val="auto"/>
        </w:rPr>
      </w:pPr>
    </w:p>
    <w:p>
      <w:pPr>
        <w:ind w:left="1080" w:hanging="353"/>
        <w:spacing w:after="0" w:line="254" w:lineRule="auto"/>
        <w:tabs>
          <w:tab w:leader="none" w:pos="10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supply or quality of our product candidates or other materials necessary to conduct clinical trials of our product candidates may be insufficient or inadequate.</w:t>
      </w:r>
    </w:p>
    <w:p>
      <w:pPr>
        <w:spacing w:after="0" w:line="182"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720"/>
          </w:cols>
          <w:pgMar w:left="1080" w:top="1177" w:right="1080" w:bottom="0" w:gutter="0" w:footer="0" w:header="0"/>
          <w:type w:val="continuous"/>
        </w:sectPr>
      </w:pPr>
    </w:p>
    <w:bookmarkStart w:id="30" w:name="page31"/>
    <w:bookmarkEnd w:id="30"/>
    <w:p>
      <w:pPr>
        <w:jc w:val="both"/>
        <w:ind w:firstLine="720"/>
        <w:spacing w:after="0" w:line="273"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our costs will increase, our product candidate development process will be slowed, the commercial prospects of our product candidates will be harmed, and our ability to identify and consummate transactions with third-party partners to further develop, obtain marketing approval for and/or commercialize our product candidates will be delayed. Any of these occurrences may harm our business, financial condition and prospects significantly. In addition, many of the factors that cause, or lead to, a delay in the commencement or completion of clinical trials may also ultimately lead to the denial of marketing approval of our product candidates.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not be able to identify and consummate transactions with third-party partners to further develop, obtain marketing approval for and/or commercialize our product candidates, and our potential third-party partners may:</w:t>
      </w:r>
    </w:p>
    <w:p>
      <w:pPr>
        <w:spacing w:after="0" w:line="207" w:lineRule="exact"/>
        <w:rPr>
          <w:sz w:val="20"/>
          <w:szCs w:val="20"/>
          <w:color w:val="auto"/>
        </w:rPr>
      </w:pPr>
    </w:p>
    <w:p>
      <w:pPr>
        <w:ind w:left="1080" w:hanging="353"/>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be delayed in obtaining marketing approval for our product candidates;</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not obtain marketing approval at all;</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36" w:lineRule="exact"/>
        <w:rPr>
          <w:rFonts w:ascii="Arial" w:cs="Arial" w:eastAsia="Arial" w:hAnsi="Arial"/>
          <w:sz w:val="18"/>
          <w:szCs w:val="18"/>
          <w:color w:val="auto"/>
        </w:rPr>
      </w:pPr>
    </w:p>
    <w:p>
      <w:pPr>
        <w:ind w:left="1080" w:hanging="353"/>
        <w:spacing w:after="0" w:line="248" w:lineRule="auto"/>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obtain marketing approval with labeling that includes significant use or distribution restrictions or safety warnings;</w:t>
      </w:r>
    </w:p>
    <w:p>
      <w:pPr>
        <w:ind w:left="1080" w:hanging="353"/>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be subject to additional post-marketing testing requirements; or</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have the drug removed from the market after obtaining marketing approval.</w:t>
      </w:r>
    </w:p>
    <w:p>
      <w:pPr>
        <w:spacing w:after="0" w:line="230"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Our drug development costs will also increase if we experience delays in testing. We do not know whether any of our preclinical studies or clinical trials will begin as planned, will need to be restructured or will be completed on schedule, or at all. Significant preclinical study or clinical trial delays also could shorten any periods during which our potential third-party partners may have the exclusive right to commercialize our product candidates or allow competitors to bring drugs to market before such third-party partners do, which would impact our ability to successfully identify and consummate transactions with third-party partners to further develop, obtain marketing approval for and/or commercialize our product candidates.</w:t>
      </w:r>
    </w:p>
    <w:p>
      <w:pPr>
        <w:spacing w:after="0" w:line="214"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If we experience delays or difficulties in the enrollment of subjects in clinical trials, our ability to identify and consummate transactions with third -party partners to further develop, obtain marketing approval for and/or commercialize our product candidates could be delayed or prevented.</w:t>
      </w:r>
    </w:p>
    <w:p>
      <w:pPr>
        <w:spacing w:after="0" w:line="20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Successful and timely completion of clinical trials will require that we enroll a sufficient number of subjects. Recruiting and retaining patients for clinical trials has become increasingly difficult and expensive, which could delay or prevent completion of our trials. Subject enrollment, a significant factor in the timing of clinical trials, is affected by many factors including the size and nature of the patient population. Trials may be subject to delays as a result of subject enrollment taking longer than anticipated or subject withdrawal, including as a result of factors beyond our control.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cannot predict how successful we will be at enrolling subjects in future clinical trials. Subject enrollment is affected by other factors including:</w:t>
      </w:r>
    </w:p>
    <w:p>
      <w:pPr>
        <w:spacing w:after="0" w:line="216" w:lineRule="exact"/>
        <w:rPr>
          <w:sz w:val="20"/>
          <w:szCs w:val="20"/>
          <w:color w:val="auto"/>
        </w:rPr>
      </w:pPr>
    </w:p>
    <w:p>
      <w:pPr>
        <w:ind w:left="1080" w:hanging="353"/>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eligibility criteria for the trial in question;</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perceived risks and benefits of the product candidate in the trial;</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availability of drugs approved to treat the disease in the trial;</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efforts to facilitate timely enrollment in clinical trials;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patient referral practices of physicians;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ability to monitor subjects adequately during and after treatment; and</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proximity and availability of clinical trial sites for prospective subjects.</w:t>
      </w:r>
    </w:p>
    <w:p>
      <w:pPr>
        <w:spacing w:after="0" w:line="230"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Our inability to enroll a sufficient number of subjects for clinical trials would result in significant delays and could require us or them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720"/>
          </w:cols>
          <w:pgMar w:left="1080" w:top="1177" w:right="1080" w:bottom="0" w:gutter="0" w:footer="0" w:header="0"/>
          <w:type w:val="continuous"/>
        </w:sectPr>
      </w:pPr>
    </w:p>
    <w:bookmarkStart w:id="31" w:name="page32"/>
    <w:bookmarkEnd w:id="31"/>
    <w:p>
      <w:pPr>
        <w:jc w:val="both"/>
        <w:spacing w:after="0" w:line="258" w:lineRule="auto"/>
        <w:rPr>
          <w:sz w:val="20"/>
          <w:szCs w:val="20"/>
          <w:color w:val="auto"/>
        </w:rPr>
      </w:pPr>
      <w:r>
        <w:rPr>
          <w:rFonts w:ascii="Arial" w:cs="Arial" w:eastAsia="Arial" w:hAnsi="Arial"/>
          <w:sz w:val="20"/>
          <w:szCs w:val="20"/>
          <w:color w:val="auto"/>
        </w:rPr>
        <w:t>their performance. Any delays in completing clinical trials would delay or prevent our ability to identify and consummate transactions with third-party partners to further develop, obtain marketing approval for and/or commercialize our product candidates.</w:t>
      </w:r>
    </w:p>
    <w:p>
      <w:pPr>
        <w:spacing w:after="0" w:line="179" w:lineRule="exact"/>
        <w:rPr>
          <w:sz w:val="20"/>
          <w:szCs w:val="20"/>
          <w:color w:val="auto"/>
        </w:rPr>
      </w:pPr>
    </w:p>
    <w:p>
      <w:pPr>
        <w:jc w:val="both"/>
        <w:ind w:firstLine="720"/>
        <w:spacing w:after="0" w:line="304" w:lineRule="auto"/>
        <w:rPr>
          <w:sz w:val="20"/>
          <w:szCs w:val="20"/>
          <w:color w:val="auto"/>
        </w:rPr>
      </w:pPr>
      <w:r>
        <w:rPr>
          <w:rFonts w:ascii="Arial" w:cs="Arial" w:eastAsia="Arial" w:hAnsi="Arial"/>
          <w:sz w:val="17"/>
          <w:szCs w:val="17"/>
          <w:b w:val="1"/>
          <w:bCs w:val="1"/>
          <w:i w:val="1"/>
          <w:iCs w:val="1"/>
          <w:color w:val="auto"/>
        </w:rPr>
        <w:t>Our clinical trials may fail to demonstrate the safety and efficacy of our product candidates, or serious adverse or unacceptable side effects or other unfavorable safety findings may be identified during the nonclinical or clinical development of our product candidates, which could increase our costs or necessitate the abandonment or limitation of the development of our product candidates or prevent or delay our ability identify and consummate transactions with third-party partners to further develop, obtain marketing approval for and/or commercialize our product candidates.</w:t>
      </w:r>
    </w:p>
    <w:p>
      <w:pPr>
        <w:spacing w:after="0" w:line="142"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If our product candidates are associated with side effects in clinical trials, exhibit adverse toxicological findings in nonclinical studies or have characteristics that are unexpected, our costs could increase or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nonclinical or clinical safety information. Such findings could further result in regulatory authorities failing to provide marketing authorization for our product candidates. Many product candidates that initially showed promise in early-stage testing have later been found to cause side effects or exhibit toxicological profiles in animal models that prevented further development of the product candidate.</w:t>
      </w:r>
    </w:p>
    <w:p>
      <w:pPr>
        <w:spacing w:after="0" w:line="165"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Before any potential third-party partners can obtain marketing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Our nonclinical studies may yield results that are not predictive of future clinical results or that reveal safety concerns that preclude further development. Clinical trials often fail to demonstrate safety and efficacy of the product candidate studied for the target indication.</w:t>
      </w:r>
    </w:p>
    <w:p>
      <w:pPr>
        <w:spacing w:after="0" w:line="188"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18"/>
          <w:szCs w:val="18"/>
          <w:color w:val="auto"/>
        </w:rPr>
        <w:t>Additionally, if we or others identify undesirable side effects or unfavorable nonclinical safety findings caused by our product candidates, a number of potentially significant negative consequences could result, including:</w:t>
      </w:r>
    </w:p>
    <w:p>
      <w:pPr>
        <w:spacing w:after="0" w:line="125" w:lineRule="exact"/>
        <w:rPr>
          <w:sz w:val="20"/>
          <w:szCs w:val="20"/>
          <w:color w:val="auto"/>
        </w:rPr>
      </w:pPr>
    </w:p>
    <w:p>
      <w:pPr>
        <w:ind w:left="1080" w:hanging="353"/>
        <w:spacing w:after="0" w:line="259" w:lineRule="auto"/>
        <w:tabs>
          <w:tab w:leader="none" w:pos="1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may need to abandon the development or limit the further development of our product candidates, including in various populations and for certain indications;</w:t>
      </w:r>
    </w:p>
    <w:p>
      <w:pPr>
        <w:ind w:left="1080" w:hanging="353"/>
        <w:spacing w:after="0"/>
        <w:tabs>
          <w:tab w:leader="none" w:pos="1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regulatory authorities may withdraw approval to market such product;</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regulatory authorities may require additional warnings on the labels;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medication guide outlining the risks of such side effects for distribution to patients may be required;</w:t>
      </w:r>
    </w:p>
    <w:p>
      <w:pPr>
        <w:spacing w:after="0" w:line="26" w:lineRule="exact"/>
        <w:rPr>
          <w:rFonts w:ascii="Arial" w:cs="Arial" w:eastAsia="Arial" w:hAnsi="Arial"/>
          <w:sz w:val="19"/>
          <w:szCs w:val="19"/>
          <w:color w:val="auto"/>
        </w:rPr>
      </w:pPr>
    </w:p>
    <w:p>
      <w:pPr>
        <w:ind w:left="1080" w:hanging="352"/>
        <w:spacing w:after="0"/>
        <w:tabs>
          <w:tab w:leader="none" w:pos="1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could be sued and held liable for harm caused to patients;</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 candidates, if approved, may suffer; and</w:t>
      </w:r>
    </w:p>
    <w:p>
      <w:pPr>
        <w:spacing w:after="0" w:line="37" w:lineRule="exact"/>
        <w:rPr>
          <w:rFonts w:ascii="Arial" w:cs="Arial" w:eastAsia="Arial" w:hAnsi="Arial"/>
          <w:sz w:val="18"/>
          <w:szCs w:val="18"/>
          <w:color w:val="auto"/>
        </w:rPr>
      </w:pPr>
    </w:p>
    <w:p>
      <w:pPr>
        <w:ind w:left="1080" w:hanging="352"/>
        <w:spacing w:after="0" w:line="254" w:lineRule="auto"/>
        <w:tabs>
          <w:tab w:leader="none" w:pos="10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identify and consummate with third-party partners to further develop, obtain marketing approval for and/or commercialize our product candidates would be harmed.</w:t>
      </w:r>
    </w:p>
    <w:p>
      <w:pPr>
        <w:spacing w:after="0" w:line="182"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Any of these events could prevent us from identifying and consummating transactions with third-party partners to further develop, obtain marketing approval for and/or commercialize the particular product candidate and could significantly harm our business, results of operations and prospects.</w:t>
      </w:r>
    </w:p>
    <w:p>
      <w:pPr>
        <w:spacing w:after="0" w:line="178"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176"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are based on a preliminary analysis of then-available data, and the results and related findings and conclusions are subject to change following a full analysis of all data related to the particular trial. For example, we recently announced interim Phase 1a data for ATI-052. We also make assumptions, estimations, calculations and conclusions as part of our analyses of data, and we may not have received or had the opportunity to fully and carefully evaluate all data. In addition, we may report preliminary analyses of only certain endpoints rather than all endpoints.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720"/>
          </w:cols>
          <w:pgMar w:left="1080" w:top="1177" w:right="1080" w:bottom="0" w:gutter="0" w:footer="0" w:header="0"/>
          <w:type w:val="continuous"/>
        </w:sectPr>
      </w:pPr>
    </w:p>
    <w:bookmarkStart w:id="32" w:name="page33"/>
    <w:bookmarkEnd w:id="32"/>
    <w:p>
      <w:pPr>
        <w:jc w:val="both"/>
        <w:spacing w:after="0" w:line="263" w:lineRule="auto"/>
        <w:rPr>
          <w:sz w:val="20"/>
          <w:szCs w:val="20"/>
          <w:color w:val="auto"/>
        </w:rPr>
      </w:pPr>
      <w:r>
        <w:rPr>
          <w:rFonts w:ascii="Arial" w:cs="Arial" w:eastAsia="Arial" w:hAnsi="Arial"/>
          <w:sz w:val="19"/>
          <w:szCs w:val="19"/>
          <w:color w:val="auto"/>
        </w:rPr>
        <w:t>preliminary data we previously published. As a result, interim, topline and preliminary data should be viewed with caution until the final data are available. Interim data from clinical trials that we may complete are subject to the risk that one or more of the clinical outcomes may materially change as subject enrollment continues and more subject data become available. Adverse differences between interim, topline or preliminary data and final data could significantly harm our reputation and business prospects. Further, disclosure of interim, topline or preliminary data by us or by our competitors could result in volatility in the price of our common stock.</w:t>
      </w:r>
    </w:p>
    <w:p>
      <w:pPr>
        <w:spacing w:after="0" w:line="174"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program, product candidate or our business.</w:t>
      </w:r>
    </w:p>
    <w:p>
      <w:pPr>
        <w:spacing w:after="0" w:line="166"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9"/>
          <w:szCs w:val="19"/>
          <w:color w:val="auto"/>
        </w:rPr>
        <w:t>If the interim, topline or preliminary data that we report differ from actual results, or if others, including regulatory authorities, disagree with the conclusions reached, our ability to identify and consummate transactions with third-party partners to further develop, obtain marketing approval for and/or commercialize our product candidates may be harmed, which could harm our business, operating results, prospects or financial condition.</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delay.</w:t>
      </w:r>
    </w:p>
    <w:p>
      <w:pPr>
        <w:spacing w:after="0" w:line="203"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and may also require additional testing, FDA notification or FDA approval.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identify and consummate transactions with third-party partners to further develop, obtain marketing approval for and/or commercialize our product candidates.</w:t>
      </w:r>
    </w:p>
    <w:p>
      <w:pPr>
        <w:spacing w:after="0" w:line="16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b w:val="1"/>
          <w:bCs w:val="1"/>
          <w:i w:val="1"/>
          <w:iCs w:val="1"/>
          <w:color w:val="auto"/>
        </w:rPr>
        <w:t>We have conducted and may in the future conduct clinical or nonclinical studies for our product candidates outside the United States. The FDA, EMA or comparable foreign regulatory authorities may not accept data from such studies.</w:t>
      </w:r>
    </w:p>
    <w:p>
      <w:pPr>
        <w:spacing w:after="0" w:line="176"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We have conducted and may in the future conduct clinical and nonclinical studies for our product candidates outside the United States. In addition, our partners may conduct clinical and nonclinical studies for our product candidates outside of the United States that we or our potential third -party partners may try to leverage to seek marketing approval in the United States. The acceptance of data from clinical and nonclinical studies conducted outside the United States or another jurisdiction by the FDA or comparable foreign regulatory authorities may be subject to certain conditions or may not be accepted at all. In cases where data from foreign clinical and nonclinical studies are intended to serve as the basis for marketing approval in the United States, the FDA will generally not approve the application on the basis of foreign data alone unless the data are applicable to the U.S. population and U.S. medical practice, the studies were performed by clinical investigators of recognized competence and pursuant to GCP regulations, and the FDA can validate the data through on-site inspections or other appropriate means. Additionally, the FDA’s clinical trial requirements, including sufficient size of patient populations and statistical powering, must be met. Such foreign trials would be subject to the applicable local laws of the foreign jurisdictions where the trials are conducted. There can be no assurance that the FDA, EMA or any comparable foreign regulatory authority will accept data from studies conducted outside of the United States or the applicable jurisdiction. If the FDA, EMA or any comparable regulatory authority does not accept such data, it would result in the need for additional studies, which would be costly and time-consuming and delay aspects of our business plan, and which may result in our product candidates not receiving approval or clearance for commercialization in the applicable jurisdiction.</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720"/>
          </w:cols>
          <w:pgMar w:left="1080" w:top="1177" w:right="1080" w:bottom="0" w:gutter="0" w:footer="0" w:header="0"/>
          <w:type w:val="continuous"/>
        </w:sectPr>
      </w:pPr>
    </w:p>
    <w:bookmarkStart w:id="33" w:name="page34"/>
    <w:bookmarkEnd w:id="33"/>
    <w:p>
      <w:pPr>
        <w:jc w:val="both"/>
        <w:ind w:firstLine="720"/>
        <w:spacing w:after="0" w:line="252" w:lineRule="auto"/>
        <w:rPr>
          <w:sz w:val="20"/>
          <w:szCs w:val="20"/>
          <w:color w:val="auto"/>
        </w:rPr>
      </w:pPr>
      <w:r>
        <w:rPr>
          <w:rFonts w:ascii="Arial" w:cs="Arial" w:eastAsia="Arial" w:hAnsi="Arial"/>
          <w:sz w:val="20"/>
          <w:szCs w:val="20"/>
          <w:color w:val="auto"/>
        </w:rPr>
        <w:t>In addition, any escalation of political tensions, economic instability, military activity or civil hostilities outside the United States could disrupt our ability to conduct studies outside of the United States, or delay or adversely affect the timeliness of such studies. This could result in the need for alternative trial sites, which could be costly and time-consuming and delay the clinical development of our product candidates.</w:t>
      </w:r>
    </w:p>
    <w:p>
      <w:pPr>
        <w:spacing w:after="0" w:line="184"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We may not be successful in our efforts to increase our pipeline of product candidates, including by in-licensing or acquiring additional product candidates.</w:t>
      </w:r>
    </w:p>
    <w:p>
      <w:pPr>
        <w:spacing w:after="0" w:line="157"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A key element of our strategy is to build and expand our pipeline of product candidates. To build our pipeline, we may seek to in-license or acquire additional product candidates, in addition to our in-house capabilities. We may not be able to identify or develop product candidates that are safe, tolerable and effective. Even if we are successful in continuing to build our pipeline, the potential product candidates that we develop, in-license or acquire may not be suitable for clinical development, including as a result of being shown to have harmful side effects or other characteristics that indicate that they are unlikely to receive marketing approval and achieve market acceptance.</w:t>
      </w:r>
    </w:p>
    <w:p>
      <w:pPr>
        <w:spacing w:after="0" w:line="162"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8"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Because we have limited financial and management resources, we focus on development programs and product candidates that we identify for specific indications or therapeutic areas. As a result, we may forego or delay pursuit of opportunities with other product candidates or for other indications or therapeutic areas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or therapeutics areas may not yield any commercially viable products. If we do not accurately evaluate the commercial potential or target market for a particular product candidate, we may relinquish valuable rights to that product candidate through partnerships, licensing or other arrangements in cases in which it would have been more advantageous for us to retain sole development and commercialization rights to such product candidate.</w:t>
      </w:r>
    </w:p>
    <w:p>
      <w:pPr>
        <w:spacing w:after="0" w:line="166"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For any of our product candidates that receive marketing approval, our potential third- party partners may fail to achieve the degree of market acceptance by physicians, patients, third-party payors and others in the medical community necessary for commercial success.</w:t>
      </w:r>
    </w:p>
    <w:p>
      <w:pPr>
        <w:spacing w:after="0" w:line="179"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For any of our product candidates that receive marketing approval, our potential third-party partners may fail to gain sufficient market acceptance by physicians, patients, third-party payors and others in the medical community. If such third-party partners fail to obtain an adequate level of acceptance for our product candidates, we may not earn significant revenue and we may not become profitable. The degree of market acceptance of any product candidate, if approved, will depend on a number of factors, including:</w:t>
      </w:r>
    </w:p>
    <w:p>
      <w:pPr>
        <w:spacing w:after="0" w:line="201" w:lineRule="exact"/>
        <w:rPr>
          <w:sz w:val="20"/>
          <w:szCs w:val="20"/>
          <w:color w:val="auto"/>
        </w:rPr>
      </w:pPr>
    </w:p>
    <w:p>
      <w:pPr>
        <w:ind w:left="1080" w:hanging="353"/>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efficacy, safety and potential advantages compared to alternative treatments;</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potential third-party partners’ ability to offer the products for sale at competitive prices;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convenience and ease of administration compared to alternative treatments;</w:t>
      </w:r>
    </w:p>
    <w:p>
      <w:pPr>
        <w:spacing w:after="0" w:line="14" w:lineRule="exact"/>
        <w:rPr>
          <w:rFonts w:ascii="Arial" w:cs="Arial" w:eastAsia="Arial" w:hAnsi="Arial"/>
          <w:sz w:val="20"/>
          <w:szCs w:val="20"/>
          <w:color w:val="auto"/>
        </w:rPr>
      </w:pPr>
    </w:p>
    <w:p>
      <w:pPr>
        <w:ind w:left="1080" w:hanging="353"/>
        <w:spacing w:after="0" w:line="247" w:lineRule="auto"/>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willingness of the target patient population to try new treatments and of physicians to prescribe these treatments;</w:t>
      </w:r>
    </w:p>
    <w:p>
      <w:pPr>
        <w:ind w:left="1080" w:hanging="353"/>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ability of our potential third-party partners to retain a sales force;</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strength of our potential third-party partners’ marketing and distribution support;</w:t>
      </w:r>
    </w:p>
    <w:p>
      <w:pPr>
        <w:spacing w:after="0" w:line="13" w:lineRule="exact"/>
        <w:rPr>
          <w:rFonts w:ascii="Arial" w:cs="Arial" w:eastAsia="Arial" w:hAnsi="Arial"/>
          <w:sz w:val="20"/>
          <w:szCs w:val="20"/>
          <w:color w:val="auto"/>
        </w:rPr>
      </w:pPr>
    </w:p>
    <w:p>
      <w:pPr>
        <w:ind w:left="1080" w:hanging="353"/>
        <w:spacing w:after="0" w:line="247" w:lineRule="auto"/>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availability of third-party payor coverage and adequate reimbursement or the willingness of patients to pay for these products;</w:t>
      </w:r>
    </w:p>
    <w:p>
      <w:pPr>
        <w:ind w:left="1080" w:hanging="353"/>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prevalence and severity of any side effects; and</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restrictions on the use of our products together with other medications.</w:t>
      </w:r>
    </w:p>
    <w:p>
      <w:pPr>
        <w:spacing w:after="0" w:line="208" w:lineRule="exact"/>
        <w:rPr>
          <w:sz w:val="20"/>
          <w:szCs w:val="20"/>
          <w:color w:val="auto"/>
        </w:rPr>
      </w:pPr>
    </w:p>
    <w:p>
      <w:pPr>
        <w:ind w:firstLine="720"/>
        <w:spacing w:after="0" w:line="278" w:lineRule="auto"/>
        <w:rPr>
          <w:sz w:val="20"/>
          <w:szCs w:val="20"/>
          <w:color w:val="auto"/>
        </w:rPr>
      </w:pPr>
      <w:r>
        <w:rPr>
          <w:rFonts w:ascii="Arial" w:cs="Arial" w:eastAsia="Arial" w:hAnsi="Arial"/>
          <w:sz w:val="20"/>
          <w:szCs w:val="20"/>
          <w:b w:val="1"/>
          <w:bCs w:val="1"/>
          <w:i w:val="1"/>
          <w:iCs w:val="1"/>
          <w:color w:val="auto"/>
        </w:rPr>
        <w:t>We face substantial competition, which may result in others discovering, developing or commercializing drugs before or more successfully than we do.</w:t>
      </w:r>
    </w:p>
    <w:p>
      <w:pPr>
        <w:spacing w:after="0" w:line="157" w:lineRule="exact"/>
        <w:rPr>
          <w:sz w:val="20"/>
          <w:szCs w:val="20"/>
          <w:color w:val="auto"/>
        </w:rPr>
      </w:pPr>
    </w:p>
    <w:p>
      <w:pPr>
        <w:jc w:val="both"/>
        <w:ind w:firstLine="720"/>
        <w:spacing w:after="0" w:line="370" w:lineRule="auto"/>
        <w:rPr>
          <w:sz w:val="20"/>
          <w:szCs w:val="20"/>
          <w:color w:val="auto"/>
        </w:rPr>
      </w:pPr>
      <w:r>
        <w:rPr>
          <w:rFonts w:ascii="Arial" w:cs="Arial" w:eastAsia="Arial" w:hAnsi="Arial"/>
          <w:sz w:val="17"/>
          <w:szCs w:val="17"/>
          <w:color w:val="auto"/>
        </w:rPr>
        <w:t>The development and commercialization of new drugs is highly competitive. We will face competition with respect to any product candidates that we may seek to develop or through our potential third-party partners, commercialize,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720"/>
          </w:cols>
          <w:pgMar w:left="1080" w:top="1177" w:right="1080" w:bottom="0" w:gutter="0" w:footer="0" w:header="0"/>
          <w:type w:val="continuous"/>
        </w:sectPr>
      </w:pPr>
    </w:p>
    <w:bookmarkStart w:id="34" w:name="page35"/>
    <w:bookmarkEnd w:id="34"/>
    <w:p>
      <w:pPr>
        <w:jc w:val="both"/>
        <w:spacing w:after="0" w:line="336" w:lineRule="auto"/>
        <w:rPr>
          <w:sz w:val="20"/>
          <w:szCs w:val="20"/>
          <w:color w:val="auto"/>
        </w:rPr>
      </w:pPr>
      <w:r>
        <w:rPr>
          <w:rFonts w:ascii="Arial" w:cs="Arial" w:eastAsia="Arial" w:hAnsi="Arial"/>
          <w:sz w:val="18"/>
          <w:szCs w:val="18"/>
          <w:color w:val="auto"/>
        </w:rPr>
        <w:t>in the future, from many different sources, including major pharmaceutical, biotechnology and specialty pharmaceutical companies, academic institutions and governmental agencies and public and private research institutions.</w:t>
      </w:r>
    </w:p>
    <w:p>
      <w:pPr>
        <w:spacing w:after="0" w:line="111"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The commercial opportunity for our product candidates, if approved, could be reduced or eliminated if our competitors develop and commercialize drugs that are safer, more effective, have fewer or less severe side effects, are more convenient or are less expensive than a product that we may develop. Our competitors also may obtain FDA or other regulatory approval for their drugs more rapidly than our potential third-party partners may obtain approval for our product candidates, which could result in our competitors establishing a strong market position before our product candidates are able to enter the market.</w:t>
      </w:r>
    </w:p>
    <w:p>
      <w:pPr>
        <w:spacing w:after="0" w:line="191"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and preclinical and clinical development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that may be necessary for, our development programs.</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See “Item 1. Business—Competition” above for additional information regarding the competition we face.</w:t>
      </w:r>
    </w:p>
    <w:p>
      <w:pPr>
        <w:spacing w:after="0" w:line="242"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b w:val="1"/>
          <w:bCs w:val="1"/>
          <w:i w:val="1"/>
          <w:iCs w:val="1"/>
          <w:color w:val="auto"/>
        </w:rPr>
        <w:t>The success of our product candidates, if approved, will depend significantly on coverage and adequate reimbursement or the willingness of patients to pay for these products.</w:t>
      </w:r>
    </w:p>
    <w:p>
      <w:pPr>
        <w:spacing w:after="0" w:line="159"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We believe the success of our product candidates, if approved, will depend on obtaining and maintaining coverage and adequate reimbursement as a prescription treatment or, in the absence of coverage and adequate reimbursement, on the extent to which patients will be willing to pay out of pocket for these prescription drug products.</w:t>
      </w:r>
    </w:p>
    <w:p>
      <w:pPr>
        <w:spacing w:after="0" w:line="141"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Third-party payors determine which prescription drug products they will cover and establish reimbursement levels. Reimbursement by a third-party payor may depend upon a number of factors, including: the third-party payor’s determination that a product is safe, effective, and medically necessary; appropriate for the specific patient; cost-effective; supported by peer-reviewed medical journals or current clinical practice guidelines; and whether there are competitive products, either branded or generic, and the pricing of those products. Many private third-party payors, such as managed care plans, manage access to drug products’ coverage partly to control costs for their plans, and may use drug formularies and medical policies to limit their exposure. Obtaining and maintaining favorable reimbursement can be a time-consuming and expensive process, and our potential third-party partners may not be able to negotiate or continue to negotiate reimbursement or pricing terms for our products which receive commercial approval, with third-party payors at levels that are profitable to us, or at all. Further, coverage policies and third-party reimbursement rates may change at any time. Even if favorable coverage and reimbursement status is attained for one or more products which receive regulatory approval, less favorable coverage policies and reimbursement rates may be implemented in the future.</w:t>
      </w:r>
    </w:p>
    <w:p>
      <w:pPr>
        <w:spacing w:after="0" w:line="174" w:lineRule="exact"/>
        <w:rPr>
          <w:sz w:val="20"/>
          <w:szCs w:val="20"/>
          <w:color w:val="auto"/>
        </w:rPr>
      </w:pPr>
    </w:p>
    <w:p>
      <w:pPr>
        <w:jc w:val="both"/>
        <w:ind w:firstLine="720"/>
        <w:spacing w:after="0" w:line="288" w:lineRule="auto"/>
        <w:rPr>
          <w:sz w:val="20"/>
          <w:szCs w:val="20"/>
          <w:color w:val="auto"/>
        </w:rPr>
      </w:pPr>
      <w:r>
        <w:rPr>
          <w:rFonts w:ascii="Arial" w:cs="Arial" w:eastAsia="Arial" w:hAnsi="Arial"/>
          <w:sz w:val="17"/>
          <w:szCs w:val="17"/>
          <w:color w:val="auto"/>
        </w:rPr>
        <w:t>In addition to uncertainties surrounding coverage policies, there are periodic changes to reimbursement. Third-party payors regularly update reimbursement amounts and also from time to time revise the methodologies used to determine reimbursement amounts. Accordingly, these updates could impact the demand for our product candidates, if approved. Our product candidates, if approved, may not be considered cost effective, and government and third-party private health insurance coverage and reimbursement may not be available to patients or sufficient to allow our potential third-party partners to sell our product candidates, if approved, on a competitive and profitable basis. Further, the containment of healthcare costs also has become a priority of federal, state and foreign governments and the prices of drugs have been a focus in this effort.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Cost control initiatives could decrease the price that our potential third -party partners could receive for any of our product candidates, if approved, and could adversely affect our profitability. We cannot predict how pending and future health care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720"/>
          </w:cols>
          <w:pgMar w:left="1080" w:top="1177" w:right="1080" w:bottom="0" w:gutter="0" w:footer="0" w:header="0"/>
          <w:type w:val="continuous"/>
        </w:sectPr>
      </w:pPr>
    </w:p>
    <w:bookmarkStart w:id="35" w:name="page36"/>
    <w:bookmarkEnd w:id="35"/>
    <w:p>
      <w:pPr>
        <w:jc w:val="both"/>
        <w:spacing w:after="0" w:line="278" w:lineRule="auto"/>
        <w:rPr>
          <w:sz w:val="20"/>
          <w:szCs w:val="20"/>
          <w:color w:val="auto"/>
        </w:rPr>
      </w:pPr>
      <w:r>
        <w:rPr>
          <w:rFonts w:ascii="Arial" w:cs="Arial" w:eastAsia="Arial" w:hAnsi="Arial"/>
          <w:sz w:val="20"/>
          <w:szCs w:val="20"/>
          <w:color w:val="auto"/>
        </w:rPr>
        <w:t>legislation will impact our business, and any changes in coverage and reimbursement that further restricts coverage of our product candidates could harm our business.</w:t>
      </w:r>
    </w:p>
    <w:p>
      <w:pPr>
        <w:spacing w:after="0" w:line="15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Foreign governments also have their own healthcare reimbursement systems, which vary significantly by country and region, and we cannot be sure that coverage and adequate reimbursement will be made available with respect to our product candidates, if approved, under any foreign reimbursement system. In some foreign countries, including major markets in the European Union and Japan, the pricing of prescription pharmaceuticals is subject to governmental control. In these countries, pricing negotiations with governmental authorities can take up to 12 months or longer after the receipt of regulatory marketing approval for a product. To obtain reimbursement or pricing approval in some countries, we may be required to conduct a pharmacoeconomic study that compares the cost-effectiveness of our product candidate to other available therapies. Such pharmacoeconomic studies can be costly and the results uncertain. Our business could be harmed if reimbursement of our product candidates, if approved, is unavailable or limited in scope or amount or if pricing is set at unsatisfactory levels.</w:t>
      </w:r>
    </w:p>
    <w:p>
      <w:pPr>
        <w:spacing w:after="0" w:line="182" w:lineRule="exact"/>
        <w:rPr>
          <w:sz w:val="20"/>
          <w:szCs w:val="20"/>
          <w:color w:val="auto"/>
        </w:rPr>
      </w:pPr>
    </w:p>
    <w:p>
      <w:pPr>
        <w:jc w:val="both"/>
        <w:ind w:firstLine="720"/>
        <w:spacing w:after="0" w:line="354" w:lineRule="auto"/>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of our product candidates that we may develop and are commercialized by our potential third-party partners or impact any commercial products that we have previously sold or are being sold by third-party partners.</w:t>
      </w:r>
    </w:p>
    <w:p>
      <w:pPr>
        <w:spacing w:after="0" w:line="107" w:lineRule="exact"/>
        <w:rPr>
          <w:sz w:val="20"/>
          <w:szCs w:val="20"/>
          <w:color w:val="auto"/>
        </w:rPr>
      </w:pPr>
    </w:p>
    <w:p>
      <w:pPr>
        <w:jc w:val="both"/>
        <w:ind w:firstLine="720"/>
        <w:spacing w:after="0" w:line="265" w:lineRule="auto"/>
        <w:rPr>
          <w:sz w:val="20"/>
          <w:szCs w:val="20"/>
          <w:color w:val="auto"/>
        </w:rPr>
      </w:pPr>
      <w:r>
        <w:rPr>
          <w:rFonts w:ascii="Arial" w:cs="Arial" w:eastAsia="Arial" w:hAnsi="Arial"/>
          <w:sz w:val="19"/>
          <w:szCs w:val="19"/>
          <w:color w:val="auto"/>
        </w:rPr>
        <w:t>We face an inherent risk of product liability exposure related to the testing of our product candidates in human clinical trials and relating to any of our commercial products that we have previously sold or are being sold by third-party partners. If we cannot successfully defend ourselves against claims that our commercial products that we have previously sold or are being sold by third-party partners, or product candidates, caused injuries, we will incur substantial liabilities. Regardless of merit or eventual outcome, product liability claims may result in:</w:t>
      </w:r>
    </w:p>
    <w:p>
      <w:pPr>
        <w:spacing w:after="0" w:line="189" w:lineRule="exact"/>
        <w:rPr>
          <w:sz w:val="20"/>
          <w:szCs w:val="20"/>
          <w:color w:val="auto"/>
        </w:rPr>
      </w:pPr>
    </w:p>
    <w:p>
      <w:pPr>
        <w:ind w:left="1080" w:hanging="352"/>
        <w:spacing w:after="0" w:line="258" w:lineRule="auto"/>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decreased demand for any product candidates that we may develop and, if approved, are commercialized by our potential third-party partners;</w:t>
      </w:r>
    </w:p>
    <w:p>
      <w:pPr>
        <w:spacing w:after="0" w:line="1" w:lineRule="exact"/>
        <w:rPr>
          <w:rFonts w:ascii="Arial" w:cs="Arial" w:eastAsia="Arial" w:hAnsi="Arial"/>
          <w:sz w:val="20"/>
          <w:szCs w:val="20"/>
          <w:color w:val="auto"/>
        </w:rPr>
      </w:pPr>
    </w:p>
    <w:p>
      <w:pPr>
        <w:ind w:left="1080" w:hanging="352"/>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injury to our reputation and significant negative media attention;</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withdrawal of clinical trial participants;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significant costs to defend the related litigation;</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substantial monetary awards paid to trial participants or patients;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loss of revenue;</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reduced resources of our management to pursue our business strategy; and</w:t>
      </w:r>
    </w:p>
    <w:p>
      <w:pPr>
        <w:spacing w:after="0" w:line="14" w:lineRule="exact"/>
        <w:rPr>
          <w:rFonts w:ascii="Arial" w:cs="Arial" w:eastAsia="Arial" w:hAnsi="Arial"/>
          <w:sz w:val="20"/>
          <w:szCs w:val="20"/>
          <w:color w:val="auto"/>
        </w:rPr>
      </w:pPr>
    </w:p>
    <w:p>
      <w:pPr>
        <w:ind w:left="1080" w:hanging="352"/>
        <w:spacing w:after="0" w:line="254" w:lineRule="auto"/>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inability to identify and consummate transactions with third-party partners to further develop, obtain marketing approval for and/or commercialize our product candidates.</w:t>
      </w:r>
    </w:p>
    <w:p>
      <w:pPr>
        <w:spacing w:after="0" w:line="182"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We currently hold $10 million in product liability insurance coverage in the aggregate, with a per incident limit of $10 million, which may not be adequate to cover all liabilities that we may incur. Insurance coverage is increasingly expensive. We may need to increase our insurance coverage and we may not be able to maintain insurance coverage at a reasonable cost or in an amount adequate to satisfy any liability that may arise.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Dependence on Third Parties</w:t>
      </w:r>
    </w:p>
    <w:p>
      <w:pPr>
        <w:spacing w:after="0" w:line="234" w:lineRule="exact"/>
        <w:rPr>
          <w:sz w:val="20"/>
          <w:szCs w:val="20"/>
          <w:color w:val="auto"/>
        </w:rPr>
      </w:pPr>
    </w:p>
    <w:p>
      <w:pPr>
        <w:jc w:val="both"/>
        <w:ind w:firstLine="720"/>
        <w:spacing w:after="0" w:line="305" w:lineRule="auto"/>
        <w:rPr>
          <w:sz w:val="20"/>
          <w:szCs w:val="20"/>
          <w:color w:val="auto"/>
        </w:rPr>
      </w:pPr>
      <w:r>
        <w:rPr>
          <w:rFonts w:ascii="Arial" w:cs="Arial" w:eastAsia="Arial" w:hAnsi="Arial"/>
          <w:sz w:val="19"/>
          <w:szCs w:val="19"/>
          <w:b w:val="1"/>
          <w:bCs w:val="1"/>
          <w:i w:val="1"/>
          <w:iCs w:val="1"/>
          <w:color w:val="auto"/>
        </w:rPr>
        <w:t>We rely on third parties to conduct clinical trials for our product candidates, and those third parties may not perform satisfactorily, including failing to meet deadlines for the completion of such trials.</w:t>
      </w:r>
    </w:p>
    <w:p>
      <w:pPr>
        <w:spacing w:after="0" w:line="135"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17"/>
          <w:szCs w:val="17"/>
          <w:color w:val="auto"/>
        </w:rPr>
        <w:t>We engage CROs to conduct clinical trials of our product candidates. We expect to continue to rely on third parties, such as clinical data management organizations, medical institutions and clinical investigators, to conduct those clinical trials. If any of our relationships with these third parties terminate, we may not be able to timely enter into arrangements with alternative third parties or to do so on commercially reasonable terms, if at all.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identify and consummate transactions with third-party partners to further develop, obtain marketing approval for and/or commercialize our product candidates. Consequently, our results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720"/>
          </w:cols>
          <w:pgMar w:left="1080" w:top="1177" w:right="1080" w:bottom="0" w:gutter="0" w:footer="0" w:header="0"/>
          <w:type w:val="continuous"/>
        </w:sectPr>
      </w:pPr>
    </w:p>
    <w:bookmarkStart w:id="36" w:name="page37"/>
    <w:bookmarkEnd w:id="36"/>
    <w:p>
      <w:pPr>
        <w:jc w:val="both"/>
        <w:spacing w:after="0" w:line="278" w:lineRule="auto"/>
        <w:rPr>
          <w:sz w:val="20"/>
          <w:szCs w:val="20"/>
          <w:color w:val="auto"/>
        </w:rPr>
      </w:pPr>
      <w:r>
        <w:rPr>
          <w:rFonts w:ascii="Arial" w:cs="Arial" w:eastAsia="Arial" w:hAnsi="Arial"/>
          <w:sz w:val="20"/>
          <w:szCs w:val="20"/>
          <w:color w:val="auto"/>
        </w:rPr>
        <w:t>of operations and the commercial prospects for our product candidates would be harmed, our costs could increase substantially and our ability to earn revenue from those partnerships could be delayed significantly.</w:t>
      </w:r>
    </w:p>
    <w:p>
      <w:pPr>
        <w:spacing w:after="0" w:line="157"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6"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fail to comply with applicable GCPs, the clinical data generated in our clinical trials may be deemed unreliable and the FDA or comparable foreign regulatory authorities may require us to perform additional clinical trials before approving marketing applications. We cannot assure you that upon inspection by a given regulatory authority, such regulatory authority will determine that any of our clinical trials complies with GCP regulations. In addition, our clinical trials must be conducted with drug product produced under cGMP regulations. Our failure to comply with these regulations may require us to repeat clinical trials, which would delay the marketing approval process for our potential third-party partners.</w:t>
      </w:r>
    </w:p>
    <w:p>
      <w:pPr>
        <w:spacing w:after="0" w:line="174"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We also rely on other third parties to store and distribute drug supplies for our clinical trials. Any performance failure on the part of our distributors could delay clinical development or marketing approval of our product candidates or commercialization of our product candidates, if approved, producing additional losses and depriving us of potential revenue.</w:t>
      </w:r>
    </w:p>
    <w:p>
      <w:pPr>
        <w:spacing w:after="0" w:line="185" w:lineRule="exact"/>
        <w:rPr>
          <w:sz w:val="20"/>
          <w:szCs w:val="20"/>
          <w:color w:val="auto"/>
        </w:rPr>
      </w:pPr>
    </w:p>
    <w:p>
      <w:pPr>
        <w:jc w:val="both"/>
        <w:ind w:firstLine="720"/>
        <w:spacing w:after="0" w:line="325" w:lineRule="auto"/>
        <w:rPr>
          <w:sz w:val="20"/>
          <w:szCs w:val="20"/>
          <w:color w:val="auto"/>
        </w:rPr>
      </w:pPr>
      <w:r>
        <w:rPr>
          <w:rFonts w:ascii="Arial" w:cs="Arial" w:eastAsia="Arial" w:hAnsi="Arial"/>
          <w:sz w:val="17"/>
          <w:szCs w:val="17"/>
          <w:b w:val="1"/>
          <w:bCs w:val="1"/>
          <w:i w:val="1"/>
          <w:iCs w:val="1"/>
          <w:color w:val="auto"/>
        </w:rPr>
        <w:t>We contract with third parties for the manufacture and supply of our product candidates for preclinical and clinical testing. This reliance on third parties increases the risk that we will not have sufficient quantities of our product candidates or such quantities at an acceptable cost, which could delay, prevent or impair our development efforts.</w:t>
      </w:r>
    </w:p>
    <w:p>
      <w:pPr>
        <w:spacing w:after="0" w:line="125"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We do not have any manufacturing facilities. We have not developed the ability to manufacture drug product ourselves, nor have we developed the capabilities to manufacture biologics. We currently rely, and expect to continue to rely, on third parties for the manufacture and supply of our product candidates for preclinical and clinical testing. This reliance on third parties increases the risk that we will not have sufficient quantities of our product candidates at an acceptable cost and/or quality, which could delay, prevent or impair our ability to timely conduct our clinical trials or our other development efforts.</w:t>
      </w:r>
    </w:p>
    <w:p>
      <w:pPr>
        <w:spacing w:after="0" w:line="188"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We currently use manufacturers in China to manufacture certain product candidates for use in our clinical trials. For example, we currently rely on WuXi Biologics (Hong Kong) Limited (“WuXi Biologics”) for the production of product necessary to complete our upcoming clinical trial for bosakitug. We also rely on WuXi AppTec (HongKong) Limited (“WuXi AppTec”, and together with WuXi Biologics, “WuXi”) to conduct toxicology studies. The BIOSECURE Act, which prohibits, among other things, U.S. federal funding in connection with biotechnology equipment or services produced or provided by certain named Chinese “biotechnology companies of concern” (“BCCs”) and loans and grants to, and federal contracts with, any entity that uses biotechnology equipment or services from one of these entities in performance of the government contract, grant, or loan. While the enacted version of the BIOSECURE Act does not specifically name companies, it establishes a process for the Office of Management and Budget (“OMB”) to publish a list of BCCs by December 18, 2026</w:t>
      </w:r>
      <w:r>
        <w:rPr>
          <w:rFonts w:ascii="Arial" w:cs="Arial" w:eastAsia="Arial" w:hAnsi="Arial"/>
          <w:sz w:val="18"/>
          <w:szCs w:val="18"/>
          <w:b w:val="1"/>
          <w:bCs w:val="1"/>
          <w:color w:val="auto"/>
        </w:rPr>
        <w:t>.</w:t>
      </w:r>
      <w:r>
        <w:rPr>
          <w:rFonts w:ascii="Arial" w:cs="Arial" w:eastAsia="Arial" w:hAnsi="Arial"/>
          <w:sz w:val="18"/>
          <w:szCs w:val="18"/>
          <w:color w:val="auto"/>
        </w:rPr>
        <w:t xml:space="preserve"> Such BCCs will include entities on the U.S. Department of Defense’s annual List of Chinese Military Companies (“1260H List”) and also entities so designated by OMB through a separate designation process. Companies previously identified in legislative drafts, such as WuXi, remain at risk of being designated as BCCs through this process or by inclusion on the 1260H list. The Act includes a five-year grandfathering provision for existing commercial agreements executed prior to the implementation of the Federal Acquisition Regulation (“FAR”) revisions, which are expected by mid-2028. The implementation of the BIOSECURE Act could materially impact our current and future agreements with WuXi or other Chinese manufacturers. If WuXi or our other partners are designated as BCCs, we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720"/>
          </w:cols>
          <w:pgMar w:left="1080" w:top="1177" w:right="1080" w:bottom="0" w:gutter="0" w:footer="0" w:header="0"/>
          <w:type w:val="continuous"/>
        </w:sectPr>
      </w:pPr>
    </w:p>
    <w:bookmarkStart w:id="37" w:name="page38"/>
    <w:bookmarkEnd w:id="37"/>
    <w:p>
      <w:pPr>
        <w:jc w:val="both"/>
        <w:spacing w:after="0" w:line="252" w:lineRule="auto"/>
        <w:rPr>
          <w:sz w:val="20"/>
          <w:szCs w:val="20"/>
          <w:color w:val="auto"/>
        </w:rPr>
      </w:pPr>
      <w:r>
        <w:rPr>
          <w:rFonts w:ascii="Arial" w:cs="Arial" w:eastAsia="Arial" w:hAnsi="Arial"/>
          <w:sz w:val="20"/>
          <w:szCs w:val="20"/>
          <w:color w:val="auto"/>
        </w:rPr>
        <w:t>may be required to transition to alternative manufacturers and service providers to maintain eligibility for federal contracts, grants, or clinical trial reimbursements. Such a transition could be time-consuming, resource-intensive, and may require FDA supplemental approvals, potentially causing significant delays or impairments to our clinical development timelines and business operations.</w:t>
      </w:r>
    </w:p>
    <w:p>
      <w:pPr>
        <w:spacing w:after="0" w:line="18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Additionally, export controls or restrictions on the transfer of certain technologies, materials, or data could disrupt our collaborations, particularly our agreement with CTTQ in Greater China. Changes in the trade relations between the United States and China could:</w:t>
      </w:r>
    </w:p>
    <w:p>
      <w:pPr>
        <w:spacing w:after="0" w:line="191" w:lineRule="exact"/>
        <w:rPr>
          <w:sz w:val="20"/>
          <w:szCs w:val="20"/>
          <w:color w:val="auto"/>
        </w:rPr>
      </w:pPr>
    </w:p>
    <w:p>
      <w:pPr>
        <w:ind w:left="1080" w:hanging="353"/>
        <w:spacing w:after="0"/>
        <w:tabs>
          <w:tab w:leader="none" w:pos="10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limit our ability to receive clinical data from CTTQ’s ongoing trials in China;</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restrict data sharing under our license agreements;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prevent us from accessing drug product manufactured in China for our clinical trials; or</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impact our collaboration agreements and milestone payments.</w:t>
      </w:r>
    </w:p>
    <w:p>
      <w:pPr>
        <w:spacing w:after="0" w:line="208"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We may not be able to quickly identify alternative suppliers or manufacturers and any such transitions would require regulatory approval, validation studies, and significant time and expense. Any significant disruption in our supply chain or increase in costs due to tariffs or trade restrictions could delay our clinical programs, increase our operating expenses, and materially harm our business and financial condition.</w:t>
      </w:r>
    </w:p>
    <w:p>
      <w:pPr>
        <w:spacing w:after="0" w:line="184"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or comparable foreign regulatory authorities pursuant to inspections that will be conducted after the NDA, BLA or comparable marketing application is submitted to the FDA or other regulatory authority. We do not have control over a supplier’s or manufacturer’s compliance with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and identify and consummate transactions with third-party partners to further develop, obtain marketing approval for and/or commercialize, our product candidates.</w:t>
      </w:r>
    </w:p>
    <w:p>
      <w:pPr>
        <w:spacing w:after="0" w:line="176"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may be unable to establish any agreements with future third-party manufacturers or do so on acceptable terms. Even if we are able to establish agreements with third-party manufacturers, reliance on third-party manufacturers entails additional risks, including:</w:t>
      </w:r>
    </w:p>
    <w:p>
      <w:pPr>
        <w:spacing w:after="0" w:line="192" w:lineRule="exact"/>
        <w:rPr>
          <w:sz w:val="20"/>
          <w:szCs w:val="20"/>
          <w:color w:val="auto"/>
        </w:rPr>
      </w:pPr>
    </w:p>
    <w:p>
      <w:pPr>
        <w:ind w:left="1080" w:hanging="352"/>
        <w:spacing w:after="0"/>
        <w:tabs>
          <w:tab w:leader="none" w:pos="10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reliance on the third party for regulatory compliance and quality assurance;</w:t>
      </w:r>
    </w:p>
    <w:p>
      <w:pPr>
        <w:spacing w:after="0" w:line="36" w:lineRule="exact"/>
        <w:rPr>
          <w:rFonts w:ascii="Arial" w:cs="Arial" w:eastAsia="Arial" w:hAnsi="Arial"/>
          <w:sz w:val="20"/>
          <w:szCs w:val="20"/>
          <w:color w:val="auto"/>
        </w:rPr>
      </w:pPr>
    </w:p>
    <w:p>
      <w:pPr>
        <w:ind w:left="1080" w:hanging="352"/>
        <w:spacing w:after="0"/>
        <w:tabs>
          <w:tab w:leader="none" w:pos="10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possible breach of the manufacturing agreement by the third party;</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possible misappropriation of our proprietary information, including our trade secrets and know-how;</w:t>
      </w:r>
    </w:p>
    <w:p>
      <w:pPr>
        <w:spacing w:after="0" w:line="26" w:lineRule="exact"/>
        <w:rPr>
          <w:rFonts w:ascii="Arial" w:cs="Arial" w:eastAsia="Arial" w:hAnsi="Arial"/>
          <w:sz w:val="19"/>
          <w:szCs w:val="19"/>
          <w:color w:val="auto"/>
        </w:rPr>
      </w:pPr>
    </w:p>
    <w:p>
      <w:pPr>
        <w:ind w:left="1080" w:hanging="352"/>
        <w:spacing w:after="0" w:line="247" w:lineRule="auto"/>
        <w:tabs>
          <w:tab w:leader="none" w:pos="10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possible increase in costs by our third-party suppliers for the active pharmaceutical ingredients for our product candidates; and</w:t>
      </w:r>
    </w:p>
    <w:p>
      <w:pPr>
        <w:ind w:left="1080" w:hanging="352"/>
        <w:spacing w:after="0" w:line="254" w:lineRule="auto"/>
        <w:tabs>
          <w:tab w:leader="none" w:pos="10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possible termination or nonrenewal of the agreement by the third party at a time that is costly or inconvenient for us.</w:t>
      </w:r>
    </w:p>
    <w:p>
      <w:pPr>
        <w:spacing w:after="0" w:line="180" w:lineRule="exact"/>
        <w:rPr>
          <w:sz w:val="20"/>
          <w:szCs w:val="20"/>
          <w:color w:val="auto"/>
        </w:rPr>
      </w:pPr>
    </w:p>
    <w:p>
      <w:pPr>
        <w:jc w:val="both"/>
        <w:ind w:firstLine="721"/>
        <w:spacing w:after="0" w:line="284"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operating restrictions and criminal prosecutions, any of which could significantly and adversely affect supplies of our product candidates.</w:t>
      </w:r>
    </w:p>
    <w:p>
      <w:pPr>
        <w:spacing w:after="0" w:line="156"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Our product candidates may compete with other products and product candidates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of our product candidates. Additionally, the loss of or damage to our cell banks maintained at these third-party manufacturers could significantly delay our development efforts, as establishing and qualifying new cell banks would require substantial time and resources.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720"/>
          </w:cols>
          <w:pgMar w:left="1080" w:top="1177" w:right="1080" w:bottom="0" w:gutter="0" w:footer="0" w:header="0"/>
          <w:type w:val="continuous"/>
        </w:sectPr>
      </w:pPr>
    </w:p>
    <w:bookmarkStart w:id="38" w:name="page39"/>
    <w:bookmarkEnd w:id="38"/>
    <w:p>
      <w:pPr>
        <w:jc w:val="both"/>
        <w:ind w:firstLine="720"/>
        <w:spacing w:after="0" w:line="252" w:lineRule="auto"/>
        <w:rPr>
          <w:sz w:val="20"/>
          <w:szCs w:val="20"/>
          <w:color w:val="auto"/>
        </w:rPr>
      </w:pPr>
      <w:r>
        <w:rPr>
          <w:rFonts w:ascii="Arial" w:cs="Arial" w:eastAsia="Arial" w:hAnsi="Arial"/>
          <w:sz w:val="20"/>
          <w:szCs w:val="20"/>
          <w:color w:val="auto"/>
        </w:rPr>
        <w:t>If our current contract manufacturers cannot perform as agreed, we may be required to replace such manufacturers. We may incur added costs and delays in identifying and qualifying any such replacement. We do not currently have arrangements in place for redundant supply or a second source for the active pharmaceutical ingredients and/or drug product for our product candidates.</w:t>
      </w:r>
    </w:p>
    <w:p>
      <w:pPr>
        <w:spacing w:after="0" w:line="184"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We expect to continue to depend on third-party contract manufacturers for the foreseeable future. Our current and anticipated future dependence upon others for the manufacture of our product candidates may adversely affect our future profit margins and our ability to identify and consummate transactions with third-party partners to further develop, obtain marketing approval for and/or commercialize our product candidates on a timely and competitive basis.</w:t>
      </w:r>
    </w:p>
    <w:p>
      <w:pPr>
        <w:spacing w:after="0" w:line="154"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9"/>
          <w:szCs w:val="19"/>
          <w:b w:val="1"/>
          <w:bCs w:val="1"/>
          <w:i w:val="1"/>
          <w:iCs w:val="1"/>
          <w:color w:val="auto"/>
        </w:rPr>
        <w:t>We intend to identify and consummate transactions with third-party partners to further develop, obtain marketing approval for and/or commercialize our product candidates. If those arrangements are not successful, we may not be able to capitalize on the market potential of these product candidates.</w:t>
      </w:r>
    </w:p>
    <w:p>
      <w:pPr>
        <w:spacing w:after="0" w:line="160"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We intend to identify and consummate transactions with third- party partners to further develop, obtain marketing approval for and/or commercialize our product candidates. Our likely partners for any such arrangements include large and mid-size pharmaceutical companies, regional and national pharmaceutical companies and biotechnology companies. If we do enter into any such arrangements with any third parties, we will likely have limited control over the amount and timing of resources that our partners dedicate to the development or commercialization of our product candidates. Our ability to earn revenue from these arrangements will depend on our partners’ abilities to successfully perform the functions assigned to them in these arrangements.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Partnerships involving our product candidates would pose the following risks to us:</w:t>
      </w:r>
    </w:p>
    <w:p>
      <w:pPr>
        <w:spacing w:after="0" w:line="245" w:lineRule="exact"/>
        <w:rPr>
          <w:sz w:val="20"/>
          <w:szCs w:val="20"/>
          <w:color w:val="auto"/>
        </w:rPr>
      </w:pPr>
    </w:p>
    <w:p>
      <w:pPr>
        <w:ind w:left="1080" w:hanging="352"/>
        <w:spacing w:after="0" w:line="258" w:lineRule="auto"/>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partners have significant discretion in determining the efforts and resources that they will apply to these arrangements;</w:t>
      </w:r>
    </w:p>
    <w:p>
      <w:pPr>
        <w:spacing w:after="0" w:line="1" w:lineRule="exact"/>
        <w:rPr>
          <w:rFonts w:ascii="Arial" w:cs="Arial" w:eastAsia="Arial" w:hAnsi="Arial"/>
          <w:sz w:val="20"/>
          <w:szCs w:val="20"/>
          <w:color w:val="auto"/>
        </w:rPr>
      </w:pPr>
    </w:p>
    <w:p>
      <w:pPr>
        <w:ind w:left="1080" w:hanging="352"/>
        <w:spacing w:after="0"/>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partners may not perform their obligations as expected;</w:t>
      </w:r>
    </w:p>
    <w:p>
      <w:pPr>
        <w:spacing w:after="0" w:line="14" w:lineRule="exact"/>
        <w:rPr>
          <w:rFonts w:ascii="Arial" w:cs="Arial" w:eastAsia="Arial" w:hAnsi="Arial"/>
          <w:sz w:val="20"/>
          <w:szCs w:val="20"/>
          <w:color w:val="auto"/>
        </w:rPr>
      </w:pPr>
    </w:p>
    <w:p>
      <w:pPr>
        <w:jc w:val="both"/>
        <w:ind w:left="1080" w:hanging="352"/>
        <w:spacing w:after="0" w:line="271"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 may not pursue development, marketing approval or commercialization of any product candidates that achieve marketing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jc w:val="both"/>
        <w:ind w:left="1080" w:hanging="352"/>
        <w:spacing w:after="0" w:line="244" w:lineRule="auto"/>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20"/>
          <w:szCs w:val="20"/>
          <w:color w:val="auto"/>
        </w:rPr>
      </w:pPr>
    </w:p>
    <w:p>
      <w:pPr>
        <w:jc w:val="both"/>
        <w:ind w:left="1080" w:hanging="352"/>
        <w:spacing w:after="0" w:line="243" w:lineRule="auto"/>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partners could independently develop, or develop with third parties, products that compete directly or indirectly with our product candidates if the partners believe that competitive products are more likely to be successfully developed or can be commercialized under terms that are more economically attractive than ours;</w:t>
      </w:r>
    </w:p>
    <w:p>
      <w:pPr>
        <w:spacing w:after="0" w:line="3" w:lineRule="exact"/>
        <w:rPr>
          <w:rFonts w:ascii="Arial" w:cs="Arial" w:eastAsia="Arial" w:hAnsi="Arial"/>
          <w:sz w:val="20"/>
          <w:szCs w:val="20"/>
          <w:color w:val="auto"/>
        </w:rPr>
      </w:pPr>
    </w:p>
    <w:p>
      <w:pPr>
        <w:jc w:val="both"/>
        <w:ind w:left="1080" w:hanging="352"/>
        <w:spacing w:after="0" w:line="257" w:lineRule="auto"/>
        <w:tabs>
          <w:tab w:leader="none" w:pos="10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product candidates discovered in collaboration with us may be viewed by our collaborators as competitive with their own products or product candidates, which may cause our partners to cease to devote resources to the development and/or commercialization of our product candidates, if approved;</w:t>
      </w:r>
    </w:p>
    <w:p>
      <w:pPr>
        <w:spacing w:after="0" w:line="2" w:lineRule="exact"/>
        <w:rPr>
          <w:rFonts w:ascii="Arial" w:cs="Arial" w:eastAsia="Arial" w:hAnsi="Arial"/>
          <w:sz w:val="19"/>
          <w:szCs w:val="19"/>
          <w:color w:val="auto"/>
        </w:rPr>
      </w:pPr>
    </w:p>
    <w:p>
      <w:pPr>
        <w:jc w:val="both"/>
        <w:ind w:left="1080" w:hanging="352"/>
        <w:spacing w:after="0" w:line="245" w:lineRule="auto"/>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partner with marketing and distribution rights to one or more of our product candidates that achieve marketing approval may not commit sufficient resources to the marketing and distribution of such product candidates;</w:t>
      </w:r>
    </w:p>
    <w:p>
      <w:pPr>
        <w:jc w:val="both"/>
        <w:ind w:left="1080" w:hanging="352"/>
        <w:spacing w:after="0" w:line="243" w:lineRule="auto"/>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disagreements with partners, including disagreements over proprietary rights, contract interpretation or the preferred course of development or commercialization,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jc w:val="both"/>
        <w:ind w:left="1080" w:hanging="352"/>
        <w:spacing w:after="0" w:line="245" w:lineRule="auto"/>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partners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ind w:left="1080" w:hanging="352"/>
        <w:spacing w:after="0" w:line="254" w:lineRule="auto"/>
        <w:tabs>
          <w:tab w:leader="none" w:pos="10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partners may infringe the intellectual property rights of third parties, which may expose us to litigation and potential liability; and</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720"/>
          </w:cols>
          <w:pgMar w:left="1080" w:top="1177" w:right="1080" w:bottom="0" w:gutter="0" w:footer="0" w:header="0"/>
          <w:type w:val="continuous"/>
        </w:sectPr>
      </w:pPr>
    </w:p>
    <w:bookmarkStart w:id="39" w:name="page40"/>
    <w:bookmarkEnd w:id="39"/>
    <w:p>
      <w:pPr>
        <w:jc w:val="both"/>
        <w:ind w:left="1080" w:hanging="353"/>
        <w:spacing w:after="0" w:line="258" w:lineRule="auto"/>
        <w:tabs>
          <w:tab w:leader="none" w:pos="10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partnerships may be terminated for the convenience of the partner and, if terminated, we could be required to raise additional capital to pursue further development and/or commercialization of the applicable product candidates.</w:t>
      </w:r>
    </w:p>
    <w:p>
      <w:pPr>
        <w:spacing w:after="0" w:line="179"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Partnership agreements may not lead to development, marketing approval or commercialization of product candidates in the most efficient manner or at all. If a present or future partner of ours were to be involved in a business combination, the continued pursuit and emphasis on our drug development or commercialization program could be delayed, diminished or terminated.</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7"/>
          <w:szCs w:val="17"/>
          <w:b w:val="1"/>
          <w:bCs w:val="1"/>
          <w:i w:val="1"/>
          <w:iCs w:val="1"/>
          <w:color w:val="auto"/>
        </w:rPr>
        <w:t>If we are not able to establish partnerships, we may have to alter our development and commercialization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plans.</w:t>
      </w:r>
    </w:p>
    <w:p>
      <w:pPr>
        <w:spacing w:after="0" w:line="202"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Our development programs for our product candidates will require substantial additional capital. We intend to partner with pharmaceutical and biotechnology companies for the further development and/or commercialization of our product candidates.</w:t>
      </w:r>
    </w:p>
    <w:p>
      <w:pPr>
        <w:spacing w:after="0" w:line="131"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We face significant competition in seeking appropriate partners. Whether we reach a definitive agreement for a partnership will depend, among other things, upon our assessment of the partner’s resources and expertise, the terms and conditions of the proposed arrangement and the proposed partner’s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partner may also consider alternative product candidates or technologies for similar indications that may be available to partner on and whether such a partnership could be more attractive than the one with us for our product candidate. Partnerships are complex and time-consuming to negotiate and document. In addition, there have been a significant number of recent business combinations among large pharmaceutical companies that have resulted in a reduced number of potential future partners.</w:t>
      </w:r>
    </w:p>
    <w:p>
      <w:pPr>
        <w:spacing w:after="0" w:line="176"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We may not be able to negotiate partnerships on a timely basis, on acceptable terms, or at all. If we are unable to do so, we may have to curtail the development of such product candidate, reduce or delay its development program or one or more of our other development programs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86" w:lineRule="exact"/>
        <w:rPr>
          <w:sz w:val="20"/>
          <w:szCs w:val="20"/>
          <w:color w:val="auto"/>
        </w:rPr>
      </w:pPr>
    </w:p>
    <w:p>
      <w:pPr>
        <w:jc w:val="both"/>
        <w:ind w:firstLine="720"/>
        <w:spacing w:after="0" w:line="326" w:lineRule="auto"/>
        <w:rPr>
          <w:sz w:val="20"/>
          <w:szCs w:val="20"/>
          <w:color w:val="auto"/>
        </w:rPr>
      </w:pPr>
      <w:r>
        <w:rPr>
          <w:rFonts w:ascii="Arial" w:cs="Arial" w:eastAsia="Arial" w:hAnsi="Arial"/>
          <w:sz w:val="17"/>
          <w:szCs w:val="17"/>
          <w:b w:val="1"/>
          <w:bCs w:val="1"/>
          <w:i w:val="1"/>
          <w:iCs w:val="1"/>
          <w:color w:val="auto"/>
        </w:rPr>
        <w:t>We may not have access to all information regarding our product candidates that are subject to partnership agreements. Consequently, our ability to inform our stockholders about the status of our product candidates that are subject to these agreements, and our ability to make business and operational decisions, may be limited.</w:t>
      </w:r>
    </w:p>
    <w:p>
      <w:pPr>
        <w:spacing w:after="0" w:line="134"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8"/>
          <w:szCs w:val="18"/>
          <w:color w:val="auto"/>
        </w:rPr>
        <w:t>We may not have access to all information regarding our product candidates that are or may in the future become subject to agreements with partners, including potentially material information about clinical trial design, execution and timing, safety and efficacy, clinical trial results, regulatory affairs, manufacturing, marketing, sales and other areas known by our partners or potential partners. In addition, we have and may in the future have confidentiality obligations under our agreements with such partners. Therefore, our ability to keep our stockholders informed about the status of our product candidates will be limited by the degree to which our partners keep us informed and by the degree to which our partners allow us to disclose information to the public or provide such information to the public themselves. For example, we are relying on CTTQ, our partner in China, to share information about its trials of bosakitug in respiratory diseases. If our partners do not timely inform us about the status of our product candidates that are the subject of the partnership, we may make operational and investment decisions that we would not have made had we been fully informed, which may have an adverse impact on our business, prospects, financial condition and results of operations.</w:t>
      </w:r>
    </w:p>
    <w:p>
      <w:pPr>
        <w:sectPr>
          <w:pgSz w:w="11880" w:h="15480" w:orient="portrait"/>
          <w:cols w:equalWidth="0" w:num="1">
            <w:col w:w="9720"/>
          </w:cols>
          <w:pgMar w:left="1080" w:top="119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720"/>
          </w:cols>
          <w:pgMar w:left="1080" w:top="1191" w:right="1080" w:bottom="0" w:gutter="0" w:footer="0" w:header="0"/>
          <w:type w:val="continuous"/>
        </w:sectPr>
      </w:pPr>
    </w:p>
    <w:bookmarkStart w:id="40" w:name="page41"/>
    <w:bookmarkEnd w:id="40"/>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We are dependent on third parties accurately generating and reporting data related to our product candidates, and their conduct could adversely affect our business</w:t>
      </w:r>
      <w:r>
        <w:rPr>
          <w:rFonts w:ascii="Arial" w:cs="Arial" w:eastAsia="Arial" w:hAnsi="Arial"/>
          <w:sz w:val="20"/>
          <w:szCs w:val="20"/>
          <w:i w:val="1"/>
          <w:iCs w:val="1"/>
          <w:color w:val="auto"/>
        </w:rPr>
        <w:t>.</w:t>
      </w:r>
    </w:p>
    <w:p>
      <w:pPr>
        <w:spacing w:after="0" w:line="157"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0"/>
          <w:szCs w:val="20"/>
          <w:color w:val="auto"/>
        </w:rPr>
        <w:t>We have and may in the future acquire or in-license our product candidates at various stages of development. For example, we in-licensed bosakitug and ATI-052 from Biosion. Our assumptions about the potential of such product candidates are partially based on data generated from preclinical studies and clinical trials conducted by Biosion. We are dependent on Biosion having conducted its research and development in accordance with the applicable protocols, informed consent, legal and regulatory requirements, and scientific standards, having accurately reported the results of all studies conducted, and having correctly collected the data from these studies. If these activities were not compliant, accurate or correct, the clinical development, regulatory approval or commercialization of such product candidates will be adversely affected.</w:t>
      </w:r>
    </w:p>
    <w:p>
      <w:pPr>
        <w:spacing w:after="0" w:line="192"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Additionally, in cases where third parties conduct clinical trials using our product candidates through partnership or licensing agreements, we face additional risks related to the conduct and outcome of those trials that are outside of our direct control. For example, issues such as poor data integrity, safety concerns, protocol violations, or failure to meet endpoints in these third-party trials could adversely impact the development timeline and regulatory approval process for those product candidates in other indications or territories, require additional studies, create negative market perception affecting future commercial potential, impact our ability to identify and consummate transactions for such product candidates, or result in increased regulatory scrutiny across our programs.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232"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b w:val="1"/>
          <w:bCs w:val="1"/>
          <w:i w:val="1"/>
          <w:iCs w:val="1"/>
          <w:color w:val="auto"/>
        </w:rPr>
        <w:t>If we are unable to obtain and maintain patent protection for our product candidates, or if the scope of the patent protection obtained is not sufficiently broad, our competitors could develop and commercialize technology and drugs similar or identical to ours, and ability to successfully identify a potential third-party partner to commercialize our technology and product candidates may be impaired.</w:t>
      </w:r>
    </w:p>
    <w:p>
      <w:pPr>
        <w:spacing w:after="0" w:line="16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Our success depends in large part on our ability to obtain and maintain patent protection in the United States and other countries with respect to our product candidates. We seek to protect our proprietary position by filing patent applications in the United States and abroad related to our product candidates.</w:t>
      </w:r>
    </w:p>
    <w:p>
      <w:pPr>
        <w:spacing w:after="0" w:line="178"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The patent prosecution process is expensive and time-consuming, however, and we may not be able to file and prosecute all necessary or desirable patent applications at a reasonable cost or in a timely manner. It is also possible that we will fail to identify patentable aspects of our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w:t>
      </w:r>
    </w:p>
    <w:p>
      <w:pPr>
        <w:spacing w:after="0" w:line="174"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vice versa. For example, European patent law restricts the patentability of methods of treatment of the human body more than U.S.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70"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 xml:space="preserve">Moreover, we may be subject to a third-party preissuance submission of prior art to the USPTO or other foreign patent office, or become involved in opposition, central revocation,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720"/>
          </w:cols>
          <w:pgMar w:left="1080" w:top="1177" w:right="1080" w:bottom="0" w:gutter="0" w:footer="0" w:header="0"/>
          <w:type w:val="continuous"/>
        </w:sectPr>
      </w:pPr>
    </w:p>
    <w:bookmarkStart w:id="41" w:name="page42"/>
    <w:bookmarkEnd w:id="41"/>
    <w:p>
      <w:pPr>
        <w:jc w:val="both"/>
        <w:spacing w:after="0" w:line="252" w:lineRule="auto"/>
        <w:rPr>
          <w:sz w:val="20"/>
          <w:szCs w:val="20"/>
          <w:color w:val="auto"/>
        </w:rPr>
      </w:pPr>
      <w:r>
        <w:rPr>
          <w:rFonts w:ascii="Arial" w:cs="Arial" w:eastAsia="Arial" w:hAnsi="Arial"/>
          <w:sz w:val="20"/>
          <w:szCs w:val="20"/>
          <w:color w:val="auto"/>
        </w:rPr>
        <w:t>to us, or result in the inability of our potential third-party partners to manufacture or commercialize our product candidates without infringing third -party patent rights. In addition, if the breadth or strength of protection provided by our patents and patent applications that we own or license is threatened, it could dissuade companies from partnering with us to license, develop and/or commercialize our product candidates.</w:t>
      </w:r>
    </w:p>
    <w:p>
      <w:pPr>
        <w:spacing w:after="0" w:line="18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Even if our patent applications issue as patents, they may not issue in a form that will provide us with any meaningful protection, prevent competitors from competing with us or our potential third-party partners or otherwise provide us or our potential third-party partners with any competitive advantage. Competitors may be able to circumvent our patents by developing similar or alternative technologies or drugs in a non-infringing manner.</w:t>
      </w:r>
    </w:p>
    <w:p>
      <w:pPr>
        <w:spacing w:after="0" w:line="168"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9"/>
          <w:szCs w:val="19"/>
          <w:color w:val="auto"/>
        </w:rPr>
        <w:t>In addition, 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the ability to stop others from using or commercializing similar or identical technology and product candidates, or limit the duration of the patent protection of our technology and product candidates. Our issued U.S. patent covering bosakitug and methods of use expires in 2043 and our pending U.S. application covering ATI-052, if issued, would also expire in 2043. Our issued U.S. patents directed to ATI-2138 and methods of use expire in 2039. We are pursuing additional patent protection for our product candidates, such as additional methods of use, polymorphs and methods of manufacture, that may extend the term of patent protection in select countries. Given the amount of time required for the development, testing and regulatory review of new product candidates, patents protecting such candidates might expire before or shortly after such candidates are commercialized. As a result, our patent portfolio may not provide us or our potential third-party partners with sufficient rights to exclude others from commercializing drugs similar or identical to ours.</w:t>
      </w:r>
    </w:p>
    <w:p>
      <w:pPr>
        <w:spacing w:after="0" w:line="190"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We may become involved in lawsuits to protect or enforce our patents or other intellectual property, which could be expensive, time-consuming and unsuccessful. Further, our issued patents could be found invalid or unenforceable if challenged in court.</w:t>
      </w:r>
    </w:p>
    <w:p>
      <w:pPr>
        <w:spacing w:after="0" w:line="178"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 xml:space="preserve">Competitors may infringe our issued patents or other intellectual property. Our pending applications cannot be enforced against third parties practicing the technology claimed in such applications unless and until a patent issues from such applications.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are invalid or unenforceable. Grounds for a validity challenge could be an alleged failure to meet any of several statutory requirements, including lack of novelty, obviousness, non-enablement or insufficient written description, or similar requirements outside of the United States. Grounds for an unenforceability assertion could be an allegation that someone connected with prosecution of the patent withheld relevant information from the USPTO or made a misleading statement during prosecution. Third parties may also raise similar claims before the USPTO, in post-grant proceedings such as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reexaminations,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post-grant review, or oppositions or similar administrative proceedings outside the United States, in</w:t>
      </w:r>
      <w:r>
        <w:rPr>
          <w:rFonts w:ascii="Arial" w:cs="Arial" w:eastAsia="Arial" w:hAnsi="Arial"/>
          <w:sz w:val="18"/>
          <w:szCs w:val="18"/>
          <w:i w:val="1"/>
          <w:iCs w:val="1"/>
          <w:color w:val="auto"/>
        </w:rPr>
        <w:t xml:space="preserve"> </w:t>
      </w:r>
      <w:r>
        <w:rPr>
          <w:rFonts w:ascii="Arial" w:cs="Arial" w:eastAsia="Arial" w:hAnsi="Arial"/>
          <w:sz w:val="18"/>
          <w:szCs w:val="18"/>
          <w:color w:val="auto"/>
        </w:rPr>
        <w:t>parallel with litigation or,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harm our business.</w:t>
      </w:r>
    </w:p>
    <w:p>
      <w:pPr>
        <w:spacing w:after="0" w:line="170" w:lineRule="exact"/>
        <w:rPr>
          <w:sz w:val="20"/>
          <w:szCs w:val="20"/>
          <w:color w:val="auto"/>
        </w:rPr>
      </w:pPr>
    </w:p>
    <w:p>
      <w:pPr>
        <w:jc w:val="both"/>
        <w:ind w:firstLine="720"/>
        <w:spacing w:after="0" w:line="265" w:lineRule="auto"/>
        <w:rPr>
          <w:sz w:val="20"/>
          <w:szCs w:val="20"/>
          <w:color w:val="auto"/>
        </w:rPr>
      </w:pPr>
      <w:r>
        <w:rPr>
          <w:rFonts w:ascii="Arial" w:cs="Arial" w:eastAsia="Arial" w:hAnsi="Arial"/>
          <w:sz w:val="19"/>
          <w:szCs w:val="19"/>
          <w:color w:val="auto"/>
        </w:rPr>
        <w:t>In such a proceeding, a court or administrative board may decide that a patent of ours is invalid or unenforceable, in whole or in part, construe the patent’s claims narrowly or refuse to stop the other party from using the technology at issue on the grounds that our patents do not cover the technology. An adverse result in any such proceeding could put one or more of our patents at risk of being invalidated or interpreted narrowly. We may find it impractical or undesirable to enforce our intellectual property against some third parties.</w:t>
      </w:r>
    </w:p>
    <w:p>
      <w:pPr>
        <w:spacing w:after="0" w:line="174"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720"/>
          </w:cols>
          <w:pgMar w:left="1080" w:top="1177" w:right="1080" w:bottom="0" w:gutter="0" w:footer="0" w:header="0"/>
          <w:type w:val="continuous"/>
        </w:sectPr>
      </w:pPr>
    </w:p>
    <w:bookmarkStart w:id="42" w:name="page43"/>
    <w:bookmarkEnd w:id="42"/>
    <w:p>
      <w:pPr>
        <w:jc w:val="both"/>
        <w:ind w:firstLine="720"/>
        <w:spacing w:after="0" w:line="258" w:lineRule="auto"/>
        <w:rPr>
          <w:sz w:val="20"/>
          <w:szCs w:val="20"/>
          <w:color w:val="auto"/>
        </w:rPr>
      </w:pPr>
      <w:r>
        <w:rPr>
          <w:rFonts w:ascii="Arial" w:cs="Arial" w:eastAsia="Arial" w:hAnsi="Arial"/>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We may not be able to protect our intellectual property rights throughout the world.</w:t>
      </w:r>
    </w:p>
    <w:p>
      <w:pPr>
        <w:spacing w:after="0" w:line="230"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Filing, prosecuting and defending patents on our product candidates in all countries throughout the world would be prohibitively expensive, and our intellectual property rights in some countries outside the United States can be less extensive than those in the United States. For example, we only have issued patents and pending applications in the United States, Europe, Japan and South Korea for our TSLP monoclonal antibodies, including bosakitug. We have issued U.S. patents directed to ATI-2138, and pending applications in foreign markets directed to ATI-2138. We currently have pending applications in the United States, Europe, Japan, South Korea and other major markets directed to ATI-052 and other TSLP and IL-4R bispecific antibodies.</w:t>
      </w:r>
    </w:p>
    <w:p>
      <w:pPr>
        <w:spacing w:after="0" w:line="176"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208"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Many countries, including European Union countries, India, Japan and China, have compulsory licensing laws under which a patent owner may be compelled under specified circumstances to grant licenses to third parties. In those countries, we may have limited remedies if patents are infringed or if we are compelled to grant a license to a third party, which could materially diminish the value of those patents. This could limit our ability to identify and consummate transactions with potential third-party partners to further develop, obtain marketing approval for and/or commercialize our product candidates, and consequently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b w:val="1"/>
          <w:bCs w:val="1"/>
          <w:i w:val="1"/>
          <w:iCs w:val="1"/>
          <w:color w:val="auto"/>
        </w:rPr>
        <w:t>We may need to license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and/or commercialization of our product candidates. It may be necessary for us or our potential third-party partners to use the patented or proprietary technology of third parties to further develop and/or commercialize our product candidates. If we or our potential third-party partners are not able to obtain a license from these third parties on commercially reasonable terms, our business could be harmed, possibly materially, and even if we or they are able to, it may result in the reduction of revenue we earn from such partner as a result of payment obligations to the licensor.</w:t>
      </w:r>
    </w:p>
    <w:p>
      <w:pPr>
        <w:spacing w:after="0" w:line="161" w:lineRule="exact"/>
        <w:rPr>
          <w:sz w:val="20"/>
          <w:szCs w:val="20"/>
          <w:color w:val="auto"/>
        </w:rPr>
      </w:pPr>
    </w:p>
    <w:p>
      <w:pPr>
        <w:jc w:val="both"/>
        <w:ind w:firstLine="720"/>
        <w:spacing w:after="0" w:line="370"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87"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Our success depends upon our ability to identify and consummate transactions with potential third-party partners, to develop, obtain marketing approval for and/or commercialize our product candidates and earn revenue from those partnerships, and for our proprietary technologies to be used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 candidates and technologies, including interference or derivation proceedings before the USPTO.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w:t>
      </w:r>
    </w:p>
    <w:p>
      <w:pPr>
        <w:spacing w:after="0" w:line="166"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If we or our potential third-party partners are found to infringe a third party’s intellectual property rights, we or such partners could be required to obtain a license from such third party to continue developing or commercializing our product candidates and technology. However, we or our potential third-party partners may not be able to obtain any</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720"/>
          </w:cols>
          <w:pgMar w:left="1080" w:top="1177" w:right="1080" w:bottom="0" w:gutter="0" w:footer="0" w:header="0"/>
          <w:type w:val="continuous"/>
        </w:sectPr>
      </w:pPr>
    </w:p>
    <w:bookmarkStart w:id="43" w:name="page44"/>
    <w:bookmarkEnd w:id="43"/>
    <w:p>
      <w:pPr>
        <w:jc w:val="both"/>
        <w:ind w:firstLine="1"/>
        <w:spacing w:after="0" w:line="272" w:lineRule="auto"/>
        <w:rPr>
          <w:sz w:val="20"/>
          <w:szCs w:val="20"/>
          <w:color w:val="auto"/>
        </w:rPr>
      </w:pPr>
      <w:r>
        <w:rPr>
          <w:rFonts w:ascii="Arial" w:cs="Arial" w:eastAsia="Arial" w:hAnsi="Arial"/>
          <w:sz w:val="18"/>
          <w:szCs w:val="18"/>
          <w:color w:val="auto"/>
        </w:rPr>
        <w:t>required license on commercially reasonable terms or at all. Even if we or our potential third-party partner were able to obtain a license, it could be non-exclusive, thereby giving competitors access to the same technologies licensed to us or our partner. Consequently, we or our potential third-party partner could be forced, including by court order, to cease developing or commercializing the infringing technology or product candidate. In addition, we or our potential third-party partner could be found liable for monetary damages, including treble damages and attorneys’ fees if we or such partner are found to have willfully infringed a patent. A finding of infringement could prevent our potential third-party partners from commercializing our product candidates, if approved, or force such partners to cease some of their business operations. In the event of a successful claim of infringement against us or our potential third- party partners, we or our potential third-party partners may have to pay substantial damages, including treble damages and attorneys’ fees for willful infringement, pay royalties,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76" w:lineRule="exact"/>
        <w:rPr>
          <w:sz w:val="20"/>
          <w:szCs w:val="20"/>
          <w:color w:val="auto"/>
        </w:rPr>
      </w:pPr>
    </w:p>
    <w:p>
      <w:pPr>
        <w:jc w:val="both"/>
        <w:ind w:firstLine="720"/>
        <w:spacing w:after="0" w:line="36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or our licensors have misappropriated their intellectual property, or claiming ownership of what we regard as our own intellectual property.</w:t>
      </w:r>
    </w:p>
    <w:p>
      <w:pPr>
        <w:spacing w:after="0" w:line="91"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189"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91"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41"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Intellectual property litigation could cause us to spend substantial resources and distract our personnel from their normal responsibilities.</w:t>
      </w:r>
    </w:p>
    <w:p>
      <w:pPr>
        <w:spacing w:after="0" w:line="157"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Some of our competitors are larger than we are and have substantially greater resources. They are, therefore, likely to be able to sustain the costs of complex patent litigation longer than we could. Accordingly, despite our efforts, we may not be able to prevent third parties from infringing upon or misappropriating our intellectual property. Litigation could result in substantial costs and diversion of management resources, which could harm our business. In addition, the uncertainties associated with litigation could compromise our ability to compete in the marketplace, including compromising our ability to raise the funds necessary to continue our clinical trials, continue our internal research programs, or identify and consummate transactions with third-party partners to further develop, obtain marketing approval for and/or commercialize our product candidates.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720"/>
          </w:cols>
          <w:pgMar w:left="1080" w:top="1177" w:right="1080" w:bottom="0" w:gutter="0" w:footer="0" w:header="0"/>
          <w:type w:val="continuous"/>
        </w:sectPr>
      </w:pPr>
    </w:p>
    <w:bookmarkStart w:id="44" w:name="page45"/>
    <w:bookmarkEnd w:id="44"/>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If we are unable to protect the confidentiality of our trade secrets, our business and competitive position would be harmed.</w:t>
      </w:r>
    </w:p>
    <w:p>
      <w:pPr>
        <w:spacing w:after="0" w:line="157"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In addition to seeking and maintaining patents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1"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The validity, scope and enforceability of any of our patents that cover any of our product candidates can be challenged by competitors.</w:t>
      </w:r>
    </w:p>
    <w:p>
      <w:pPr>
        <w:spacing w:after="0" w:line="156"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 xml:space="preserve">If any of our product candidates advance through development or are approved by the FDA or foreign regulatory authority, one or more third parties may challenge the current patents, or patents that may issue in the future, within our portfolio covering these product candidates. The challenge may come in the form of a patent office proceeding, such as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challenging the validity of the patents, or a district court proceeding such as a paragraph IV litigation arising out of the filing of an ANDA or a patent infringement suit arising out of the filing of an abbreviated biologics license application (“aBLA”) . Litigation or other proceedings to enforce or defend intellectual property rights are often very complex in nature, may be expensive and time-consuming, may divert our management’s attention from our core business, and may result in unfavorable results that could limit our ability to prevent third parties from competing with our product candidates, if approved. Any such challenge could result in the invalidation of, or render unenforceable, some or all of the relevant patent claims or a finding of non-infringement, which would harm our ability to identify and consummate transactions with third-party partners to further develop, obtain marketing approval for and/or commercialize our product candidates, and earn revenue from such arrangements. In addition, any such challenge on any divested product could harm our ability to earn revenue from the arrangements for such product.</w:t>
      </w:r>
    </w:p>
    <w:p>
      <w:pPr>
        <w:spacing w:after="0" w:line="17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If we do not obtain protection under the Hatch-Waxman Act by extending the patent term and obtaining data exclusivity for our product candidates, our business may be materially harmed.</w:t>
      </w:r>
    </w:p>
    <w:p>
      <w:pPr>
        <w:spacing w:after="0" w:line="157"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Our success will largely depend on our ability to obtain and maintain patent and other intellectual property in the United States and other countries with respect to our proprietary technology, product candidates and our target indications. Our issued U.S. patent covering bosakitug expires in 2043. Our issued U.S. patent directed to ATI-2138 expires in 2039. Our pending PCT application covering ATI-052, if issued, would expire in 2043.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61"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may be eligible for limited patent term extension under the Hatch-Waxman Act for a product candidate. The Hatch-Waxman Act permits a patent extension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However, the total patent term including the period of extension cannot exceed 14 years from the product’s approval date. Furthermore, this extension is limited to only one patent per regulatory review period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720"/>
          </w:cols>
          <w:pgMar w:left="1080" w:top="1177" w:right="1080" w:bottom="0" w:gutter="0" w:footer="0" w:header="0"/>
          <w:type w:val="continuous"/>
        </w:sectPr>
      </w:pPr>
    </w:p>
    <w:bookmarkStart w:id="45" w:name="page46"/>
    <w:bookmarkEnd w:id="45"/>
    <w:p>
      <w:pPr>
        <w:jc w:val="both"/>
        <w:spacing w:after="0" w:line="278" w:lineRule="auto"/>
        <w:rPr>
          <w:sz w:val="20"/>
          <w:szCs w:val="20"/>
          <w:color w:val="auto"/>
        </w:rPr>
      </w:pPr>
      <w:r>
        <w:rPr>
          <w:rFonts w:ascii="Arial" w:cs="Arial" w:eastAsia="Arial" w:hAnsi="Arial"/>
          <w:sz w:val="20"/>
          <w:szCs w:val="20"/>
          <w:color w:val="auto"/>
        </w:rPr>
        <w:t>protection afforded could be less than we request. Similar provisions are available in certain foreign countries, such as the European Union and Japan.</w:t>
      </w:r>
    </w:p>
    <w:p>
      <w:pPr>
        <w:spacing w:after="0" w:line="157"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84"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Any trademarks we have obtained or may obtain may be infringed or successfully challenged, resulting in harm to our business.</w:t>
      </w:r>
    </w:p>
    <w:p>
      <w:pPr>
        <w:spacing w:after="0" w:line="157" w:lineRule="exact"/>
        <w:rPr>
          <w:sz w:val="20"/>
          <w:szCs w:val="20"/>
          <w:color w:val="auto"/>
        </w:rPr>
      </w:pPr>
    </w:p>
    <w:p>
      <w:pPr>
        <w:jc w:val="both"/>
        <w:ind w:firstLine="720"/>
        <w:spacing w:after="0" w:line="295" w:lineRule="auto"/>
        <w:rPr>
          <w:sz w:val="20"/>
          <w:szCs w:val="20"/>
          <w:color w:val="auto"/>
        </w:rPr>
      </w:pPr>
      <w:r>
        <w:rPr>
          <w:rFonts w:ascii="Arial" w:cs="Arial" w:eastAsia="Arial" w:hAnsi="Arial"/>
          <w:sz w:val="17"/>
          <w:szCs w:val="17"/>
          <w:color w:val="auto"/>
        </w:rPr>
        <w:t>We expect to rely on trademarks as one means to distinguish our products, services or technologies from those of our competitors. Once we select new trademarks and apply to register them, our trademark applications may not be approved. Third parties may oppose or attempt to cancel our trademark applications or trademarks, or otherwise challenge our use of the trademarks. In such an event, we may need to negotiate a settlement agreement with such third party over the use of our trademarks, which we may not be able to do on commercially reasonable terms, if at all. In the event that our trademarks are successfully challenged, our products, services or technologies may need to be rebranded, which could result in loss of brand recognition and could require us to devote resources to advertising and marketing new brands. Our competitors may infringe our trademarks and we may not have adequate resources to enforce our trademarks.</w:t>
      </w:r>
    </w:p>
    <w:p>
      <w:pPr>
        <w:spacing w:after="0" w:line="14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Outside of the United States we cannot be certain that any country’s patent or trademark office will not implement new rules that could seriously affect how we draft, file, prosecute and maintain patents, trademarks and patent and trademark applications.</w:t>
      </w:r>
    </w:p>
    <w:p>
      <w:pPr>
        <w:spacing w:after="0" w:line="179" w:lineRule="exact"/>
        <w:rPr>
          <w:sz w:val="20"/>
          <w:szCs w:val="20"/>
          <w:color w:val="auto"/>
        </w:rPr>
      </w:pPr>
    </w:p>
    <w:p>
      <w:pPr>
        <w:jc w:val="both"/>
        <w:ind w:firstLine="720"/>
        <w:spacing w:after="0" w:line="283" w:lineRule="auto"/>
        <w:rPr>
          <w:sz w:val="20"/>
          <w:szCs w:val="20"/>
          <w:color w:val="auto"/>
        </w:rPr>
      </w:pPr>
      <w:r>
        <w:rPr>
          <w:rFonts w:ascii="Arial" w:cs="Arial" w:eastAsia="Arial" w:hAnsi="Arial"/>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or trademark protection. For example, we may elect not to seek patent protection in some jurisdictions or for some product candidates in order to save costs. We may be forced to abandon or return the rights to specific patents due to a lack of financial resources.</w:t>
      </w:r>
    </w:p>
    <w:p>
      <w:pPr>
        <w:spacing w:after="0" w:line="160"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For example, following the result of a referendum in 2016, the United Kingdom left the European Union on January 31, 2020, commonly referred to as Brexit. The impact of the withdrawal of the United Kingdom from the European Union will not be known for some time, which could lead to a period of uncertainty relating to our ability to obtain and maintain patents and trademarks in the United Kingdom. In 2012, the European Patent Package (“EU Patent Package”) regulations were passed with the goal of providing for a single pan-European Unitary Patent, and a new European Unified Patent Court (“UPC”) for litigation of European patents, which was implemented in 2023. All European patents, including those issued prior to ratification, would by default automatically fall under the jurisdiction of the UPC and allow for the possibility of obtaining pan-European injunctions, unless the patent holder “opts out” of the UPC on a patent-by-patent basis during an initial seven-year period. Owners of traditional European patent applications who receive notice of grant after the EU Patent Package ratification can either accept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53"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93" w:lineRule="exact"/>
        <w:rPr>
          <w:sz w:val="20"/>
          <w:szCs w:val="20"/>
          <w:color w:val="auto"/>
        </w:rPr>
      </w:pPr>
    </w:p>
    <w:p>
      <w:pPr>
        <w:ind w:left="1080" w:hanging="352"/>
        <w:spacing w:after="0" w:line="258" w:lineRule="auto"/>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our licensors or any potential third-party partners might not have been the first to make the inventions covered by the issued patents or pending patent applications that we own;</w:t>
      </w:r>
    </w:p>
    <w:p>
      <w:pPr>
        <w:spacing w:after="0" w:line="1" w:lineRule="exact"/>
        <w:rPr>
          <w:rFonts w:ascii="Arial" w:cs="Arial" w:eastAsia="Arial" w:hAnsi="Arial"/>
          <w:sz w:val="20"/>
          <w:szCs w:val="20"/>
          <w:color w:val="auto"/>
        </w:rPr>
      </w:pPr>
    </w:p>
    <w:p>
      <w:pPr>
        <w:ind w:left="1080" w:hanging="352"/>
        <w:spacing w:after="0" w:line="248" w:lineRule="auto"/>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our licensors or any potential third-party partners might not have been the first to file patent applications covering certain of our inventions;</w:t>
      </w:r>
    </w:p>
    <w:p>
      <w:pPr>
        <w:ind w:left="1080" w:hanging="352"/>
        <w:spacing w:after="0" w:line="247" w:lineRule="auto"/>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intellectual property rights;</w:t>
      </w:r>
    </w:p>
    <w:p>
      <w:pPr>
        <w:ind w:left="1080" w:hanging="352"/>
        <w:spacing w:after="0"/>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it is possible that our pending patent applications will not lead to issued patents;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720"/>
          </w:cols>
          <w:pgMar w:left="1080" w:top="1177" w:right="1080" w:bottom="0" w:gutter="0" w:footer="0" w:header="0"/>
          <w:type w:val="continuous"/>
        </w:sectPr>
      </w:pPr>
    </w:p>
    <w:bookmarkStart w:id="46" w:name="page47"/>
    <w:bookmarkEnd w:id="46"/>
    <w:p>
      <w:pPr>
        <w:ind w:left="1080" w:hanging="353"/>
        <w:spacing w:after="0" w:line="259" w:lineRule="auto"/>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issued patents that we own or exclusively license may not provide us with any competitive advantages, or may be held invalid or unenforceable as a result of legal challenges;</w:t>
      </w:r>
    </w:p>
    <w:p>
      <w:pPr>
        <w:jc w:val="both"/>
        <w:ind w:left="1080" w:hanging="353"/>
        <w:spacing w:after="0" w:line="270"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major commercial markets; and</w:t>
      </w:r>
    </w:p>
    <w:p>
      <w:pPr>
        <w:spacing w:after="0" w:line="2" w:lineRule="exact"/>
        <w:rPr>
          <w:rFonts w:ascii="Arial" w:cs="Arial" w:eastAsia="Arial" w:hAnsi="Arial"/>
          <w:sz w:val="18"/>
          <w:szCs w:val="18"/>
          <w:color w:val="auto"/>
        </w:rPr>
      </w:pPr>
    </w:p>
    <w:p>
      <w:pPr>
        <w:ind w:left="1080" w:hanging="353"/>
        <w:spacing w:after="0"/>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we may develop additional proprietary technologies that are not patentable.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Regulatory Approval of Our Product Candidates and Other Legal Compliance Matters</w:t>
      </w:r>
    </w:p>
    <w:p>
      <w:pPr>
        <w:spacing w:after="0" w:line="235"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If our potential third-party partners are not able to obtain, or if there are delays in obtaining, required regulatory approvals, our product candidates will not be able to be commercialized, and our ability to earn revenue from arrangements with such third-party partners will be materially impaired.</w:t>
      </w:r>
    </w:p>
    <w:p>
      <w:pPr>
        <w:spacing w:after="0" w:line="178"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9"/>
          <w:szCs w:val="19"/>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other regulatory agencies in the United States and similar regulatory authorities outside the United States. Failure to obtain marketing approval for a product candidate will prevent our potential third-party partners from commercializing the product candidate. We have only limited experience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drug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potential third-party partners from obtaining marketing approval or prevent or limit commercial use. If any of our product candidates receive marketing approval, the accompanying label may limit the approved use of our product in this way, which could limit sales of the product.</w:t>
      </w:r>
    </w:p>
    <w:p>
      <w:pPr>
        <w:spacing w:after="0" w:line="188"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The process of obtaining marketing approvals, both in the United States and abroad, is expensive and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drug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our potential third-party partners ultimately obtain may be limited or subject to restrictions or post-approval commitments that render the approved drug not commercially viable.</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If our potential third-party partners experience delays in obtaining approval or if they fail to obtain approval of our product candidates, the commercial prospects for our product candidates may be harmed and our ability to earn revenue from arrangements with such third-party partners will be materially impaired.</w:t>
      </w:r>
    </w:p>
    <w:p>
      <w:pPr>
        <w:spacing w:after="0" w:line="178"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Failure to obtain marketing approval in international jurisdictions would prevent our product candidates from being marketed abroad.</w:t>
      </w:r>
    </w:p>
    <w:p>
      <w:pPr>
        <w:spacing w:after="0" w:line="157"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In order to market and sell our product candidates in the European Union and any other jurisdictions outside the United States, our potential third- party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drug be approved for reimbursement before the drug can be approved for sale in that country. Our potential third-party partners may not obtain approvals from regulatory authorities outside the United States on a timely basis, if at all. Approval by the FDA does not ensure approval by regulatory authorities in other countries or jurisdictions, and approval by one regulatory authority outside the United</w:t>
      </w:r>
    </w:p>
    <w:p>
      <w:pPr>
        <w:sectPr>
          <w:pgSz w:w="11880" w:h="15480" w:orient="portrait"/>
          <w:cols w:equalWidth="0" w:num="1">
            <w:col w:w="9720"/>
          </w:cols>
          <w:pgMar w:left="1080" w:top="1191" w:right="108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720"/>
          </w:cols>
          <w:pgMar w:left="1080" w:top="1191" w:right="1080" w:bottom="0" w:gutter="0" w:footer="0" w:header="0"/>
          <w:type w:val="continuous"/>
        </w:sectPr>
      </w:pPr>
    </w:p>
    <w:bookmarkStart w:id="47" w:name="page48"/>
    <w:bookmarkEnd w:id="47"/>
    <w:p>
      <w:pPr>
        <w:jc w:val="both"/>
        <w:spacing w:after="0" w:line="252" w:lineRule="auto"/>
        <w:rPr>
          <w:sz w:val="20"/>
          <w:szCs w:val="20"/>
          <w:color w:val="auto"/>
        </w:rPr>
      </w:pPr>
      <w:r>
        <w:rPr>
          <w:rFonts w:ascii="Arial" w:cs="Arial" w:eastAsia="Arial" w:hAnsi="Arial"/>
          <w:sz w:val="20"/>
          <w:szCs w:val="20"/>
          <w:color w:val="auto"/>
        </w:rPr>
        <w:t>States does not ensure approval by regulatory authorities in other countries or jurisdictions or by the FDA. However, failure to obtain approval in one jurisdiction may impact our potential third-party partners’ ability to obtain approval elsewhere. Our potential third-party partners may not be able to file for marketing approvals and may not receive necessary approvals to commercialize our product candidates in any market.</w:t>
      </w:r>
    </w:p>
    <w:p>
      <w:pPr>
        <w:spacing w:after="0" w:line="184" w:lineRule="exact"/>
        <w:rPr>
          <w:sz w:val="20"/>
          <w:szCs w:val="20"/>
          <w:color w:val="auto"/>
        </w:rPr>
      </w:pPr>
    </w:p>
    <w:p>
      <w:pPr>
        <w:jc w:val="both"/>
        <w:ind w:right="20" w:firstLine="720"/>
        <w:spacing w:after="0" w:line="278" w:lineRule="auto"/>
        <w:rPr>
          <w:sz w:val="20"/>
          <w:szCs w:val="20"/>
          <w:color w:val="auto"/>
        </w:rPr>
      </w:pPr>
      <w:r>
        <w:rPr>
          <w:rFonts w:ascii="Arial" w:cs="Arial" w:eastAsia="Arial" w:hAnsi="Arial"/>
          <w:sz w:val="20"/>
          <w:szCs w:val="20"/>
          <w:b w:val="1"/>
          <w:bCs w:val="1"/>
          <w:i w:val="1"/>
          <w:iCs w:val="1"/>
          <w:color w:val="auto"/>
        </w:rPr>
        <w:t>A variety of risks associated with marketing our product candidates by our potential third-party partners internationally could harm our business.</w:t>
      </w:r>
    </w:p>
    <w:p>
      <w:pPr>
        <w:spacing w:after="0" w:line="157" w:lineRule="exact"/>
        <w:rPr>
          <w:sz w:val="20"/>
          <w:szCs w:val="20"/>
          <w:color w:val="auto"/>
        </w:rPr>
      </w:pPr>
    </w:p>
    <w:p>
      <w:pPr>
        <w:jc w:val="both"/>
        <w:ind w:firstLine="720"/>
        <w:spacing w:after="0" w:line="305" w:lineRule="auto"/>
        <w:rPr>
          <w:sz w:val="20"/>
          <w:szCs w:val="20"/>
          <w:color w:val="auto"/>
        </w:rPr>
      </w:pPr>
      <w:r>
        <w:rPr>
          <w:rFonts w:ascii="Arial" w:cs="Arial" w:eastAsia="Arial" w:hAnsi="Arial"/>
          <w:sz w:val="19"/>
          <w:szCs w:val="19"/>
          <w:color w:val="auto"/>
        </w:rPr>
        <w:t>If our product candidates, if approved, are marketed internationally by our potential third-party partners, our potential third-party partners would be subject to additional risks related to operating in foreign countries, including:</w:t>
      </w:r>
    </w:p>
    <w:p>
      <w:pPr>
        <w:spacing w:after="0" w:line="149" w:lineRule="exact"/>
        <w:rPr>
          <w:sz w:val="20"/>
          <w:szCs w:val="20"/>
          <w:color w:val="auto"/>
        </w:rPr>
      </w:pPr>
    </w:p>
    <w:p>
      <w:pPr>
        <w:ind w:left="1080" w:hanging="352"/>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differing regulatory requirements in foreign countries;</w:t>
      </w:r>
    </w:p>
    <w:p>
      <w:pPr>
        <w:spacing w:after="0" w:line="36" w:lineRule="exact"/>
        <w:rPr>
          <w:rFonts w:ascii="Arial" w:cs="Arial" w:eastAsia="Arial" w:hAnsi="Arial"/>
          <w:sz w:val="20"/>
          <w:szCs w:val="20"/>
          <w:color w:val="auto"/>
        </w:rPr>
      </w:pPr>
    </w:p>
    <w:p>
      <w:pPr>
        <w:jc w:val="both"/>
        <w:ind w:left="1080" w:hanging="352"/>
        <w:spacing w:after="0" w:line="245" w:lineRule="auto"/>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potential for so-called parallel importing, which is what happens when a local seller, faced with high or higher local prices, opts to import goods from a foreign market (with low or lower prices) rather than buying them locally;</w:t>
      </w:r>
    </w:p>
    <w:p>
      <w:pPr>
        <w:ind w:left="1080" w:hanging="352"/>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49" w:lineRule="exact"/>
        <w:rPr>
          <w:rFonts w:ascii="Arial" w:cs="Arial" w:eastAsia="Arial" w:hAnsi="Arial"/>
          <w:sz w:val="17"/>
          <w:szCs w:val="17"/>
          <w:color w:val="auto"/>
        </w:rPr>
      </w:pPr>
    </w:p>
    <w:p>
      <w:pPr>
        <w:ind w:left="1080" w:hanging="35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36" w:lineRule="exact"/>
        <w:rPr>
          <w:rFonts w:ascii="Arial" w:cs="Arial" w:eastAsia="Arial" w:hAnsi="Arial"/>
          <w:sz w:val="18"/>
          <w:szCs w:val="18"/>
          <w:color w:val="auto"/>
        </w:rPr>
      </w:pPr>
    </w:p>
    <w:p>
      <w:pPr>
        <w:ind w:left="1080" w:hanging="352"/>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foreign reimbursement, pricing and insurance regimes;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compliance with tax, employment, immigration and labor laws for employees living or traveling abroad;</w:t>
      </w:r>
    </w:p>
    <w:p>
      <w:pPr>
        <w:spacing w:after="0" w:line="26" w:lineRule="exact"/>
        <w:rPr>
          <w:rFonts w:ascii="Arial" w:cs="Arial" w:eastAsia="Arial" w:hAnsi="Arial"/>
          <w:sz w:val="19"/>
          <w:szCs w:val="19"/>
          <w:color w:val="auto"/>
        </w:rPr>
      </w:pPr>
    </w:p>
    <w:p>
      <w:pPr>
        <w:ind w:left="1080" w:hanging="352"/>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foreign taxes, including withholding of payroll taxes;</w:t>
      </w:r>
    </w:p>
    <w:p>
      <w:pPr>
        <w:spacing w:after="0" w:line="13" w:lineRule="exact"/>
        <w:rPr>
          <w:rFonts w:ascii="Arial" w:cs="Arial" w:eastAsia="Arial" w:hAnsi="Arial"/>
          <w:sz w:val="20"/>
          <w:szCs w:val="20"/>
          <w:color w:val="auto"/>
        </w:rPr>
      </w:pPr>
    </w:p>
    <w:p>
      <w:pPr>
        <w:ind w:left="1080" w:hanging="352"/>
        <w:spacing w:after="0" w:line="247" w:lineRule="auto"/>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foreign currency fluctuations, which could result in increased operating expenses and reduced revenue, and other obligations incident to doing business in another country;</w:t>
      </w:r>
    </w:p>
    <w:p>
      <w:pPr>
        <w:ind w:left="1080" w:hanging="352"/>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difficulties staffing and managing foreign operations;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workforce uncertainty in countries where labor unrest is more common than in the United States;</w:t>
      </w:r>
    </w:p>
    <w:p>
      <w:pPr>
        <w:spacing w:after="0" w:line="14" w:lineRule="exact"/>
        <w:rPr>
          <w:rFonts w:ascii="Arial" w:cs="Arial" w:eastAsia="Arial" w:hAnsi="Arial"/>
          <w:sz w:val="20"/>
          <w:szCs w:val="20"/>
          <w:color w:val="auto"/>
        </w:rPr>
      </w:pPr>
    </w:p>
    <w:p>
      <w:pPr>
        <w:ind w:left="1080" w:hanging="352"/>
        <w:spacing w:after="0" w:line="247" w:lineRule="auto"/>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potential liability under the U.S. Foreign Corrupt Practices Act of 1977, as amended (the “FCPA”), or comparable foreign regulations;</w:t>
      </w:r>
    </w:p>
    <w:p>
      <w:pPr>
        <w:ind w:left="1080" w:hanging="352"/>
        <w:spacing w:after="0" w:line="260" w:lineRule="auto"/>
        <w:tabs>
          <w:tab w:leader="none" w:pos="10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challenges enforcing contractual and intellectual property rights, especially in those foreign countries that do not respect and protect intellectual property rights to the same extent as the United States;</w:t>
      </w:r>
    </w:p>
    <w:p>
      <w:pPr>
        <w:ind w:left="1080" w:hanging="352"/>
        <w:spacing w:after="0" w:line="248" w:lineRule="auto"/>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w:t>
      </w:r>
    </w:p>
    <w:p>
      <w:pPr>
        <w:ind w:left="1080" w:hanging="352"/>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logistical challenges resulting from distributing our product candidates to foreign countries; and</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w:t>
      </w:r>
    </w:p>
    <w:p>
      <w:pPr>
        <w:spacing w:after="0" w:line="208"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These and other risks associated with international operations may compromise our ability to earn revenue from arrangements with potential third-party partners for our product candidates.</w:t>
      </w:r>
    </w:p>
    <w:p>
      <w:pPr>
        <w:spacing w:after="0" w:line="157"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b w:val="1"/>
          <w:bCs w:val="1"/>
          <w:i w:val="1"/>
          <w:iCs w:val="1"/>
          <w:color w:val="auto"/>
        </w:rPr>
        <w:t>Any product candidate for which our potential third-party partners obtain marketing approval could be subject to post- marketing restrictions or recall or withdrawal from the market, and our potential third-party partners may be subject to penalties if they fail to comply with regulatory requirements or if they experience unanticipated problems with our product candidates, when and if any of them are approved.</w:t>
      </w:r>
    </w:p>
    <w:p>
      <w:pPr>
        <w:spacing w:after="0" w:line="17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Any product candidate for which our potential third-party partners obtain marketing approval, along with the manufacturing processes, post-approval clinical data, labeling, advertising and promotional activities for such product candidate,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candidate may be marketed or to the conditions of approval, including the requirement to implement a risk evaluation and mitigation strategy. If any of our product candidates receives marketing approval, the accompanying label may limit the approved use of our drug, which could limit sales of the drug by our potential third-party partners.</w:t>
      </w:r>
    </w:p>
    <w:p>
      <w:pPr>
        <w:spacing w:after="0" w:line="196"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drug. The FDA closely regulates the post-approval marketing and promotion of drugs to ensure drugs are marketed only for the approved indications and in accordance with the provisions of the approved</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720"/>
          </w:cols>
          <w:pgMar w:left="1080" w:top="1177" w:right="1080" w:bottom="0" w:gutter="0" w:footer="0" w:header="0"/>
          <w:type w:val="continuous"/>
        </w:sectPr>
      </w:pPr>
    </w:p>
    <w:bookmarkStart w:id="48" w:name="page49"/>
    <w:bookmarkEnd w:id="48"/>
    <w:p>
      <w:pPr>
        <w:jc w:val="both"/>
        <w:spacing w:after="0" w:line="259" w:lineRule="auto"/>
        <w:rPr>
          <w:sz w:val="20"/>
          <w:szCs w:val="20"/>
          <w:color w:val="auto"/>
        </w:rPr>
      </w:pPr>
      <w:r>
        <w:rPr>
          <w:rFonts w:ascii="Arial" w:cs="Arial" w:eastAsia="Arial" w:hAnsi="Arial"/>
          <w:sz w:val="19"/>
          <w:szCs w:val="19"/>
          <w:color w:val="auto"/>
        </w:rPr>
        <w:t>labeling. The FDA imposes stringent restrictions on manufacturers’ communications regarding off-label use and if our potential third-party partners do not market our drugs for their approved indications, they may be subject to enforcement action for off-label marketing.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However, companies may share truthful and not misleading information that is otherwise consistent with the product’s FDA approved labeling. Violations of the FDCA relating to the promotion of prescription drugs may lead to investigations alleging violations of federal and state health care fraud and abuse laws, as well as state consumer protection laws.</w:t>
      </w:r>
    </w:p>
    <w:p>
      <w:pPr>
        <w:spacing w:after="0" w:line="188"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In addition, later discovery of previously unknown adverse events or other problems with our product candidates, manufacturers or manufacturing processes, or failure to comply with regulatory requirements, may have negative consequences, including:</w:t>
      </w:r>
    </w:p>
    <w:p>
      <w:pPr>
        <w:spacing w:after="0" w:line="200" w:lineRule="exact"/>
        <w:rPr>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restrictions on such product candidates, manufacturers or manufacturing processes;</w:t>
      </w:r>
    </w:p>
    <w:p>
      <w:pPr>
        <w:spacing w:after="0" w:line="36"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restrictions on the labeling or marketing of a product;</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restrictions on drug distribution or use;</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requirements to conduct post-marketing studies or clinical trials;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warning letters;</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recall or withdrawal of the products from the market;</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refusal to approve pending applications or supplements to approved applications;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clinical holds;</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fines, restitution or disgorgement of profits or revenue;</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suspension or withdrawal of marketing approvals;</w:t>
      </w:r>
    </w:p>
    <w:p>
      <w:pPr>
        <w:spacing w:after="0" w:line="13"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refusal to permit the import or export of our products;</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drug seizure; or</w:t>
      </w:r>
    </w:p>
    <w:p>
      <w:pPr>
        <w:spacing w:after="0" w:line="14" w:lineRule="exact"/>
        <w:rPr>
          <w:rFonts w:ascii="Arial" w:cs="Arial" w:eastAsia="Arial" w:hAnsi="Arial"/>
          <w:sz w:val="20"/>
          <w:szCs w:val="20"/>
          <w:color w:val="auto"/>
        </w:rPr>
      </w:pPr>
    </w:p>
    <w:p>
      <w:pPr>
        <w:ind w:left="1080" w:hanging="352"/>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208"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Non-compliance with the European Union’s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These and other risks associated with the failure by our potential third-party partners to comply with regulatory requirements may compromise our ability to earn revenue from arrangements with such third-party partners for our product candidates.</w:t>
      </w:r>
    </w:p>
    <w:p>
      <w:pPr>
        <w:spacing w:after="0" w:line="161"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b w:val="1"/>
          <w:bCs w:val="1"/>
          <w:i w:val="1"/>
          <w:iCs w:val="1"/>
          <w:color w:val="auto"/>
        </w:rPr>
        <w:t>Our and our potential third -party partners’ operations may subject us and such partners, directly or indirectly, to broadly applicable anti-kickback, fraud and abuse, false claims, physician payment transparency, health information privacy and security and other health care laws and regulations, and any failure to comply with such laws and regulations could have a material adverse effect on our profitability.</w:t>
      </w:r>
    </w:p>
    <w:p>
      <w:pPr>
        <w:spacing w:after="0" w:line="167"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Our and our potential third-party partners’ activities may expose us and them, directly or indirectly, to broadly applicable fraud and abuse and other health care laws and regulations, including, without limitation, the federal Anti-Kickback Statute and the federal civil False Claims Act, that may constrain the business or financial arrangements and relationships through which any product candidates for which marketing approval is obtained is sold, marketed and distributed. In addition, we and our potential third-party partners may be subject to transparency laws and patient privacy regulation by the federal government and by the U.S. states and foreign jurisdictions in which we or they conduct business. The applicable federal, state and foreign health care laws and regulations that may affect our or our potential third-party partners’ ability to operate include the following:</w:t>
      </w:r>
    </w:p>
    <w:p>
      <w:pPr>
        <w:spacing w:after="0" w:line="191" w:lineRule="exact"/>
        <w:rPr>
          <w:sz w:val="20"/>
          <w:szCs w:val="20"/>
          <w:color w:val="auto"/>
        </w:rPr>
      </w:pPr>
    </w:p>
    <w:p>
      <w:pPr>
        <w:jc w:val="both"/>
        <w:ind w:left="1080" w:hanging="353"/>
        <w:spacing w:after="0" w:line="296"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 care programs such as Medicare and Medicaid. Further, several courts have interpreted the statute’s intent requirement to mean that if any one purpose of an arrangement involving remuneration is to induce referrals of federal health care covered business, the Anti-Kickback Statute has been violated. The intent standard was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720"/>
          </w:cols>
          <w:pgMar w:left="1080" w:top="1177" w:right="1080" w:bottom="0" w:gutter="0" w:footer="0" w:header="0"/>
          <w:type w:val="continuous"/>
        </w:sectPr>
      </w:pPr>
    </w:p>
    <w:bookmarkStart w:id="49" w:name="page50"/>
    <w:bookmarkEnd w:id="49"/>
    <w:p>
      <w:pPr>
        <w:jc w:val="both"/>
        <w:ind w:left="1080"/>
        <w:spacing w:after="0" w:line="243" w:lineRule="auto"/>
        <w:rPr>
          <w:sz w:val="20"/>
          <w:szCs w:val="20"/>
          <w:color w:val="auto"/>
        </w:rPr>
      </w:pPr>
      <w:r>
        <w:rPr>
          <w:rFonts w:ascii="Arial" w:cs="Arial" w:eastAsia="Arial" w:hAnsi="Arial"/>
          <w:sz w:val="20"/>
          <w:szCs w:val="20"/>
          <w:color w:val="auto"/>
        </w:rPr>
        <w:t>further amended by the Affordable Care Act, to a stricter standard such that a person or entity no longer needs to have actual knowledge of the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False Claims Act;</w:t>
      </w:r>
    </w:p>
    <w:p>
      <w:pPr>
        <w:spacing w:after="0" w:line="4" w:lineRule="exact"/>
        <w:rPr>
          <w:sz w:val="20"/>
          <w:szCs w:val="20"/>
          <w:color w:val="auto"/>
        </w:rPr>
      </w:pPr>
    </w:p>
    <w:p>
      <w:pPr>
        <w:jc w:val="both"/>
        <w:ind w:left="1080" w:hanging="353"/>
        <w:spacing w:after="0" w:line="258" w:lineRule="auto"/>
        <w:tabs>
          <w:tab w:leader="none" w:pos="10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federal civil and criminal false claims laws, including, without limitation, the federal civil False Claims Act (that can be enforced through civil whistleblower or qui tam actions), and the civil monetary penalties law, which impose criminal and civil penalties,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4" w:lineRule="exact"/>
        <w:rPr>
          <w:rFonts w:ascii="Arial" w:cs="Arial" w:eastAsia="Arial" w:hAnsi="Arial"/>
          <w:sz w:val="19"/>
          <w:szCs w:val="19"/>
          <w:color w:val="auto"/>
        </w:rPr>
      </w:pPr>
    </w:p>
    <w:p>
      <w:pPr>
        <w:jc w:val="both"/>
        <w:ind w:left="1080" w:hanging="353"/>
        <w:spacing w:after="0" w:line="243" w:lineRule="auto"/>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HIPAA, which imposes criminal and civil liability for, among other things,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2" w:lineRule="exact"/>
        <w:rPr>
          <w:rFonts w:ascii="Arial" w:cs="Arial" w:eastAsia="Arial" w:hAnsi="Arial"/>
          <w:sz w:val="20"/>
          <w:szCs w:val="20"/>
          <w:color w:val="auto"/>
        </w:rPr>
      </w:pPr>
    </w:p>
    <w:p>
      <w:pPr>
        <w:jc w:val="both"/>
        <w:ind w:left="1080" w:hanging="353"/>
        <w:spacing w:after="0" w:line="242" w:lineRule="auto"/>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HIPAA, as amended by HITECH, and their respective implementing regulations, which impose obligations on covered health care providers, health plans, and health care clearinghouses, as well as their business associates that create, receive, maintain or transmit individually identifiable health information for or on behalf of a covered entity and their subcontractors that use, disclose, access, or otherwise process protected health information, with respect to safeguarding the privacy, security and transmission of individually identifiable health information;</w:t>
      </w:r>
    </w:p>
    <w:p>
      <w:pPr>
        <w:spacing w:after="0" w:line="3" w:lineRule="exact"/>
        <w:rPr>
          <w:rFonts w:ascii="Arial" w:cs="Arial" w:eastAsia="Arial" w:hAnsi="Arial"/>
          <w:sz w:val="20"/>
          <w:szCs w:val="20"/>
          <w:color w:val="auto"/>
        </w:rPr>
      </w:pPr>
    </w:p>
    <w:p>
      <w:pPr>
        <w:jc w:val="both"/>
        <w:ind w:left="1080" w:hanging="353"/>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(commonly known as the Physician Payments Sunshine Act) and its implementing regulations, which requires specified manufacturers of drugs, devices, biologics or medical supplies for which payment is available under Medicare, Medicaid or the Children’s Health Insurance Program, with specific exceptions, to report annually to CMS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for applicable manufacturers to report annually to CMS information regarding ownership and investment interests held by physicians and their immediate family members; and</w:t>
      </w:r>
    </w:p>
    <w:p>
      <w:pPr>
        <w:spacing w:after="0" w:line="4" w:lineRule="exact"/>
        <w:rPr>
          <w:rFonts w:ascii="Arial" w:cs="Arial" w:eastAsia="Arial" w:hAnsi="Arial"/>
          <w:sz w:val="18"/>
          <w:szCs w:val="18"/>
          <w:color w:val="auto"/>
        </w:rPr>
      </w:pPr>
    </w:p>
    <w:p>
      <w:pPr>
        <w:jc w:val="both"/>
        <w:ind w:left="1080" w:hanging="353"/>
        <w:spacing w:after="0" w:line="270"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 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 care providers; state, local and foreign laws that require drug manufacturers to report information related to payments and other transfers of value to physicians and other health care providers or marketing expenditures; state laws that require drug manufacturers to report pricing information regarding certain drugs; and/or that require registration of certain employees engaged in marketing activities in the location;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74"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Efforts to ensure that our or our potential third-party partners’ business arrangements with third parties will comply with applicable health care laws and regulations may involve substantial costs. It is possible that governmental authorities will conclude that our or our potential third-party partners’ business practices, including relationships with physicians and other health care providers, some of whom may recommend, purchase and/or prescribe our product candidates, if approved, may not comply with current or future statutes, regulations or case law involving applicable fraud and abuse or other health care laws and regulations.</w:t>
      </w:r>
    </w:p>
    <w:p>
      <w:pPr>
        <w:spacing w:after="0" w:line="173"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If our or our potential third-party partners’ operations are found to be in violation of any of these laws or any other governmental regulations that may apply to us or them, we or our potential third-party partners may be subject to significant civil, criminal and administrative penalties, including, without limitation, damages, fines, disgorgement, imprisonment, exclusion from participation in government health care programs, such as Medicare and Medicaid, additional reporting requirements and oversight if we or they become subject to a corporate integrity agreement or similar agreement to resolve allegations of non-compliance with these laws and the curtailment or restructuring of our or their operations, which could have a material adverse effect on our ability to earn revenue from arrangements with such third-</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720"/>
          </w:cols>
          <w:pgMar w:left="1080" w:top="1177" w:right="1080" w:bottom="0" w:gutter="0" w:footer="0" w:header="0"/>
          <w:type w:val="continuous"/>
        </w:sectPr>
      </w:pPr>
    </w:p>
    <w:bookmarkStart w:id="50" w:name="page51"/>
    <w:bookmarkEnd w:id="50"/>
    <w:p>
      <w:pPr>
        <w:jc w:val="both"/>
        <w:spacing w:after="0" w:line="249" w:lineRule="auto"/>
        <w:rPr>
          <w:sz w:val="20"/>
          <w:szCs w:val="20"/>
          <w:color w:val="auto"/>
        </w:rPr>
      </w:pPr>
      <w:r>
        <w:rPr>
          <w:rFonts w:ascii="Arial" w:cs="Arial" w:eastAsia="Arial" w:hAnsi="Arial"/>
          <w:sz w:val="20"/>
          <w:szCs w:val="20"/>
          <w:color w:val="auto"/>
        </w:rPr>
        <w:t>party partners for our product candidates. If any physician or other health care provider or entity with whom we or our potential third-party partners expect to do business is found not to be in compliance with applicable laws, it may be subject to significant criminal, civil or administrative sanctions, including exclusions from participation in government health care programs, which could also materially affect our ability to earn revenue from arrangements with such third-party partners for our product candidates.</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Recently enacted and future legislation may increase the difficulty and cost for our potential third-party partners to obtain marketing approval of our product candidates and commercialize our product candidates, if approved, and affect the prices our potential third-party partners may obtain.</w:t>
      </w:r>
    </w:p>
    <w:p>
      <w:pPr>
        <w:spacing w:after="0" w:line="179"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In the United States, and some foreign jurisdictions, there have been a number of legislative and regulatory changes and proposed changes regarding the health care system that could prevent or delay marketing approval of our product candidates, restrict or regulate post-approval activities and affect our potential third-party partners’ ability to profitably sell any of our product candidates for which our potential third-party partners obtain marketing approval, and consequently affect our ability to earn revenue from arrangements with such third-party partners for our product candidates.</w:t>
      </w:r>
    </w:p>
    <w:p>
      <w:pPr>
        <w:spacing w:after="0" w:line="18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 care systems with the stated goals of containing health care costs, improving quality and/or expanding access. In the United States, the pharmaceutical industry has been a particular focus of these efforts and has been significantly affected by major legislative initiatives. The Affordable Care Act, which was signed into law in 2010, is a sweeping law intended to broaden access to health insurance, reduce or constrain the growth of health care spending, enhance remedies against fraud and abuse, add new transparency requirements for the health care and health insurance industries, impose new taxes and fees on the health industry and impose additional health policy reforms.</w:t>
      </w:r>
    </w:p>
    <w:p>
      <w:pPr>
        <w:spacing w:after="0" w:line="162"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There have been executive branch, judicial and Congressional challenges and amendments to certain aspects of the Affordable Care Act. For example, on July 4, 2025,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that receive marketing approval or additional pricing pressures. It is possible that the Affordable Care Act will be subject to additional challenges and amendments in the future. It is unclear how such challenges and any additional health care reform measures will impact the Affordable Care Act and our business.</w:t>
      </w:r>
    </w:p>
    <w:p>
      <w:pPr>
        <w:spacing w:after="0" w:line="172"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These changes included aggregate reductions to Medicare payments to providers of 2% per fiscal year that became effective on April 1, 2013 and, due to subsequent legislative amendments to the statute, including the Bipartisan Budget Act of 2018 and the Infrastructure Investment and Jobs Act, will stay in effect through 2032 unless additional Congressional action is taken. Any similar new laws may result in additional reductions in Medicare and other health care funding, which could have a material adverse effect on our ability to earn revenue from arrangements with our potential third-party partners for our product candidates that receive marketing approval.</w:t>
      </w:r>
    </w:p>
    <w:p>
      <w:pPr>
        <w:spacing w:after="0" w:line="162"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We expect that the Affordable Care Act, as well as other health care reform measures that may be adopted in the future, may result in more rigorous coverage criteria and in additional downward pressure on the price that our potential third-party partners receive for any approved product candidate. Any reduction in reimbursement from Medicare or other government programs may result in a similar reduction in payments from private payors. The implementation of cost containment measures or other health care reforms may prevent our potential third-party partners from being able to generate revenue, attain profitability, or commercialize our product candidates, if approved, which in turn may impact our ability to earn revenue from arrangements with such third-party partners for our product candidates.</w:t>
      </w:r>
    </w:p>
    <w:p>
      <w:pPr>
        <w:spacing w:after="0" w:line="162"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18"/>
          <w:szCs w:val="18"/>
          <w:color w:val="auto"/>
        </w:rPr>
        <w:t>The current administration is pursuing policies to reduce regulations and expenditures across government agencies including at HHS, the FDA, CMS and related agencies. These actions, presently directed by executive orders or</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720"/>
          </w:cols>
          <w:pgMar w:left="1080" w:top="1177" w:right="1080" w:bottom="0" w:gutter="0" w:footer="0" w:header="0"/>
          <w:type w:val="continuous"/>
        </w:sectPr>
      </w:pPr>
    </w:p>
    <w:bookmarkStart w:id="51" w:name="page52"/>
    <w:bookmarkEnd w:id="51"/>
    <w:p>
      <w:pPr>
        <w:jc w:val="both"/>
        <w:spacing w:after="0" w:line="270" w:lineRule="auto"/>
        <w:rPr>
          <w:sz w:val="20"/>
          <w:szCs w:val="20"/>
          <w:color w:val="auto"/>
        </w:rPr>
      </w:pPr>
      <w:r>
        <w:rPr>
          <w:rFonts w:ascii="Arial" w:cs="Arial" w:eastAsia="Arial" w:hAnsi="Arial"/>
          <w:sz w:val="18"/>
          <w:szCs w:val="18"/>
          <w:color w:val="auto"/>
        </w:rPr>
        <w:t xml:space="preserve">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w:t>
      </w:r>
      <w:r>
        <w:rPr>
          <w:rFonts w:ascii="Arial" w:cs="Arial" w:eastAsia="Arial" w:hAnsi="Arial"/>
          <w:sz w:val="18"/>
          <w:szCs w:val="18"/>
          <w:i w:val="1"/>
          <w:iCs w:val="1"/>
          <w:color w:val="auto"/>
        </w:rPr>
        <w:t>Loper Bright Enterprises v.</w:t>
      </w:r>
      <w:r>
        <w:rPr>
          <w:rFonts w:ascii="Arial" w:cs="Arial" w:eastAsia="Arial" w:hAnsi="Arial"/>
          <w:sz w:val="18"/>
          <w:szCs w:val="18"/>
          <w:color w:val="auto"/>
        </w:rPr>
        <w:t xml:space="preserve"> </w:t>
      </w:r>
      <w:r>
        <w:rPr>
          <w:rFonts w:ascii="Arial" w:cs="Arial" w:eastAsia="Arial" w:hAnsi="Arial"/>
          <w:sz w:val="18"/>
          <w:szCs w:val="18"/>
          <w:i w:val="1"/>
          <w:iCs w:val="1"/>
          <w:color w:val="auto"/>
        </w:rPr>
        <w:t>Raimondo</w:t>
      </w:r>
      <w:r>
        <w:rPr>
          <w:rFonts w:ascii="Arial" w:cs="Arial" w:eastAsia="Arial" w:hAnsi="Arial"/>
          <w:sz w:val="18"/>
          <w:szCs w:val="18"/>
          <w:color w:val="auto"/>
        </w:rPr>
        <w:t>, the United States Supreme Court greatly reduced judicial deference to regulatory agencies, which could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successful legal challenges to federal regulations affecting our or our potential partners’ operations. Congress may introduce and ultimately pass health care related legislation that could impact the drug approval process and make changes to the Medicare Drug Price Negotiation Program.</w:t>
      </w:r>
    </w:p>
    <w:p>
      <w:pPr>
        <w:spacing w:after="0" w:line="17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78"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We cannot predict the likelihood, nature or extent of government regulation that may arise from future legislation or administrative or judicial action in the United States or any other jurisdiction. If we or any of our potential partners are slow or unable to adapt to changes in existing requirements or the adoption of new requirements or policies, we may not achieve or sustain profitability.</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Our biological product candidates may face competition sooner than anticipated.</w:t>
      </w:r>
    </w:p>
    <w:p>
      <w:pPr>
        <w:spacing w:after="0" w:line="230"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The BPCIA created an abbreviated approval pathway for biological products that are biosimilar to or interchangeable with an FDA -licensed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w:t>
      </w:r>
    </w:p>
    <w:p>
      <w:pPr>
        <w:spacing w:after="0" w:line="177"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Bosakitug and ATI-052, if approved, may not qualify for the 12-year period of exclusivity, which allows the FDA to approve a biosimilar product any time after the reference product was first licensed by the FDA. Even if the reference product exclusivity is awarded upon licensure by FDA, there is a risk that this exclusivity could be shortened due to Congressional action or otherwise, or that the FDA will not consider bosakitug or ATI-052 to be reference products for competing products, potentially creating the opportunity for competition sooner than anticipated. Moreover, the extent to which a biosimilar, once approved, could be substituted for any one of our reference products in a way that is similar to traditional generic substitution for non- biological products will depend on a number of marketplace and regulatory factors that are still developing. If we cannot obtain exclusivity for bosakitug and ATI-052 under the BPCIA, we could face competition sooner than anticipated, which could harm our business.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720"/>
          </w:cols>
          <w:pgMar w:left="1080" w:top="1177" w:right="1080" w:bottom="0" w:gutter="0" w:footer="0" w:header="0"/>
          <w:type w:val="continuous"/>
        </w:sectPr>
      </w:pPr>
    </w:p>
    <w:bookmarkStart w:id="52" w:name="page53"/>
    <w:bookmarkEnd w:id="52"/>
    <w:p>
      <w:pPr>
        <w:ind w:left="720"/>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56"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our potential third-party partners may be required to conduct a clinical trial that compares the cost-effectiveness of our product candidate to other available procedures. If reimbursement of our product candidates is unavailable or limited in scope or amount, or if pricing is set at unsatisfactory levels, our potential third-party partners may not able to generate revenue, which in turn may adversely affect our ability to earn revenue from arrangements with such third-party partners for our product candidates.</w:t>
      </w:r>
    </w:p>
    <w:p>
      <w:pPr>
        <w:spacing w:after="0" w:line="11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If we fail to comply with environmental, health and safety laws and regulations, we could become subject to fines or penalties or incur costs that could harm our business.</w:t>
      </w:r>
    </w:p>
    <w:p>
      <w:pPr>
        <w:spacing w:after="0" w:line="157"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3"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and safety laws and regulations. These current or future laws and regulations may impair our development or manufacturing efforts. Our failure to comply with these laws and regulations also may result in substantial fines, penalties or other sanctions.</w:t>
      </w:r>
    </w:p>
    <w:p>
      <w:pPr>
        <w:spacing w:after="0" w:line="18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73"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about our personnel, data about participants in our clinical trials, and other sensitive third-party data (collectively, “sensitive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7" w:lineRule="exact"/>
        <w:rPr>
          <w:sz w:val="20"/>
          <w:szCs w:val="20"/>
          <w:color w:val="auto"/>
        </w:rPr>
      </w:pPr>
    </w:p>
    <w:p>
      <w:pPr>
        <w:jc w:val="both"/>
        <w:ind w:firstLine="720"/>
        <w:spacing w:after="0" w:line="295"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operations. Certain states also impose stricter requirements for processing certain personal data, including</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720"/>
          </w:cols>
          <w:pgMar w:left="1080" w:top="1177" w:right="1080" w:bottom="0" w:gutter="0" w:footer="0" w:header="0"/>
          <w:type w:val="continuous"/>
        </w:sectPr>
      </w:pPr>
    </w:p>
    <w:bookmarkStart w:id="53" w:name="page54"/>
    <w:bookmarkEnd w:id="53"/>
    <w:p>
      <w:pPr>
        <w:jc w:val="both"/>
        <w:spacing w:after="0" w:line="258" w:lineRule="auto"/>
        <w:rPr>
          <w:sz w:val="20"/>
          <w:szCs w:val="20"/>
          <w:color w:val="auto"/>
        </w:rPr>
      </w:pPr>
      <w:r>
        <w:rPr>
          <w:rFonts w:ascii="Arial" w:cs="Arial" w:eastAsia="Arial" w:hAnsi="Arial"/>
          <w:sz w:val="19"/>
          <w:szCs w:val="19"/>
          <w:color w:val="auto"/>
        </w:rPr>
        <w:t>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laws in other states, like the CCPA, exempt some data processed in the context of clinical trials, these developments may further complicate compliance efforts, and increase legal risk and compliance costs for us and the third parties with whom we work.</w:t>
      </w:r>
    </w:p>
    <w:p>
      <w:pPr>
        <w:spacing w:after="0" w:line="177" w:lineRule="exact"/>
        <w:rPr>
          <w:sz w:val="20"/>
          <w:szCs w:val="20"/>
          <w:color w:val="auto"/>
        </w:rPr>
      </w:pPr>
    </w:p>
    <w:p>
      <w:pPr>
        <w:jc w:val="both"/>
        <w:ind w:firstLine="720"/>
        <w:spacing w:after="0" w:line="304" w:lineRule="auto"/>
        <w:rPr>
          <w:sz w:val="20"/>
          <w:szCs w:val="20"/>
          <w:color w:val="auto"/>
        </w:rPr>
      </w:pPr>
      <w:r>
        <w:rPr>
          <w:rFonts w:ascii="Arial" w:cs="Arial" w:eastAsia="Arial" w:hAnsi="Arial"/>
          <w:sz w:val="17"/>
          <w:szCs w:val="17"/>
          <w:color w:val="auto"/>
        </w:rPr>
        <w:t>In addition to “comprehensive” state privacy laws like CCPA, we are currently or may become in the future subject to state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142"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data privacy and security. For example, the European Union’s General Data Protection Regulation (“EU GDPR”) and the United Kingdom’s GDPR (“UK GDPR”)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62" w:lineRule="exact"/>
        <w:rPr>
          <w:sz w:val="20"/>
          <w:szCs w:val="20"/>
          <w:color w:val="auto"/>
        </w:rPr>
      </w:pPr>
    </w:p>
    <w:p>
      <w:pPr>
        <w:jc w:val="both"/>
        <w:ind w:firstLine="720"/>
        <w:spacing w:after="0" w:line="285" w:lineRule="auto"/>
        <w:rPr>
          <w:sz w:val="20"/>
          <w:szCs w:val="20"/>
          <w:color w:val="auto"/>
        </w:rPr>
      </w:pPr>
      <w:r>
        <w:rPr>
          <w:rFonts w:ascii="Arial" w:cs="Arial" w:eastAsia="Arial" w:hAnsi="Arial"/>
          <w:sz w:val="17"/>
          <w:szCs w:val="17"/>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 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w:t>
      </w:r>
      <w:r>
        <w:rPr>
          <w:rFonts w:ascii="Arial" w:cs="Arial" w:eastAsia="Arial" w:hAnsi="Arial"/>
          <w:sz w:val="17"/>
          <w:szCs w:val="17"/>
          <w:i w:val="1"/>
          <w:iCs w:val="1"/>
          <w:color w:val="auto"/>
        </w:rPr>
        <w:t>e.g.</w:t>
      </w:r>
      <w:r>
        <w:rPr>
          <w:rFonts w:ascii="Arial" w:cs="Arial" w:eastAsia="Arial" w:hAnsi="Arial"/>
          <w:sz w:val="17"/>
          <w:szCs w:val="17"/>
          <w:color w:val="auto"/>
        </w:rPr>
        <w:t>, China, Iran, Russia)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The rule also applies regardless of whether data is anonymized, key-coded, pseudonymized, de-identified or encrypted, which presents particular challenges for companies like ours and may impact our ability to engage in transactions or agreements with certain third parties in the future. Violations of the rule could lead to significant civil and criminal fines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720"/>
          </w:cols>
          <w:pgMar w:left="1080" w:top="1177" w:right="1080" w:bottom="0" w:gutter="0" w:footer="0" w:header="0"/>
          <w:type w:val="continuous"/>
        </w:sectPr>
      </w:pPr>
    </w:p>
    <w:bookmarkStart w:id="54" w:name="page55"/>
    <w:bookmarkEnd w:id="54"/>
    <w:p>
      <w:pPr>
        <w:jc w:val="both"/>
        <w:spacing w:after="0" w:line="274" w:lineRule="exact"/>
        <w:rPr>
          <w:sz w:val="20"/>
          <w:szCs w:val="20"/>
          <w:color w:val="auto"/>
        </w:rPr>
      </w:pPr>
      <w:r>
        <w:rPr>
          <w:rFonts w:ascii="Arial" w:cs="Arial" w:eastAsia="Arial" w:hAnsi="Arial"/>
          <w:sz w:val="20"/>
          <w:szCs w:val="20"/>
          <w:color w:val="auto"/>
        </w:rPr>
        <w:t>and penalties.</w:t>
      </w:r>
      <w:r>
        <w:rPr>
          <w:rFonts w:ascii="PMingLiU" w:cs="PMingLiU" w:eastAsia="PMingLiU" w:hAnsi="PMingLiU"/>
          <w:sz w:val="20"/>
          <w:szCs w:val="20"/>
          <w:color w:val="auto"/>
        </w:rPr>
        <w:t/>
      </w:r>
      <w:r>
        <w:rPr>
          <w:rFonts w:ascii="Arial" w:cs="Arial" w:eastAsia="Arial" w:hAnsi="Arial"/>
          <w:sz w:val="20"/>
          <w:szCs w:val="20"/>
          <w:color w:val="auto"/>
        </w:rPr>
        <w:t xml:space="preserve"> If notwithstanding our efforts to comply with these laws, regulations and standards, we fail to comply, regulatory authorities may initiate legal proceedings against us and our business may be harmed.</w:t>
      </w:r>
    </w:p>
    <w:p>
      <w:pPr>
        <w:spacing w:after="0" w:line="195"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In addition to data privacy and security laws, we are contractually subject to industry standards adopted by industry groups and may in the future become subject to additional such obligations. We are also bound by other contractual obligations related to data privacy and security, and our efforts to comply with such obligations may not be successful.</w:t>
      </w:r>
    </w:p>
    <w:p>
      <w:pPr>
        <w:spacing w:after="0" w:line="18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We publish privacy policies and make other statements concerning data privacy and security. Regulators in the United States are increasingly scrutinizing these statements, and if these policies or statements are found to be deficient, lacking in transparency, deceptive, unfair, misleading, or misrepresentative of our practices, we may be subject to investigation, enforcement actions by regulators, or other adverse consequences.</w:t>
      </w:r>
    </w:p>
    <w:p>
      <w:pPr>
        <w:spacing w:after="0" w:line="168" w:lineRule="exact"/>
        <w:rPr>
          <w:sz w:val="20"/>
          <w:szCs w:val="20"/>
          <w:color w:val="auto"/>
        </w:rPr>
      </w:pPr>
    </w:p>
    <w:p>
      <w:pPr>
        <w:jc w:val="both"/>
        <w:ind w:firstLine="720"/>
        <w:spacing w:after="0" w:line="304" w:lineRule="auto"/>
        <w:rPr>
          <w:sz w:val="20"/>
          <w:szCs w:val="20"/>
          <w:color w:val="auto"/>
        </w:rPr>
      </w:pPr>
      <w:r>
        <w:rPr>
          <w:rFonts w:ascii="Arial" w:cs="Arial" w:eastAsia="Arial" w:hAnsi="Arial"/>
          <w:sz w:val="17"/>
          <w:szCs w:val="17"/>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41"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or stoppages in our business operations (including clinical trials); inability to process personal data or to operate in certain jurisdictions; limited ability to develop our product candidates; expenditure of time and resources to defend any claim or inquiry; adverse publicity; or substantial changes to our business model or operations.</w:t>
      </w:r>
    </w:p>
    <w:p>
      <w:pPr>
        <w:spacing w:after="0" w:line="176"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9"/>
          <w:szCs w:val="19"/>
          <w:b w:val="1"/>
          <w:bCs w:val="1"/>
          <w:i w:val="1"/>
          <w:iCs w:val="1"/>
          <w:color w:val="auto"/>
        </w:rPr>
        <w:t>We are subject to governmental economic sanctions laws and export and import controls that could impair our potential third-party partners’ ability to compete in international markets or subject us or our potential third-party partners to liability if we or they are not in compliance with applicable laws.</w:t>
      </w:r>
    </w:p>
    <w:p>
      <w:pPr>
        <w:spacing w:after="0" w:line="161"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As a U.S. company, we are subject to U.S. import and export controls and economic sanctions laws and regulations, and we are required to import and export our product candidates, technology and services in compliance with those laws and regulations, including the U.S. Export Administration Regulations, U.S. Customs regulations, the International Traffic in Arms Regulations, and economic embargo and trade sanction programs administered by the U.S. Treasury Department’s Office of Foreign Assets Control.</w:t>
      </w:r>
    </w:p>
    <w:p>
      <w:pPr>
        <w:spacing w:after="0" w:line="186"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U.S. economic sanctions and export control laws and regulations prohibit the shipment of certain products and services to countries, governments and persons targeted by U.S. sanctions. While we are currently taking precautions to prevent doing any business, directly or indirectly, with countries, governments and persons targeted by U.S. sanctions and to ensure that our product candidates are not exported or used by countries, governments and persons targeted by U.S. sanctions, such measures may be circumvented.</w:t>
      </w:r>
    </w:p>
    <w:p>
      <w:pPr>
        <w:spacing w:after="0" w:line="187"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Furthermore, if we or our potential third-party partners export our product candidates, the exports may require authorizations, including a license, a license exception or other appropriate government authorization. Complying with export control and sanctions regulations may be time-consuming and may result in the delay or loss of sales opportunities. Failure to comply with export control and sanctions regulations may expose us or our potential third-party partners to government investigations and penalties.</w:t>
      </w:r>
    </w:p>
    <w:p>
      <w:pPr>
        <w:sectPr>
          <w:pgSz w:w="11880" w:h="15480" w:orient="portrait"/>
          <w:cols w:equalWidth="0" w:num="1">
            <w:col w:w="9720"/>
          </w:cols>
          <w:pgMar w:left="1080" w:top="112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720"/>
          </w:cols>
          <w:pgMar w:left="1080" w:top="1125" w:right="1080" w:bottom="0" w:gutter="0" w:footer="0" w:header="0"/>
          <w:type w:val="continuous"/>
        </w:sectPr>
      </w:pPr>
    </w:p>
    <w:bookmarkStart w:id="55" w:name="page56"/>
    <w:bookmarkEnd w:id="55"/>
    <w:p>
      <w:pPr>
        <w:jc w:val="both"/>
        <w:ind w:firstLine="720"/>
        <w:spacing w:after="0" w:line="258" w:lineRule="auto"/>
        <w:rPr>
          <w:sz w:val="20"/>
          <w:szCs w:val="20"/>
          <w:color w:val="auto"/>
        </w:rPr>
      </w:pPr>
      <w:r>
        <w:rPr>
          <w:rFonts w:ascii="Arial" w:cs="Arial" w:eastAsia="Arial" w:hAnsi="Arial"/>
          <w:sz w:val="20"/>
          <w:szCs w:val="20"/>
          <w:color w:val="auto"/>
        </w:rPr>
        <w:t>If we are found to be in violation of U.S. sanctions or import or export control laws, it could result in civil and criminal, monetary and non-monetary penalties, including possible incarceration for those individuals responsible for the violations, the loss of export or import privileges and reputational harm.</w:t>
      </w:r>
    </w:p>
    <w:p>
      <w:pPr>
        <w:spacing w:after="0" w:line="179"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We and our potential third-party partners are subject to anti-corruption and anti-money laundering laws with respect to our and their operations and non-compliance with such laws can subject us to criminal and/or civil liability and harm our business.</w:t>
      </w:r>
    </w:p>
    <w:p>
      <w:pPr>
        <w:spacing w:after="0" w:line="17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We and our potential third-party partners are subject to the FCPA, the U.S. domestic bribery statute contained in 18 U.S.C. § 201, the U.S. Travel Act, the USA PATRIOT Act and possibly other anti-bribery and anti-money laundering laws in countries in which we conduct activities. Anti-corruption laws are interpreted broadly and prohibit companies and their employees and third-party intermediaries from authorizing, offering or providing, directly or indirectly, improper payments or benefits to recipients in the public or private sector. We or our potential third-party partners may engage third-party intermediaries in connection with the development or commercialization of our product candidates, if approved, and to obtain necessary permits, licenses and other regulatory approvals. We, our potential third-party partners or the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7"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Responding to any action will likely result in a materially significant diversion of management’s attention and resources and significant defense costs and other professional fees.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Employee Matters and Managing Our Growth</w:t>
      </w:r>
    </w:p>
    <w:p>
      <w:pPr>
        <w:spacing w:after="0" w:line="234"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Our future success depends on our ability to retain key executives and to attract, retain and motivate qualified personnel.</w:t>
      </w:r>
    </w:p>
    <w:p>
      <w:pPr>
        <w:spacing w:after="0" w:line="157"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We are highly dependent on the management, development, clinical, financial, and business development expertise of Dr. Neal Walker, our Chief Executive Officer, Hugh Davis, Ph.D., our Chief Operating Officer and President, Kevin Balthaser, our Chief Financial Officer, Dr. Jesse Hall, our Chief Medical Officer, Roland Kolbeck, Ph.D., our Chief Scientific Officer, and James Loerop, our Chief Business Officer, as well as the other members of our scientific and clinical teams. Although we have entered into employment agreements with our executive officers, each of them may currently terminate their employment with us or resign at any time. We do not maintain “key person” insurance for any of our key executives.</w:t>
      </w:r>
    </w:p>
    <w:p>
      <w:pPr>
        <w:spacing w:after="0" w:line="190"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Recruiting and retaining qualified scientific, manufacturing and clinical personnel will also be critical to our success. The loss of the services of our executive officers or other key employees could impede the achievement of our development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partner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720"/>
          </w:cols>
          <w:pgMar w:left="1080" w:top="1177" w:right="1080" w:bottom="0" w:gutter="0" w:footer="0" w:header="0"/>
          <w:type w:val="continuous"/>
        </w:sectPr>
      </w:pPr>
    </w:p>
    <w:bookmarkStart w:id="56" w:name="page57"/>
    <w:bookmarkEnd w:id="56"/>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Our employees, independent contractors, consultants, third-party partners, principal investigators, CROs and vendors may engage in misconduct or other improper activities, including non-compliance with regulatory standards and requirements.</w:t>
      </w:r>
    </w:p>
    <w:p>
      <w:pPr>
        <w:spacing w:after="0" w:line="17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8"/>
          <w:szCs w:val="18"/>
          <w:color w:val="auto"/>
        </w:rPr>
        <w:t>We are exposed to the risk that our employees, independent contractors, consultants, third-party partners, principal investigators, CROs and vendors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 care laws and regulations, and laws that require the true, complete and accurate reporting of financial information or data. In particular, sales, marketing and business arrangements by our potential third-party partners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 care programs, such as Medicare and Medicaid, additional reporting obligations and oversight if we are subject to a corporate integrity agreement or other agreement to resolve allegations of non-compliance with these laws, and the curtailment or restructuring of our operations.</w:t>
      </w:r>
    </w:p>
    <w:p>
      <w:pPr>
        <w:spacing w:after="0" w:line="171"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9"/>
          <w:szCs w:val="19"/>
          <w:color w:val="auto"/>
        </w:rPr>
        <w:t>In addition, we have a hybrid work model of remote and in-person operations for our employees that enables us to continue to develop our product candidates and provide contract research services to our clients. The effects of our hybrid work model may negatively impact productivity, disrupt our business and delay our preclinical drug development and clinical trials and timelines. These and similar, and perhaps more severe, disruptions in our operations could negatively impact our business,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w:t>
      </w:r>
    </w:p>
    <w:p>
      <w:pPr>
        <w:spacing w:after="0" w:line="254"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Our stock price has been and is likely to continue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201" w:lineRule="exact"/>
        <w:rPr>
          <w:sz w:val="20"/>
          <w:szCs w:val="20"/>
          <w:color w:val="auto"/>
        </w:rPr>
      </w:pPr>
    </w:p>
    <w:p>
      <w:pPr>
        <w:ind w:left="1080" w:hanging="352"/>
        <w:spacing w:after="0" w:line="259" w:lineRule="auto"/>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commencement, enrollment and/or results of any preclinical studies and clinical trials we may conduct, or changes in the development status of our product candidates;</w:t>
      </w:r>
    </w:p>
    <w:p>
      <w:pPr>
        <w:jc w:val="both"/>
        <w:ind w:left="1080" w:hanging="352"/>
        <w:spacing w:after="0" w:line="243" w:lineRule="auto"/>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delay in our regulatory filings for any of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3" w:lineRule="exact"/>
        <w:rPr>
          <w:rFonts w:ascii="Arial" w:cs="Arial" w:eastAsia="Arial" w:hAnsi="Arial"/>
          <w:sz w:val="20"/>
          <w:szCs w:val="20"/>
          <w:color w:val="auto"/>
        </w:rPr>
      </w:pPr>
    </w:p>
    <w:p>
      <w:pPr>
        <w:ind w:left="1080" w:hanging="352"/>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adverse results from, delays in or termination of clinical trials;</w:t>
      </w:r>
    </w:p>
    <w:p>
      <w:pPr>
        <w:spacing w:after="0" w:line="13" w:lineRule="exact"/>
        <w:rPr>
          <w:rFonts w:ascii="Arial" w:cs="Arial" w:eastAsia="Arial" w:hAnsi="Arial"/>
          <w:sz w:val="20"/>
          <w:szCs w:val="20"/>
          <w:color w:val="auto"/>
        </w:rPr>
      </w:pPr>
    </w:p>
    <w:p>
      <w:pPr>
        <w:ind w:left="1080" w:hanging="352"/>
        <w:spacing w:after="0" w:line="248" w:lineRule="auto"/>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adverse regulatory decisions, including failure of any of our product candidates to receive marketing approval;</w:t>
      </w:r>
    </w:p>
    <w:p>
      <w:pPr>
        <w:ind w:left="1080" w:hanging="352"/>
        <w:spacing w:after="0" w:line="247" w:lineRule="auto"/>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unanticipated serious safety concerns related to the use of any product candidate or previously sold commercial product;</w:t>
      </w:r>
    </w:p>
    <w:p>
      <w:pPr>
        <w:ind w:left="1080" w:hanging="353"/>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financial estimates by us or by any securities analysts who might cover our stock;</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conditions or trends in our industry;</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the structure of health care payment systems;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720"/>
          </w:cols>
          <w:pgMar w:left="1080" w:top="1177" w:right="1080" w:bottom="0" w:gutter="0" w:footer="0" w:header="0"/>
          <w:type w:val="continuous"/>
        </w:sectPr>
      </w:pPr>
    </w:p>
    <w:bookmarkStart w:id="57" w:name="page58"/>
    <w:bookmarkEnd w:id="57"/>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the market valuations of similar companies;</w:t>
      </w:r>
    </w:p>
    <w:p>
      <w:pPr>
        <w:spacing w:after="0" w:line="36" w:lineRule="exact"/>
        <w:rPr>
          <w:rFonts w:ascii="Arial" w:cs="Arial" w:eastAsia="Arial" w:hAnsi="Arial"/>
          <w:sz w:val="20"/>
          <w:szCs w:val="20"/>
          <w:color w:val="auto"/>
        </w:rPr>
      </w:pPr>
    </w:p>
    <w:p>
      <w:pPr>
        <w:ind w:left="1080" w:hanging="353"/>
        <w:spacing w:after="0" w:line="247" w:lineRule="auto"/>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stock market price and volume fluctuations of comparable companies and, in particular, those that operate in the biotechnology industry;</w:t>
      </w:r>
    </w:p>
    <w:p>
      <w:pPr>
        <w:ind w:left="1080" w:hanging="353"/>
        <w:spacing w:after="0" w:line="248" w:lineRule="auto"/>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publication of research reports about us or our industry or positive or negative recommendations or withdrawal of research coverage by securities analysts;</w:t>
      </w:r>
    </w:p>
    <w:p>
      <w:pPr>
        <w:ind w:left="1080" w:hanging="353"/>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36" w:lineRule="exact"/>
        <w:rPr>
          <w:rFonts w:ascii="Arial" w:cs="Arial" w:eastAsia="Arial" w:hAnsi="Arial"/>
          <w:sz w:val="18"/>
          <w:szCs w:val="18"/>
          <w:color w:val="auto"/>
        </w:rPr>
      </w:pPr>
    </w:p>
    <w:p>
      <w:pPr>
        <w:ind w:left="1080" w:hanging="353"/>
        <w:spacing w:after="0"/>
        <w:tabs>
          <w:tab w:leader="none" w:pos="10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announcements of investigations or regulatory scrutiny of our operations or lawsuits filed against us;</w:t>
      </w:r>
    </w:p>
    <w:p>
      <w:pPr>
        <w:spacing w:after="0" w:line="26" w:lineRule="exact"/>
        <w:rPr>
          <w:rFonts w:ascii="Arial" w:cs="Arial" w:eastAsia="Arial" w:hAnsi="Arial"/>
          <w:sz w:val="19"/>
          <w:szCs w:val="19"/>
          <w:color w:val="auto"/>
        </w:rPr>
      </w:pPr>
    </w:p>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investors’ general perception of our company and our business;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recruitment or departure of key personnel;</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overall performance of the equity markets;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trading volume of our common stock;</w:t>
      </w:r>
    </w:p>
    <w:p>
      <w:pPr>
        <w:spacing w:after="0" w:line="13" w:lineRule="exact"/>
        <w:rPr>
          <w:rFonts w:ascii="Arial" w:cs="Arial" w:eastAsia="Arial" w:hAnsi="Arial"/>
          <w:sz w:val="20"/>
          <w:szCs w:val="20"/>
          <w:color w:val="auto"/>
        </w:rPr>
      </w:pPr>
    </w:p>
    <w:p>
      <w:pPr>
        <w:ind w:left="1080" w:hanging="353"/>
        <w:spacing w:after="0" w:line="248" w:lineRule="auto"/>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disputes or other developments relating to proprietary rights, including patents, litigation matters and our ability to obtain patent protection for our technologies;</w:t>
      </w:r>
    </w:p>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significant lawsuits, including patent or stockholder litigation;</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general political and economic conditions; and</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other events or factors, many of which are beyond our control.</w:t>
      </w:r>
    </w:p>
    <w:p>
      <w:pPr>
        <w:spacing w:after="0" w:line="208"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In the past, stockholders have initiated class action lawsuits against us and other pharmaceutical companies following periods of volatility in the market prices of these companies’ stock. We have entered into indemnification agreements with our executive officers and directors which provide, among other things, that we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officer or other agent, and otherwise to the fullest extent permitted under Delaware law and our bylaws. Such additional litigation, if instituted against us, could cause us to incur substantial costs and divert management’s attention and resources from our business.</w:t>
      </w:r>
    </w:p>
    <w:p>
      <w:pPr>
        <w:spacing w:after="0" w:line="177" w:lineRule="exact"/>
        <w:rPr>
          <w:sz w:val="20"/>
          <w:szCs w:val="20"/>
          <w:color w:val="auto"/>
        </w:rPr>
      </w:pPr>
    </w:p>
    <w:p>
      <w:pPr>
        <w:jc w:val="both"/>
        <w:ind w:firstLine="720"/>
        <w:spacing w:after="0" w:line="368" w:lineRule="auto"/>
        <w:rPr>
          <w:sz w:val="20"/>
          <w:szCs w:val="20"/>
          <w:color w:val="auto"/>
        </w:rPr>
      </w:pPr>
      <w:r>
        <w:rPr>
          <w:rFonts w:ascii="Arial" w:cs="Arial" w:eastAsia="Arial" w:hAnsi="Arial"/>
          <w:sz w:val="17"/>
          <w:szCs w:val="17"/>
          <w:b w:val="1"/>
          <w:bCs w:val="1"/>
          <w:i w:val="1"/>
          <w:iCs w:val="1"/>
          <w:color w:val="auto"/>
        </w:rPr>
        <w:t>If we fail to maintain compliance with the listing requirements of the Nasdaq Global Select Market, we may be delisted and the price of our common stock and our ability to access the capital markets could be negatively impacted.</w:t>
      </w:r>
    </w:p>
    <w:p>
      <w:pPr>
        <w:spacing w:after="0" w:line="91"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Our common stock is currently listed on the Nasdaq Global Select Market. To maintain the listing of our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77" w:lineRule="exact"/>
        <w:rPr>
          <w:sz w:val="20"/>
          <w:szCs w:val="20"/>
          <w:color w:val="auto"/>
        </w:rPr>
      </w:pPr>
    </w:p>
    <w:p>
      <w:pPr>
        <w:jc w:val="both"/>
        <w:ind w:firstLine="721"/>
        <w:spacing w:after="0" w:line="246" w:lineRule="auto"/>
        <w:rPr>
          <w:sz w:val="20"/>
          <w:szCs w:val="20"/>
          <w:color w:val="auto"/>
        </w:rPr>
      </w:pPr>
      <w:r>
        <w:rPr>
          <w:rFonts w:ascii="Arial" w:cs="Arial" w:eastAsia="Arial" w:hAnsi="Arial"/>
          <w:sz w:val="20"/>
          <w:szCs w:val="20"/>
          <w:color w:val="auto"/>
        </w:rPr>
        <w:t>We may fail to satisfy one or more of the Nasdaq Global Select Market’s requirements for continued listing of our common stock in the future. There can be no assurance that we will be successful in maintaining the listing of our common stock on the Nasdaq Global Select Market, or, if transferred, on the Nasdaq Capital Market. This could impair the liquidity and market price of our common stock. In addition, the delisting of our common stock from a national exchange could have a material adverse effect on our access to capital markets, and any limitation on market liquidity or reduction in the price of our common stock as a result of that delisting could adversely affect our ability to raise capital on terms acceptable to us, or at all.</w:t>
      </w:r>
    </w:p>
    <w:p>
      <w:pPr>
        <w:spacing w:after="0" w:line="19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Sales of a substantial number of shares of our common stock into the market could cause the market price of our common stock to drop significantly, even if our business is doing well.</w:t>
      </w:r>
    </w:p>
    <w:p>
      <w:pPr>
        <w:spacing w:after="0" w:line="15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8"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In addition, we have filed registration statements on Form S-8 under the Securities Act registering the issuance of shares of common stock subject to options or other equity awards issued or reserved for future issuance under our equity incentive plans. Shares registered under these registration statements are available for sale in the public market subject to vesting arrangements and exercise of options.</w:t>
      </w:r>
    </w:p>
    <w:p>
      <w:pPr>
        <w:sectPr>
          <w:pgSz w:w="11880" w:h="15480" w:orient="portrait"/>
          <w:cols w:equalWidth="0" w:num="1">
            <w:col w:w="9720"/>
          </w:cols>
          <w:pgMar w:left="1080" w:top="1191" w:right="108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720"/>
          </w:cols>
          <w:pgMar w:left="1080" w:top="1191" w:right="1080" w:bottom="0" w:gutter="0" w:footer="0" w:header="0"/>
          <w:type w:val="continuous"/>
        </w:sectPr>
      </w:pPr>
    </w:p>
    <w:bookmarkStart w:id="58" w:name="page59"/>
    <w:bookmarkEnd w:id="58"/>
    <w:p>
      <w:pPr>
        <w:jc w:val="both"/>
        <w:ind w:firstLine="720"/>
        <w:spacing w:after="0" w:line="301" w:lineRule="auto"/>
        <w:rPr>
          <w:sz w:val="20"/>
          <w:szCs w:val="20"/>
          <w:color w:val="auto"/>
        </w:rPr>
      </w:pPr>
      <w:r>
        <w:rPr>
          <w:rFonts w:ascii="Arial" w:cs="Arial" w:eastAsia="Arial" w:hAnsi="Arial"/>
          <w:sz w:val="18"/>
          <w:szCs w:val="18"/>
          <w:color w:val="auto"/>
        </w:rPr>
        <w:t>Further, we have in the past and may in the future issue equity securities in connection with financings, acquisitions or other strategic investments. Any such issuances of additional capital stock may cause stockholders to experience significant dilution of their ownership interests and the per share value of our common stock to decline.</w:t>
      </w:r>
    </w:p>
    <w:p>
      <w:pPr>
        <w:spacing w:after="0" w:line="142"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8"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There are provisions in our certificate of incorporation and bylaws that may make it difficult for a third party to acquire, or attempt to acquire, control of our company, even if a change of control was considered favorable by some or all of our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Our charter documents also contain other provisions that could have an anti-takeover effect, including:</w:t>
      </w:r>
    </w:p>
    <w:p>
      <w:pPr>
        <w:spacing w:after="0" w:line="244" w:lineRule="exact"/>
        <w:rPr>
          <w:sz w:val="20"/>
          <w:szCs w:val="20"/>
          <w:color w:val="auto"/>
        </w:rPr>
      </w:pPr>
    </w:p>
    <w:p>
      <w:pPr>
        <w:ind w:left="1080" w:hanging="353"/>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only one of our three classes of directors is elected each year;</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stockholders are not entitled to remove directors other than by a 66 2/3% vote and only for cause;</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stockholders are not permitted to take actions by written consent;</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stockholders cannot call a special meeting of stockholders; and</w:t>
      </w:r>
    </w:p>
    <w:p>
      <w:pPr>
        <w:spacing w:after="0" w:line="13" w:lineRule="exact"/>
        <w:rPr>
          <w:rFonts w:ascii="Arial" w:cs="Arial" w:eastAsia="Arial" w:hAnsi="Arial"/>
          <w:sz w:val="20"/>
          <w:szCs w:val="20"/>
          <w:color w:val="auto"/>
        </w:rPr>
      </w:pPr>
    </w:p>
    <w:p>
      <w:pPr>
        <w:ind w:left="1080" w:hanging="353"/>
        <w:spacing w:after="0" w:line="256"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stockholders must give advance notice to nominate directors or submit proposals for consideration at stockholder meetings.</w:t>
      </w:r>
    </w:p>
    <w:p>
      <w:pPr>
        <w:spacing w:after="0" w:line="178"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1"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If we fail to maintain proper and effective internal controls, our ability to produce accurate financial statements on a timely basis could be impaired.</w:t>
      </w:r>
    </w:p>
    <w:p>
      <w:pPr>
        <w:spacing w:after="0" w:line="157"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We are subject to the reporting requirements of the Exchange Act, the Sarbanes-Oxley Act and the rules and regulations of the stock market on which our common stock is listed. The Sarbanes-Oxley Act requires, among other things, that we maintain effective disclosure controls and procedures and internal control over financial reporting and perform system and process evaluation and testing of our internal control over financial reporting to allow management to report on the effectiveness of our internal control over financial reporting. This requires that we incur substantial additional professional fees and internal costs to expand our accounting and finance functions and that we expend significant management efforts.</w:t>
      </w:r>
    </w:p>
    <w:p>
      <w:pPr>
        <w:spacing w:after="0" w:line="191"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1"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If we are unable to maintain proper and effective internal controls, we may not be able to produce timely and accurate financial statements, and we may conclude that our internal control over financial reporting is not effective. If that were to happen, the market price of our stock could decline, and we could be subject to sanctions or investigations by the stock exchange on which our common stock is listed, the SEC, or other regulatory authorities.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720"/>
          </w:cols>
          <w:pgMar w:left="1080" w:top="1177" w:right="1080" w:bottom="0" w:gutter="0" w:footer="0" w:header="0"/>
          <w:type w:val="continuous"/>
        </w:sectPr>
      </w:pPr>
    </w:p>
    <w:bookmarkStart w:id="59" w:name="page60"/>
    <w:bookmarkEnd w:id="59"/>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We might not be able to utilize a significant portion of our net operating loss carryforwards and research and development tax credit carryforwards.</w:t>
      </w:r>
    </w:p>
    <w:p>
      <w:pPr>
        <w:spacing w:after="0" w:line="157"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8"/>
          <w:szCs w:val="18"/>
          <w:color w:val="auto"/>
        </w:rPr>
        <w:t>As of December 31, 2025, we had federal and state net operating loss (“NOL”) carryforwards of $568.2 million and $100.7 million, respectively, which will begin to expire in 2032. Under federal law, federal NOL carryforwards generated in tax years beginning after December 31, 2017 may be carried forward indefinitely but may only be used to offset 80% of our taxable income annually. It is uncertain if and to what extent various states will conform to the federal tax law. As of December 31, 2025, we also had federal research and development tax credit carryforwards of $2.5 million which will begin to expire in 2045. These NOL and tax credit carryforwards could expire unused or, due to limitation on use, be unavailable to offset future income tax liabilities. In addition, under Section 382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an analysis under Section 382 for NOLs generated through December 31, 2024, and concluded that an ownership change occurred as of December 30, 2024. As a result of this ownership change, a component of our research and development tax credits and state NOL carryforwards will expire prior to utilization. Accordingly, we have recorded an adjustment to write down our research and development tax credits and state NOL deferred tax assets in the amount of $21.9 million and $19.0 million, respectively. The write down of these deferred tax assets resulted in a corresponding adjustment to our valuation allowance. In addition, we may have experienced ownership changes since 2024 and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might harm our future operating results by effectively increasing our future tax obligations.</w:t>
      </w:r>
    </w:p>
    <w:p>
      <w:pPr>
        <w:spacing w:after="0" w:line="174"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b w:val="1"/>
          <w:bCs w:val="1"/>
          <w:i w:val="1"/>
          <w:iCs w:val="1"/>
          <w:color w:val="auto"/>
        </w:rPr>
        <w:t>We do not anticipate paying any cash dividends on our common stock in the foreseeable future and our stock may not appreciate in value.</w:t>
      </w:r>
    </w:p>
    <w:p>
      <w:pPr>
        <w:spacing w:after="0" w:line="159"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We have not declared or paid cash dividends on our common stock to date. We currently intend to retain our future earnings, if any, to fund the development and growth of our business. There is no guarantee that shares of our common stock will appreciate in value or that the price at which our stockholders have purchased their shares will be able to be maintained.</w:t>
      </w:r>
    </w:p>
    <w:p>
      <w:pPr>
        <w:spacing w:after="0" w:line="184"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Exclusive forum provisions in our amended and restated certificate of incorporation and amended and restated bylaws could limit our stockholders’ ability to obtain a favorable judicial forum for disputes with us or our directors, officers or other employees.</w:t>
      </w:r>
    </w:p>
    <w:p>
      <w:pPr>
        <w:spacing w:after="0" w:line="17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provide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18"/>
          <w:szCs w:val="18"/>
          <w:color w:val="auto"/>
        </w:rPr>
        <w:t>Our amended and restated certificate of incorporation and amended and restated bylaws further provide any person or entity purchasing or otherwise acquiring any interest in shares of our common stock is deemed to have notice of</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720"/>
          </w:cols>
          <w:pgMar w:left="1080" w:top="1177" w:right="1080" w:bottom="0" w:gutter="0" w:footer="0" w:header="0"/>
          <w:type w:val="continuous"/>
        </w:sectPr>
      </w:pPr>
    </w:p>
    <w:bookmarkStart w:id="60" w:name="page61"/>
    <w:bookmarkEnd w:id="60"/>
    <w:p>
      <w:pPr>
        <w:jc w:val="both"/>
        <w:spacing w:after="0" w:line="284" w:lineRule="auto"/>
        <w:rPr>
          <w:sz w:val="20"/>
          <w:szCs w:val="20"/>
          <w:color w:val="auto"/>
        </w:rPr>
      </w:pPr>
      <w:r>
        <w:rPr>
          <w:rFonts w:ascii="Arial" w:cs="Arial" w:eastAsia="Arial" w:hAnsi="Arial"/>
          <w:sz w:val="18"/>
          <w:szCs w:val="18"/>
          <w:color w:val="auto"/>
        </w:rPr>
        <w:t>and consented to the foregoing provisions.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56" w:lineRule="exact"/>
        <w:rPr>
          <w:sz w:val="20"/>
          <w:szCs w:val="20"/>
          <w:color w:val="auto"/>
        </w:rPr>
      </w:pPr>
    </w:p>
    <w:p>
      <w:pPr>
        <w:jc w:val="both"/>
        <w:ind w:firstLine="720"/>
        <w:spacing w:after="0" w:line="370" w:lineRule="auto"/>
        <w:rPr>
          <w:sz w:val="20"/>
          <w:szCs w:val="20"/>
          <w:color w:val="auto"/>
        </w:rPr>
      </w:pPr>
      <w:r>
        <w:rPr>
          <w:rFonts w:ascii="Arial" w:cs="Arial" w:eastAsia="Arial" w:hAnsi="Arial"/>
          <w:sz w:val="17"/>
          <w:szCs w:val="17"/>
          <w:b w:val="1"/>
          <w:bCs w:val="1"/>
          <w:i w:val="1"/>
          <w:iCs w:val="1"/>
          <w:color w:val="auto"/>
        </w:rPr>
        <w:t>Our holders of 5% or more of our capital stock collectively own a significant percentage of our outstanding common stock and have the ability to exert significant control over matters subject to stockholder approval.</w:t>
      </w:r>
    </w:p>
    <w:p>
      <w:pPr>
        <w:spacing w:after="0" w:line="87"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Our holders of 5% or more of our capital stock collectively own a significant percentage of our outstanding common stock. As a result, these 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significant concentration of stock ownership may adversely affect the trading price of our common stock due to investors’ perception that conflicts of interest may exist or arise.</w:t>
      </w:r>
    </w:p>
    <w:p>
      <w:pPr>
        <w:spacing w:after="0" w:line="174" w:lineRule="exact"/>
        <w:rPr>
          <w:sz w:val="20"/>
          <w:szCs w:val="20"/>
          <w:color w:val="auto"/>
        </w:rPr>
      </w:pPr>
    </w:p>
    <w:p>
      <w:pPr>
        <w:jc w:val="both"/>
        <w:ind w:firstLine="720"/>
        <w:spacing w:after="0" w:line="334" w:lineRule="auto"/>
        <w:rPr>
          <w:sz w:val="20"/>
          <w:szCs w:val="20"/>
          <w:color w:val="auto"/>
        </w:rPr>
      </w:pPr>
      <w:r>
        <w:rPr>
          <w:rFonts w:ascii="Arial" w:cs="Arial" w:eastAsia="Arial" w:hAnsi="Arial"/>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13"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We are a “smaller reporting company” as defined in Item 10(f)(1) of Regulation S-K, and we intend to take advantage of some of the exemptions from reporting requirements that are applicable to other public companies that are not smaller reporting companies, including:</w:t>
      </w:r>
    </w:p>
    <w:p>
      <w:pPr>
        <w:spacing w:after="0" w:line="191" w:lineRule="exact"/>
        <w:rPr>
          <w:sz w:val="20"/>
          <w:szCs w:val="20"/>
          <w:color w:val="auto"/>
        </w:rPr>
      </w:pPr>
    </w:p>
    <w:p>
      <w:pPr>
        <w:ind w:left="1080" w:hanging="352"/>
        <w:spacing w:after="0" w:line="259" w:lineRule="auto"/>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 being required to comply with the auditor attestation requirements in the assessment of our internal control over financial reporting; and</w:t>
      </w:r>
    </w:p>
    <w:p>
      <w:pPr>
        <w:ind w:left="1080" w:hanging="352"/>
        <w:spacing w:after="0" w:line="254" w:lineRule="auto"/>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reduced disclosure obligations regarding executive compensation in our periodic reports, proxy statements and registration statements.</w:t>
      </w:r>
    </w:p>
    <w:p>
      <w:pPr>
        <w:spacing w:after="0" w:line="181" w:lineRule="exact"/>
        <w:rPr>
          <w:sz w:val="20"/>
          <w:szCs w:val="20"/>
          <w:color w:val="auto"/>
        </w:rPr>
      </w:pPr>
    </w:p>
    <w:p>
      <w:pPr>
        <w:jc w:val="both"/>
        <w:ind w:firstLine="721"/>
        <w:spacing w:after="0" w:line="227" w:lineRule="auto"/>
        <w:rPr>
          <w:sz w:val="20"/>
          <w:szCs w:val="20"/>
          <w:color w:val="auto"/>
        </w:rPr>
      </w:pPr>
      <w:r>
        <w:rPr>
          <w:rFonts w:ascii="Arial" w:cs="Arial" w:eastAsia="Arial" w:hAnsi="Arial"/>
          <w:sz w:val="20"/>
          <w:szCs w:val="20"/>
          <w:color w:val="auto"/>
        </w:rPr>
        <w:t>We may take advantage of these reporting exemptions until we are no longer a smaller reporting company. We will remain a smaller reporting company until the last day of any fiscal year for so long as either (1) the market value of our shares of common stock held by non-affiliates does not equal or exceed $250.0 million as of June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prior year, or (2) our annual revenues did not equal or exceed $100.0 million during such completed fiscal year and the market value of our shares of common stock held by non-affiliates did not equal or exceed $700.0 million as of June 30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prior year.</w:t>
      </w:r>
    </w:p>
    <w:p>
      <w:pPr>
        <w:spacing w:after="0" w:line="195"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35"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b w:val="1"/>
          <w:bCs w:val="1"/>
          <w:i w:val="1"/>
          <w:iCs w:val="1"/>
          <w:color w:val="auto"/>
        </w:rPr>
        <w:t>If our information technology systems or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53"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In the ordinary course of our business, we and the third parties upon which we rely process sensitive data. We and the third parties with whom we work face a variety of evolving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62"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720"/>
          </w:cols>
          <w:pgMar w:left="1080" w:top="1177" w:right="1080" w:bottom="0" w:gutter="0" w:footer="0" w:header="0"/>
          <w:type w:val="continuous"/>
        </w:sectPr>
      </w:pPr>
    </w:p>
    <w:bookmarkStart w:id="61" w:name="page62"/>
    <w:bookmarkEnd w:id="61"/>
    <w:p>
      <w:pPr>
        <w:jc w:val="both"/>
        <w:spacing w:after="0" w:line="278" w:lineRule="auto"/>
        <w:rPr>
          <w:sz w:val="20"/>
          <w:szCs w:val="20"/>
          <w:color w:val="auto"/>
        </w:rPr>
      </w:pPr>
      <w:r>
        <w:rPr>
          <w:rFonts w:ascii="Arial" w:cs="Arial" w:eastAsia="Arial" w:hAnsi="Arial"/>
          <w:sz w:val="20"/>
          <w:szCs w:val="20"/>
          <w:color w:val="auto"/>
        </w:rPr>
        <w:t>these attacks, including retaliatory cyber-attacks, that could materially disrupt our systems and operations, supply chain, and ability to develop our product candidates and provide our services.</w:t>
      </w:r>
    </w:p>
    <w:p>
      <w:pPr>
        <w:spacing w:after="0" w:line="157"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We and the third parties with whom we work are subject to a variety of evolving threats, including but not limited to social-engineering attacks (including through deepfakes,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177"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In particular, severe ransomware attacks are becoming increasingly prevalent and can lead to significant interruptions in our operations, ability to develop our product candidates or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7"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Remote work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62"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9"/>
          <w:szCs w:val="19"/>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SaaS platforms, encryption and authentication technology, employee email and other functions. We also rely on third-party service providers to provide other products and services, or otherwise to operate our business. Our ability to monitor these third parties’ information security practices is limited, and these third parties may not have adequate information security measures in place. If our third -party service providers experience a security incident or other interruption, we could experience adverse consequences. For example, we rely on our third-party research collaborators for research and development of our product candidates and other third parties to conduct clinical trials, and security incidents or other similar events relating to their information technology systems could seriously harm our business.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6"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We may not, however, detect and remediate all such vulnerabilities including on a timely basis. It may be difficult and/or costly to detect, investigate, mitigate, contain, and remediate a security incident, and our efforts to do so may not be successful. Further, we may experience delays in developing and deploying remedial measures and patches designed to address identified vulnerabilities. Vulnerabilities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75"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Any of the previously identified or similar threats has caused and, in the future, could cause a security incident or other interruption that could result in unauthorized, unlawful, or accidental acquisition, modification, destruction, loss, alteration, encryption, disclosure of, or access to our sensitive data or our information technology systems, or those of the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720"/>
          </w:cols>
          <w:pgMar w:left="1080" w:top="1177" w:right="1080" w:bottom="0" w:gutter="0" w:footer="0" w:header="0"/>
          <w:type w:val="continuous"/>
        </w:sectPr>
      </w:pPr>
    </w:p>
    <w:bookmarkStart w:id="62" w:name="page63"/>
    <w:bookmarkEnd w:id="62"/>
    <w:p>
      <w:pPr>
        <w:jc w:val="both"/>
        <w:spacing w:after="0" w:line="249" w:lineRule="auto"/>
        <w:rPr>
          <w:sz w:val="20"/>
          <w:szCs w:val="20"/>
          <w:color w:val="auto"/>
        </w:rPr>
      </w:pPr>
      <w:r>
        <w:rPr>
          <w:rFonts w:ascii="Arial" w:cs="Arial" w:eastAsia="Arial" w:hAnsi="Arial"/>
          <w:sz w:val="20"/>
          <w:szCs w:val="20"/>
          <w:color w:val="auto"/>
        </w:rPr>
        <w:t>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operate our business. For example, the loss of clinical trial data from completed, ongoing or future clinical trials could result in delays in or denials of our regulatory approval efforts and significantly increase our costs to recover or reproduce the data.</w:t>
      </w:r>
    </w:p>
    <w:p>
      <w:pPr>
        <w:spacing w:after="0" w:line="187"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We may expend significant resources or modify our business activities (including our clinical trial activities) to try to protect against security incidents. Additionally, certain data privacy and security obligations have required and may in the future require us to implement and maintain specific security measures or industry-standard or reasonable security measures to protect our information technology systems and sensitive data.</w:t>
      </w:r>
    </w:p>
    <w:p>
      <w:pPr>
        <w:spacing w:after="0" w:line="167"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9"/>
          <w:szCs w:val="19"/>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159"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services, deter new customers from using our services, and negatively impact our ability to grow and operate our business. For example,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result in substantial costs, diversion of management attention, and other adverse consequences.</w:t>
      </w:r>
    </w:p>
    <w:p>
      <w:pPr>
        <w:spacing w:after="0" w:line="175"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56"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An active trading market for our common stock may not be sustained.</w:t>
      </w:r>
    </w:p>
    <w:p>
      <w:pPr>
        <w:spacing w:after="0" w:line="230"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Although our common stock is listed on The Nasdaq Global Select Market, we cannot assure you that an active trading market for our shares will be sustained. If an active market for our common stock is not sustained, it may be difficult for investors in our common stock to sell shares without depressing the market price for the shares or to sell the shares at all.</w:t>
      </w:r>
    </w:p>
    <w:p>
      <w:pPr>
        <w:spacing w:after="0" w:line="184"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7"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The trading market for our common stock is influenced by the research and reports that equity research analysts publish about us or our business, our market and our competitors. Equity research analysts may elect not to initiate or continue to provide research coverage of our common stock, and such lack of research coverage may adversely affect the market price of our common stock. Even if we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720"/>
          </w:cols>
          <w:pgMar w:left="1080" w:top="1177" w:right="1080" w:bottom="0" w:gutter="0" w:footer="0" w:header="0"/>
          <w:type w:val="continuous"/>
        </w:sectPr>
      </w:pPr>
    </w:p>
    <w:bookmarkStart w:id="63" w:name="page64"/>
    <w:bookmarkEnd w:id="63"/>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Unfavorable macroeconomic conditions, including tariff policies and inflationary pressure, as well as constrained capital markets, could limit our ability to grow our business, raise capital and negatively affect our operating results.</w:t>
      </w:r>
    </w:p>
    <w:p>
      <w:pPr>
        <w:spacing w:after="0" w:line="179"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General worldwide economic conditions have experienced significant instability in recent years including the recent global economic uncertainty and financial market conditions. For example, inflation rates, particularly in the United States and United Kingdom, have increased recently to levels not seen in years, and increased inflation may result in increases in our operating costs (including our labor costs), reduced liquidity and limits on our ability to access credit or otherwise raise capital. Additionally, financial markets around the world have experienced volatility in connection with geopolitical conflicts. These conditions make it extremely difficult for us to accurately forecast and plan future business activities.</w:t>
      </w:r>
    </w:p>
    <w:p>
      <w:pPr>
        <w:spacing w:after="0" w:line="190"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Our industry is sensitive to global and domestic economic conditions and capital market dynamics. In 2025, the biotechnology industry faced significant macroeconomic headwinds, including trade policy uncertainty driven by tariff volatility, which created substantial uncertainty affecting pharmaceutical supply chains, active pharmaceutical ingredient sourcing, and overall investor sentiment toward the life sciences sector. Although pharmaceutical products have historically been exempt from certain tariffs, the ongoing Section 232 investigations and potential tariffs on pharmaceutical imports could increase our operating costs, disrupt our supply chain relationships, or force us to reconfigure our manufacturing and sourcing strategies.</w:t>
      </w:r>
    </w:p>
    <w:p>
      <w:pPr>
        <w:spacing w:after="0" w:line="19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The biotechnology capital markets may also be impacted by U.S. regulatory uncertainty amid agency leadership changes and shifting policy priorities. As a company without approved products generating revenue, we may be particularly vulnerable to these capital market conditions. Higher interest rates have increased the cost of capital and have generally made investors more selective, favoring companies with later-stage assets and established commercial operations. Continued volatility or deterioration in equity markets, prolonged elevated interest rates, or further trade policy disruptions could materially impair our ability to raise additional capital on acceptable terms, if at all. This could force us to delay, reduce, or eliminate research and development programs, or delay or modify clinical trial designs.</w:t>
      </w:r>
    </w:p>
    <w:p>
      <w:pPr>
        <w:spacing w:after="0" w:line="172"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Additionally, macroeconomic uncertainty could affect our collaborators, suppliers, and potential partners, potentially leading to delayed payments, reduced collaboration funding, or renegotiation of existing agreements. Government shutdowns or prolonged budget disputes may also delay FDA regulatory reviews, CMS rulemaking, or other agency actions critical to our product development timelines. The combination of trade policy uncertainty, capital market constraints, and regulatory unpredictability makes it difficult to accurately forecast and plan future business activities, and any of these factors could materially and adversely affect our business, financial condition, results of operations, and prospects.</w:t>
      </w:r>
    </w:p>
    <w:p>
      <w:pPr>
        <w:spacing w:after="0" w:line="201"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b w:val="1"/>
          <w:bCs w:val="1"/>
          <w:i w:val="1"/>
          <w:iCs w:val="1"/>
          <w:color w:val="auto"/>
        </w:rPr>
        <w:t>The issuance of additional stock in connection with financings, acquisitions, investments, our equity incentive plan or otherwise will dilute all other stockholders.</w:t>
      </w:r>
    </w:p>
    <w:p>
      <w:pPr>
        <w:spacing w:after="0" w:line="159"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Our certificate of incorporation authorizes us to issue up to 400,000,000 shares of common stock and up to 10,000,000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equity incentive plan or otherwise. Any such issuance could result in substantial dilution to our existing stockholders and cause the trading price of our common stock to decline.</w:t>
      </w:r>
    </w:p>
    <w:p>
      <w:pPr>
        <w:spacing w:after="0" w:line="18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b w:val="1"/>
          <w:bCs w:val="1"/>
          <w:i w:val="1"/>
          <w:iCs w:val="1"/>
          <w:color w:val="auto"/>
        </w:rPr>
        <w:t>Changes in tax laws or regulations that are applied adversely to us may have a material adverse effect on our business, cash flow, financial condition or results of operations.</w:t>
      </w:r>
    </w:p>
    <w:p>
      <w:pPr>
        <w:spacing w:after="0" w:line="157" w:lineRule="exact"/>
        <w:rPr>
          <w:sz w:val="20"/>
          <w:szCs w:val="20"/>
          <w:color w:val="auto"/>
        </w:rPr>
      </w:pPr>
    </w:p>
    <w:p>
      <w:pPr>
        <w:jc w:val="both"/>
        <w:ind w:firstLine="720"/>
        <w:spacing w:after="0" w:line="295"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The OBBBA, the Inflation Reduction Act enacted in 2022, the Coronavirus Aid, Relief, and Economic Security Act enacted in 2020, and the Tax Cuts and Jobs Act enacted in 2017 made many significant changes to the Code. Future guidance from the Internal Revenue Service and other tax authorities with respect to any legislation may affect us, and certain aspects of such legislation could be repealed or modified in future legislation or sunset in future years. In addition, it is uncertain if and to what extent various states will conform to newly enacted federal tax legislation. Changes in corporate tax rates, the realization of net deferred tax assets relating to our operations, the taxation of foreign earnings, and the deductibility of expenses could have a material</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720"/>
          </w:cols>
          <w:pgMar w:left="1080" w:top="1177" w:right="1080" w:bottom="0" w:gutter="0" w:footer="0" w:header="0"/>
          <w:type w:val="continuous"/>
        </w:sectPr>
      </w:pPr>
    </w:p>
    <w:bookmarkStart w:id="64" w:name="page65"/>
    <w:bookmarkEnd w:id="64"/>
    <w:p>
      <w:pPr>
        <w:jc w:val="both"/>
        <w:spacing w:after="0" w:line="278" w:lineRule="auto"/>
        <w:rPr>
          <w:sz w:val="20"/>
          <w:szCs w:val="20"/>
          <w:color w:val="auto"/>
        </w:rPr>
      </w:pPr>
      <w:r>
        <w:rPr>
          <w:rFonts w:ascii="Arial" w:cs="Arial" w:eastAsia="Arial" w:hAnsi="Arial"/>
          <w:sz w:val="20"/>
          <w:szCs w:val="20"/>
          <w:color w:val="auto"/>
        </w:rPr>
        <w:t>impact on the value of our deferred tax assets, could result in significant one-time charges, and could increase our future U.S. tax expense.</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9"/>
          <w:szCs w:val="19"/>
          <w:b w:val="1"/>
          <w:bCs w:val="1"/>
          <w:i w:val="1"/>
          <w:iCs w:val="1"/>
          <w:color w:val="auto"/>
        </w:rPr>
        <w:t>We incur significant costs and demands upon management as a result of being a public company.</w:t>
      </w:r>
    </w:p>
    <w:p>
      <w:pPr>
        <w:spacing w:after="0" w:line="241"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As a public company listed in the United States, we incur, and will continue to incur, particularly if we cease to qualify as a “smaller reporting company,” significant legal, accounting and other costs. These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77"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b w:val="1"/>
          <w:bCs w:val="1"/>
          <w:i w:val="1"/>
          <w:iCs w:val="1"/>
          <w:color w:val="auto"/>
        </w:rPr>
        <w:t>Artificial intelligence presents risks and challenges that can impact our business including by posing security risks to our confidential information, proprietary information, and personal data, and may subject us to evolving regulatory requirements.</w:t>
      </w:r>
    </w:p>
    <w:p>
      <w:pPr>
        <w:spacing w:after="0" w:line="179" w:lineRule="exact"/>
        <w:rPr>
          <w:sz w:val="20"/>
          <w:szCs w:val="20"/>
          <w:color w:val="auto"/>
        </w:rPr>
      </w:pPr>
    </w:p>
    <w:p>
      <w:pPr>
        <w:jc w:val="both"/>
        <w:ind w:firstLine="720"/>
        <w:spacing w:after="0" w:line="256" w:lineRule="auto"/>
        <w:rPr>
          <w:sz w:val="20"/>
          <w:szCs w:val="20"/>
          <w:color w:val="auto"/>
        </w:rPr>
      </w:pPr>
      <w:r>
        <w:rPr>
          <w:rFonts w:ascii="Arial" w:cs="Arial" w:eastAsia="Arial" w:hAnsi="Arial"/>
          <w:sz w:val="19"/>
          <w:szCs w:val="19"/>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A growing number of jurisdictions and regulators are adopting laws and regulations, as well as focusing enforcement efforts, related to artificial intelligence. The use of such technologies in compliance with ethical standards and societal expectations is also subject to increasing scrutiny.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European Union’s Artificial Intelligence Act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177"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Likewise, recent state legislative developments in the United States have introduced emerging compliance risks for companies that develop or deploy AI technologies, which may impose novel requirements on AI developers and users. These state-level initiatives reflect a growing trend toward AI regulation in the absence of federal legislation. As a result,</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720"/>
          </w:cols>
          <w:pgMar w:left="1080" w:top="1177" w:right="1080" w:bottom="0" w:gutter="0" w:footer="0" w:header="0"/>
          <w:type w:val="continuous"/>
        </w:sectPr>
      </w:pPr>
    </w:p>
    <w:bookmarkStart w:id="65" w:name="page66"/>
    <w:bookmarkEnd w:id="65"/>
    <w:p>
      <w:pPr>
        <w:jc w:val="both"/>
        <w:spacing w:after="0" w:line="276" w:lineRule="auto"/>
        <w:rPr>
          <w:sz w:val="20"/>
          <w:szCs w:val="20"/>
          <w:color w:val="auto"/>
        </w:rPr>
      </w:pPr>
      <w:r>
        <w:rPr>
          <w:rFonts w:ascii="Arial" w:cs="Arial" w:eastAsia="Arial" w:hAnsi="Arial"/>
          <w:sz w:val="18"/>
          <w:szCs w:val="18"/>
          <w:color w:val="auto"/>
        </w:rPr>
        <w:t>we may face a fragmented and evolving compliance landscape that could increase operational complexity, regulatory scrutiny, and legal exposure associated with the use or development of AI technologies.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4" w:lineRule="exact"/>
        <w:rPr>
          <w:sz w:val="20"/>
          <w:szCs w:val="20"/>
          <w:color w:val="auto"/>
        </w:rPr>
      </w:pPr>
    </w:p>
    <w:p>
      <w:pPr>
        <w:jc w:val="center"/>
        <w:ind w:right="7780"/>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230"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We rely on information technology and data to operate our business of developing product candidates and providing contract research services. Our critical information technology resources include computer networks and hardware, third party hosted services, communications systems and software, and critical data including confidential, personal, proprietary and sensitive data (collectively, “Information Assets”). To operate our business, we also utilize certain third-party service providers to perform a variety of functions, such as professional services, SaaS platforms, managed services, cloud-based infrastructure, encryption and authentication technology, corporate productivity services, contract research organizations, application providers, supply chain resources, and other functions. Accordingly, we have implemented and maintain certain risk assessment processes intended to identify cybersecurity threats, determine their likelihood of occurring, and assess and manage potential material impact to our business. We implement and maintain various information security and risk management processes designed to protect the confidentiality, integrity, and availability of our Information Assets and mitigate harm to our business.</w:t>
      </w:r>
    </w:p>
    <w:p>
      <w:pPr>
        <w:spacing w:after="0" w:line="177"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9"/>
          <w:szCs w:val="19"/>
          <w:color w:val="auto"/>
        </w:rPr>
        <w:t>We rely on a multidisciplinary team (including members from information technology (“IT”), which reports to our Chief Financial Officer, finance, and legal, as well as third party service providers as described further below) to identify, assess, and manage cybersecurity threats that could impact our business. We assess the likelihood that such threats could result in a material impact to our Information Assets, operations, ability to provide our services, core business functions, personnel, reputation and identified critical business objectives.</w:t>
      </w:r>
    </w:p>
    <w:p>
      <w:pPr>
        <w:spacing w:after="0" w:line="170"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Risks from cybersecurity threats are among those that we address in our general risk management program. We identify, assess, and manage such threats by, among other things, monitoring the threat environment using manual and automated tools, subscribing to reports and services that identify cybersecurity threats, analyzing reports of threats and threat actors, conducting scans of the threat environment, conducting vulnerability assessments, conducting audits, and conducting threat assessments for internal and external threats. We also engage third parties to conduct annual penetration tests and tabletop incident response exercises, as well as to provide threat and security risk assessments and intelligence feeds.</w:t>
      </w:r>
    </w:p>
    <w:p>
      <w:pPr>
        <w:spacing w:after="0" w:line="177"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0"/>
          <w:szCs w:val="20"/>
          <w:color w:val="auto"/>
        </w:rPr>
        <w:t>Based on our assessment process and depending on the environment, we implement and maintain various technical, physical and organizational measures, processes, standards and policies designed to manage and mitigate such risks and potential material impacts. These measures we implement for certain of our Information Assets include: policies and procedures designed to address cybersecurity threats, including an incident response plan; incident detection and response; risk assessments; background checks on our personnel; encryption of data; network security controls; data segregation; access controls; physical security; asset management, tracking and disposal; systems monitoring; employee security training; penetration testing; cyber insurance; and, as appropriate, inclusion of cybersecurity requirements in our contracts.</w:t>
      </w:r>
    </w:p>
    <w:p>
      <w:pPr>
        <w:spacing w:after="0" w:line="192"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Our assessment and management of material risks from cybersecurity threats are integrated into our overall risk management processes. For example, the IT department works with management to prioritize our risk management processes and mitigate cybersecurity threats that are more likely to lead to a material impact to our business.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720"/>
          </w:cols>
          <w:pgMar w:left="1080" w:top="1177" w:right="1080" w:bottom="0" w:gutter="0" w:footer="0" w:header="0"/>
          <w:type w:val="continuous"/>
        </w:sectPr>
      </w:pPr>
    </w:p>
    <w:bookmarkStart w:id="66" w:name="page67"/>
    <w:bookmarkEnd w:id="66"/>
    <w:p>
      <w:pPr>
        <w:jc w:val="both"/>
        <w:ind w:firstLine="720"/>
        <w:spacing w:after="0" w:line="252" w:lineRule="auto"/>
        <w:rPr>
          <w:sz w:val="20"/>
          <w:szCs w:val="20"/>
          <w:color w:val="auto"/>
        </w:rPr>
      </w:pPr>
      <w:r>
        <w:rPr>
          <w:rFonts w:ascii="Arial" w:cs="Arial" w:eastAsia="Arial" w:hAnsi="Arial"/>
          <w:sz w:val="20"/>
          <w:szCs w:val="20"/>
          <w:color w:val="auto"/>
        </w:rPr>
        <w:t>We work with third parties from time to time that assist us to identify, assess, and manage material risks from cybersecurity threats, including, for example, professional services firms (including legal counsel), threat intelligence service providers, cybersecurity consultants, cybersecurity software providers, managed cybersecurity service providers, and penetration testing firms.</w:t>
      </w:r>
    </w:p>
    <w:p>
      <w:pPr>
        <w:spacing w:after="0" w:line="184"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For a description of the risks from cybersecurity threats that may materially affect us and how they may do so, refer to “Item 1A. Risk factors” in this Annual Report, including “If our information technology systems or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5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Governance</w:t>
      </w:r>
    </w:p>
    <w:p>
      <w:pPr>
        <w:spacing w:after="0" w:line="231"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Our board of directors, through its Audit Committee, is responsible for overseeing the Company’s risk management strategy with respect to cybersecurity threats. The Audit Committee is responsible for overseeing the Company’s cybersecurity risk management processes, including oversight of mitigation of risks from cybersecurity threats.</w:t>
      </w:r>
    </w:p>
    <w:p>
      <w:pPr>
        <w:spacing w:after="0" w:line="184"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Our cybersecurity risk assessment and management processes are implemented and maintained by certain Company management, including our Chief Financial Officer who is supported by our IT department which includes personnel with experience overseeing and working with various cybersecurity tools. For example, our Senior Director of IT has over 20 years of experience in IT infrastructure and cybersecurity, with extensive expertise in security frameworks, regulatory compliance, and cloud infrastructure management.</w:t>
      </w:r>
    </w:p>
    <w:p>
      <w:pPr>
        <w:spacing w:after="0" w:line="187"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Our cybersecurity risk management strategy relies on input from management to help us understand cybersecurity risks, establish priorities, and determine the scope and details of our cybersecurity program and to implement it. Management, including our Chief Financial Officer, is responsible for approving budgets, helping prepare for cybersecurity incidents, approving cybersecurity processes, and reviewing security assessments and other security-related reports. Management, including our Chief Financial Officer and General Counsel, is also responsible for hiring appropriate personnel, engaging third party vendors, integrating cybersecurity considerations into the Company’s overall risk management strategy, approving cybersecurity policies and procedures, and overseeing employee training. Our cybersecurity incident response process involves members of management who also participate in our disclosure controls and procedures.</w:t>
      </w:r>
    </w:p>
    <w:p>
      <w:pPr>
        <w:spacing w:after="0" w:line="178"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Our cybersecurity incident response plan and information security incidence response procedures are designed to escalate certain cybersecurity incidents to members of IT, finance and legal, depending on the circumstances, who report to the Chief Financial Officer and the General Counsel. The Chief Financial Officer and the General Counsel work with our cybersecurity incident response team to help us mitigate and remediate cybersecurity incidents of which they are notified. In addition, our cybersecurity incident response plan includes reporting to the Audit Committee for certain cybersecurity incidents.</w:t>
      </w:r>
    </w:p>
    <w:p>
      <w:pPr>
        <w:spacing w:after="0" w:line="191"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Members of management meet periodically with the IT department to discuss cybersecurity risk and to review our cybersecurity program, and report to the Audit Committee. The Audit Committee holds meetings biannually to discuss cybersecurity issues, including our cybersecurity threats, and has a dedicated agenda during such meetings that is designed to assist the Audit Committee to exercise its oversight function. These meetings involve regular presentations and reports from management and third party providers, including updates of contemporary cybersecurity threats faced by us and steps we are taking to address them.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35"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We lease 11,564 square feet of office space for our headquarters in Wayne, Pennsylvania, under a lease agreement which has a term through February 2029.</w:t>
      </w:r>
    </w:p>
    <w:p>
      <w:pPr>
        <w:spacing w:after="0" w:line="159"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also sublease 20,433 square feet of office and laboratory space in St. Louis, Missouri, under a sublease agreement which has an initial term through May 2029. We have the option to extend the initial term for two additional five-year periods.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720"/>
          </w:cols>
          <w:pgMar w:left="1080" w:top="1177" w:right="1080" w:bottom="0" w:gutter="0" w:footer="0" w:header="0"/>
          <w:type w:val="continuous"/>
        </w:sectPr>
      </w:pPr>
    </w:p>
    <w:bookmarkStart w:id="67" w:name="page68"/>
    <w:bookmarkEnd w:id="67"/>
    <w:p>
      <w:pPr>
        <w:ind w:left="720"/>
        <w:spacing w:after="0"/>
        <w:rPr>
          <w:sz w:val="20"/>
          <w:szCs w:val="20"/>
          <w:color w:val="auto"/>
        </w:rPr>
      </w:pPr>
      <w:r>
        <w:rPr>
          <w:rFonts w:ascii="Arial" w:cs="Arial" w:eastAsia="Arial" w:hAnsi="Arial"/>
          <w:sz w:val="20"/>
          <w:szCs w:val="20"/>
          <w:color w:val="auto"/>
        </w:rPr>
        <w:t>We believe that our facilities are suitable and adequate to meet our current needs.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35"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From time to time we are subject to litigation and claims arising in the ordinary course of business. We are not currently a party to any material legal proceedings and we are not aware of any other pending or threatened legal proceedings against us that we believe could have a material adverse effect on our business, operating results, cash flows or financial condition.</w:t>
      </w:r>
    </w:p>
    <w:p>
      <w:pPr>
        <w:spacing w:after="0" w:line="180" w:lineRule="exact"/>
        <w:rPr>
          <w:sz w:val="20"/>
          <w:szCs w:val="20"/>
          <w:color w:val="auto"/>
        </w:rPr>
      </w:pPr>
    </w:p>
    <w:p>
      <w:pPr>
        <w:jc w:val="center"/>
        <w:ind w:right="7020"/>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720"/>
          </w:cols>
          <w:pgMar w:left="1080" w:top="1177" w:right="1080" w:bottom="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PART II</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Our common stock is listed on the Nasdaq Global Select Market under the symbol “ACRS.”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3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w:t>
      </w:r>
    </w:p>
    <w:p>
      <w:pPr>
        <w:spacing w:after="0" w:line="23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As of January 30, 2026, we had 120,595,189 shares of common stock outstanding held by 46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Parties</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34"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We are a smaller reporting company as defined by Rule 12b-2 of the Exchange Act and are not required to provide the information required by Item 201(e) of Regulation S-K.</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720"/>
          </w:cols>
          <w:pgMar w:left="1080" w:top="1173" w:right="1080" w:bottom="0"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36"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0"/>
          <w:szCs w:val="20"/>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Part I, Item 1A. “Risk Factors,” and “Special Note Regarding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We are a clinical-stage biopharmaceutical company focused on discovering and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 In addition, we provide contract research services to third parties enabled by our early-stage research and development expertise.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Financial Overview</w:t>
      </w:r>
    </w:p>
    <w:p>
      <w:pPr>
        <w:spacing w:after="0" w:line="234" w:lineRule="exact"/>
        <w:rPr>
          <w:sz w:val="20"/>
          <w:szCs w:val="20"/>
          <w:color w:val="auto"/>
        </w:rPr>
      </w:pPr>
    </w:p>
    <w:p>
      <w:pPr>
        <w:jc w:val="both"/>
        <w:ind w:firstLine="720"/>
        <w:spacing w:after="0" w:line="293" w:lineRule="auto"/>
        <w:rPr>
          <w:sz w:val="20"/>
          <w:szCs w:val="20"/>
          <w:color w:val="auto"/>
        </w:rPr>
      </w:pPr>
      <w:r>
        <w:rPr>
          <w:rFonts w:ascii="Arial" w:cs="Arial" w:eastAsia="Arial" w:hAnsi="Arial"/>
          <w:sz w:val="17"/>
          <w:szCs w:val="17"/>
          <w:color w:val="auto"/>
        </w:rPr>
        <w:t>Since our inception, we have incurred significant net losses. Our net loss was $64.9 million for the year ended December 31, 2025 and $132.1 million for the year ended December 31, 2024. As of December 31, 2025, we had an accumulated deficit of $967.8 million. We expect to incur significant expenses and operating losses for the foreseeable future as we advance our product candidates from discovery through preclinical and clinical development. In addition, our product candidates, even if they are approved by regulatory agencies for marketing, may not achieve commercial success. We may also not be successful in identifying and consummating transactions with third-party partners to further develop, obtain marketing approval for and/or commercialize our product candidates. Furthermore, we have incurred and expect to continue to incur significant costs associated with operating as a public company, including legal, accounting, investor relations and other expenses. As a result, we will need substantial additional funding to support our continuing operations.</w:t>
      </w:r>
    </w:p>
    <w:p>
      <w:pPr>
        <w:spacing w:after="0" w:line="153"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We have historically financed our operations primarily with sales of equity securities and non-dilutive financing. In the near term, we expect to finance our operations through these and other capital sources, including potential partnerships with other companies or other strategic transactions. We may be unable to raise additional funds or enter into such other agreements or arrangements when needed on commercially acceptable terms, or at all. If we fail to raise capital or enter into such agreements as, and when needed, we may have to significantly delay, scale back or discontinue the development of one or more of our product candidates.</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Impact of Macroeconomic Conditions on Our Business</w:t>
      </w:r>
    </w:p>
    <w:p>
      <w:pPr>
        <w:spacing w:after="0" w:line="234" w:lineRule="exact"/>
        <w:rPr>
          <w:sz w:val="20"/>
          <w:szCs w:val="20"/>
          <w:color w:val="auto"/>
        </w:rPr>
      </w:pPr>
    </w:p>
    <w:p>
      <w:pPr>
        <w:jc w:val="both"/>
        <w:ind w:firstLine="720"/>
        <w:spacing w:after="0" w:line="246" w:lineRule="auto"/>
        <w:rPr>
          <w:sz w:val="20"/>
          <w:szCs w:val="20"/>
          <w:color w:val="auto"/>
        </w:rPr>
      </w:pPr>
      <w:r>
        <w:rPr>
          <w:rFonts w:ascii="Arial" w:cs="Arial" w:eastAsia="Arial" w:hAnsi="Arial"/>
          <w:sz w:val="20"/>
          <w:szCs w:val="20"/>
          <w:color w:val="auto"/>
        </w:rPr>
        <w:t>Unfavorable conditions in the economy both in the United States and abroad may negatively affect the growth of our business and our results of operations. For example, macroeconomic events, including inflationary pressure, tariff policies, and geopolitical conflicts,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Acquisition and License Agreements</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Exclusive License Agreement with Biosion</w:t>
      </w:r>
    </w:p>
    <w:p>
      <w:pPr>
        <w:spacing w:after="0" w:line="229"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In November 2024, we entered into an exclusive license agreement (the “Biosion Agreement”) with Biosion, Inc. (“Biosion”) pursuant to which we received the exclusive rights to develop, manufacture and commercialize bosakitug (ATI-045) and ATI-052 worldwide, excluding Mainland China, Macau, Hong Kong and Taiwan (“Greater China”). In</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720"/>
          </w:cols>
          <w:pgMar w:left="1080" w:top="1173" w:right="1080" w:bottom="0" w:gutter="0" w:footer="0" w:header="0"/>
          <w:type w:val="continuous"/>
        </w:sectPr>
      </w:pPr>
    </w:p>
    <w:bookmarkStart w:id="70" w:name="page71"/>
    <w:bookmarkEnd w:id="70"/>
    <w:p>
      <w:pPr>
        <w:jc w:val="both"/>
        <w:spacing w:after="0" w:line="259" w:lineRule="auto"/>
        <w:rPr>
          <w:sz w:val="20"/>
          <w:szCs w:val="20"/>
          <w:color w:val="auto"/>
        </w:rPr>
      </w:pPr>
      <w:r>
        <w:rPr>
          <w:rFonts w:ascii="Arial" w:cs="Arial" w:eastAsia="Arial" w:hAnsi="Arial"/>
          <w:sz w:val="20"/>
          <w:szCs w:val="20"/>
          <w:color w:val="auto"/>
        </w:rPr>
        <w:t>connection with the Biosion Agreement, we also entered into a collaboration agreement (the “CTTQ Agreement”, and together with the Biosion Agreement, the “Biosion Agreements”) with Biosion and Chia Tai Tianqing Pharmaceutical Group, Co., Ltd. (“CTTQ”), a licensee of bosakitug in Greater China.</w:t>
      </w:r>
    </w:p>
    <w:p>
      <w:pPr>
        <w:spacing w:after="0" w:line="146" w:lineRule="exact"/>
        <w:rPr>
          <w:sz w:val="20"/>
          <w:szCs w:val="20"/>
          <w:color w:val="auto"/>
        </w:rPr>
      </w:pPr>
    </w:p>
    <w:p>
      <w:pPr>
        <w:jc w:val="both"/>
        <w:ind w:firstLine="720"/>
        <w:spacing w:after="0" w:line="282" w:lineRule="auto"/>
        <w:rPr>
          <w:sz w:val="20"/>
          <w:szCs w:val="20"/>
          <w:color w:val="auto"/>
        </w:rPr>
      </w:pPr>
      <w:r>
        <w:rPr>
          <w:rFonts w:ascii="Arial" w:cs="Arial" w:eastAsia="Arial" w:hAnsi="Arial"/>
          <w:sz w:val="18"/>
          <w:szCs w:val="18"/>
          <w:color w:val="auto"/>
        </w:rPr>
        <w:t>As partial consideration for the rights and licenses under the Biosion Agreements, we, in the aggregate, (i) paid $30.0 million in upfront cash consideration, plus $4.5 million for the reimbursement of certain development costs,</w:t>
      </w:r>
    </w:p>
    <w:p>
      <w:pPr>
        <w:spacing w:after="0" w:line="1" w:lineRule="exact"/>
        <w:rPr>
          <w:sz w:val="20"/>
          <w:szCs w:val="20"/>
          <w:color w:val="auto"/>
        </w:rPr>
      </w:pPr>
    </w:p>
    <w:p>
      <w:pPr>
        <w:jc w:val="both"/>
        <w:ind w:firstLine="7"/>
        <w:spacing w:after="0" w:line="259" w:lineRule="auto"/>
        <w:tabs>
          <w:tab w:leader="none" w:pos="295" w:val="left"/>
        </w:tabs>
        <w:numPr>
          <w:ilvl w:val="0"/>
          <w:numId w:val="38"/>
        </w:numPr>
        <w:rPr>
          <w:rFonts w:ascii="Arial" w:cs="Arial" w:eastAsia="Arial" w:hAnsi="Arial"/>
          <w:sz w:val="19"/>
          <w:szCs w:val="19"/>
          <w:color w:val="auto"/>
        </w:rPr>
      </w:pPr>
      <w:r>
        <w:rPr>
          <w:rFonts w:ascii="Arial" w:cs="Arial" w:eastAsia="Arial" w:hAnsi="Arial"/>
          <w:sz w:val="19"/>
          <w:szCs w:val="19"/>
          <w:color w:val="auto"/>
        </w:rPr>
        <w:t>issued warrants (the “Warrants”) to purchase 14,281,985 shares of our common stock and (iii) paid $6.2 million for the reimbursement of certain development costs and drug product material. We made cash payments of $6.2 million and $34.5 million as set forth in the Biosion Agreements during the years ended December 31, 2025 and 2024, respectively. As of December 31, 2025, 3,000,000 Warrants remained unexercised.</w:t>
      </w:r>
    </w:p>
    <w:p>
      <w:pPr>
        <w:spacing w:after="0" w:line="148" w:lineRule="exact"/>
        <w:rPr>
          <w:sz w:val="20"/>
          <w:szCs w:val="20"/>
          <w:color w:val="auto"/>
        </w:rPr>
      </w:pPr>
    </w:p>
    <w:p>
      <w:pPr>
        <w:jc w:val="both"/>
        <w:ind w:firstLine="720"/>
        <w:spacing w:after="0" w:line="300" w:lineRule="auto"/>
        <w:rPr>
          <w:sz w:val="20"/>
          <w:szCs w:val="20"/>
          <w:color w:val="auto"/>
        </w:rPr>
      </w:pPr>
      <w:r>
        <w:rPr>
          <w:rFonts w:ascii="Arial" w:cs="Arial" w:eastAsia="Arial" w:hAnsi="Arial"/>
          <w:sz w:val="17"/>
          <w:szCs w:val="17"/>
          <w:color w:val="auto"/>
        </w:rPr>
        <w:t>In addition, we agreed to pay, in the aggregate, (i) up to $125 million upon the achievement of specified regulatory milestones commencing with product approval, (ii) up to $795 million upon the achievement of specified sales milestones,</w:t>
      </w:r>
    </w:p>
    <w:p>
      <w:pPr>
        <w:jc w:val="both"/>
        <w:ind w:firstLine="7"/>
        <w:spacing w:after="0" w:line="300" w:lineRule="auto"/>
        <w:tabs>
          <w:tab w:leader="none" w:pos="348"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tiered low-to-mid single digit royalty based upon a percentage of annual net sales, subject to specified reductions as set forth in the Biosion Agreement, and (iv) a portion of any sublicense consideration received from the grant of any sublicense or similar rights under any of the rights or licenses granted to us under the Biosion Agreement. We will expense these payments in the period when either they are determined to be probable of occurring or when the payment is triggered.</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Royalty Purchase Agreement with OCM IP Healthcare Portfolio LP</w:t>
      </w:r>
    </w:p>
    <w:p>
      <w:pPr>
        <w:spacing w:after="0" w:line="230"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8"/>
          <w:szCs w:val="18"/>
          <w:color w:val="auto"/>
        </w:rPr>
        <w:t>In July 2024, we entered into a royalty purchase agreement with OCM IP Healthcare Portfolio LP, an investment vehicle for Ontario Municipal Employees Retirement System (“OMERS”). Under the royalty purchase agreement, we sold to OMERS a portion of the future royalty payments and the remaining anniversary payments associated with our existing license to Eli Lilly and Company (“Lilly”), relating to OLUMIANT® (baricitinib) for the treatment of alopecia areata (see “—License Agreement with Eli Lilly and Company”). Under the terms of the royalty purchase agreement, we received an upfront payment of $26.5 million. In exchange, OMERS acquired a portion of the royalty payable by Lilly to us for worldwide net sales of OLUMIANT for the treatment of alopecia areata from April 1, 2024 through the remainder of the royalty term under our license agreement with Lilly, and 100% of the remaining anniversary milestone payments payable by Lilly to us under the license agreement. The royalty payments and milestones we sold to OMERS represent our entire financial interest in the Lilly license agreement after taking into account our other contractual third-party obligations.</w:t>
      </w:r>
    </w:p>
    <w:p>
      <w:pPr>
        <w:spacing w:after="0" w:line="167"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We recognized $3.8 million and $1.9 million of non-cash royalty income during the years ended December 31, 2025 and 2024, respectively.</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License Agreement with Sun Pharmaceutical Industries, Inc.</w:t>
      </w:r>
    </w:p>
    <w:p>
      <w:pPr>
        <w:spacing w:after="0" w:line="231"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In December 2023, we entered into an exclusive patent license agreement with Sun Pharmaceutical Industries, Inc. (“Sun Pharma”). Under the license agreement, we granted Sun Pharma exclusive rights under certain patents that we exclusively license from a third party. The patents relate to the use of deuruxolitinib, Sun Pharma’s JAK inhibitor, or other isotopic forms of ruxolitinib, to treat alopecia areata or androgenetic alopecia. Under the license agreement, Sun Pharma has paid us upfront, regulatory and commercial milestone payments, and has agreed to pay us other regulatory and commercial milestone payments upon the achievement of specified milestones set forth in the agreement, and a mid single-digit tiered royalty calculated as a percentage of Sun Pharma’s net sales. We have separate contractual obligations under which we have agreed to pay to third parties a portion of the consideration we may receive under the license agreement. We may seek to monetize this asset.</w:t>
      </w:r>
    </w:p>
    <w:p>
      <w:pPr>
        <w:spacing w:after="0" w:line="178"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We recognized $1.2 million and $ 3.0 million of licensing revenue during the years ended December 31, 2025 and 2024, respectively, a portion of which was payable to third parties.</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License Agreement with Pediatrix Therapeutics, Inc.</w:t>
      </w:r>
    </w:p>
    <w:p>
      <w:pPr>
        <w:spacing w:after="0" w:line="280" w:lineRule="exact"/>
        <w:rPr>
          <w:sz w:val="20"/>
          <w:szCs w:val="20"/>
          <w:color w:val="auto"/>
        </w:rPr>
      </w:pPr>
    </w:p>
    <w:p>
      <w:pPr>
        <w:jc w:val="both"/>
        <w:ind w:firstLine="720"/>
        <w:spacing w:after="0" w:line="283" w:lineRule="auto"/>
        <w:rPr>
          <w:sz w:val="20"/>
          <w:szCs w:val="20"/>
          <w:color w:val="auto"/>
        </w:rPr>
      </w:pPr>
      <w:r>
        <w:rPr>
          <w:rFonts w:ascii="Arial" w:cs="Arial" w:eastAsia="Arial" w:hAnsi="Arial"/>
          <w:sz w:val="18"/>
          <w:szCs w:val="18"/>
          <w:color w:val="auto"/>
        </w:rPr>
        <w:t>In November 2022, we entered into a license agreement with Pediatrix Therapeutics, Inc. (“Pediatrix”) under which we granted Pediatrix the exclusive rights to develop, manufacture and commercialize lepzacitinib in Greater China. Pediatrix has paid us an upfront payment, and has agreed to pay us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720"/>
          </w:cols>
          <w:pgMar w:left="1080" w:top="1177" w:right="1080" w:bottom="0" w:gutter="0" w:footer="0" w:header="0"/>
          <w:type w:val="continuous"/>
        </w:sectPr>
      </w:pPr>
    </w:p>
    <w:bookmarkStart w:id="71" w:name="page72"/>
    <w:bookmarkEnd w:id="71"/>
    <w:p>
      <w:pPr>
        <w:jc w:val="both"/>
        <w:spacing w:after="0" w:line="278" w:lineRule="auto"/>
        <w:rPr>
          <w:sz w:val="20"/>
          <w:szCs w:val="20"/>
          <w:color w:val="auto"/>
        </w:rPr>
      </w:pPr>
      <w:r>
        <w:rPr>
          <w:rFonts w:ascii="Arial" w:cs="Arial" w:eastAsia="Arial" w:hAnsi="Arial"/>
          <w:sz w:val="20"/>
          <w:szCs w:val="20"/>
          <w:color w:val="auto"/>
        </w:rPr>
        <w:t>received from Pediatrix is payable to the former Confluence (as defined below) equity holders as described below under the caption “—Agreement and Plan of Merger with Confluence.”</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License Agreement with Eli Lilly and Company</w:t>
      </w:r>
    </w:p>
    <w:p>
      <w:pPr>
        <w:spacing w:after="0" w:line="231"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In August 2022, we entered into a non-exclusive patent license agreement with Lilly. Under the license agreement, we granted Lilly non-exclusive rights under certain patents and patent applications that we exclusively license from a third party. The patents and patent applications relate to the use of baricitinib, Lilly’s JAK inhibitor, to treat alopecia areata. Under the license agreement, Lilly has paid us upfront, anniversary, regulatory and commercial milestone payments. In addition, Lilly has agreed to pay us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We have separate contractual obligations under which we have agreed to pay to third parties an amount equal to any regulatory and commercial milestone payments we receive under the Lilly license agreement, as well as a portion of the upfront consideration and a portion of the royalties we may receive under the license agreement. In July 2024, we entered into a royalty purchase agreement with OMERS pursuant to which we sold to OMERS a portion of our future royalty payments and the remaining anniversary milestones associated with the license to Lilly (see “—Royalty Purchase Agreement with OCM IP Healthcare Portfolio LP” above).</w:t>
      </w:r>
    </w:p>
    <w:p>
      <w:pPr>
        <w:spacing w:after="0" w:line="179"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recognized $4.8 million of licensing revenue during the year ended December 31, 2025, all of which was payable to third parties. We recognized $13.2 million of licensing revenue during the year ended December 31, 2024, a portion of which was payable to third parties.</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Asset Purchase Agreement with EPI Health, LLC</w:t>
      </w:r>
    </w:p>
    <w:p>
      <w:pPr>
        <w:spacing w:after="0" w:line="230"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In October 2019, we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our asset purchase agreement with EPI Health and the outstanding amounts due. The sale was approved by the bankruptcy court in September 2023. As a result of the bankruptcy proceedings, all amounts that were due and outstanding by EPI Health had been fully reserved. In September 2025, we sold all of our right, title and interest in our bankruptcy claims against EPI Health and wrote off the remaining reserved balance as it was deemed uncollectible.</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Agreement and Plan of Merger with Confluence</w:t>
      </w:r>
    </w:p>
    <w:p>
      <w:pPr>
        <w:spacing w:after="0" w:line="228"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In 2017, we entered into an Agreement and Plan of Merger (the “Confluence Agreement”) with Confluence Life Sciences, Inc. (now known as Aclaris Life Sciences, Inc.) (“Confluence”), Aclaris Life Sciences, Inc., our wholly owned subsidiary (“Merger Sub”), and Fortis Advisors LLC, as representative of the equity holders of Confluence. Pursuant to the terms of the Confluence Agreement, Merger Sub merged with and into Confluence, with Confluence surviving as our wholly owned subsidiary.</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Under the Confluence Agreement, we agreed to pay the former Confluence equity holders aggregate remaining contingent consideration of up to $75.0 million based upon the achievement of specified regulatory and commercial milestones set forth in the Confluence Agreement. In addition, we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 -product basis or, in specified circumstances, ten years from the first commercial sale of such product. In addition to the payments described above, if we sell, license or transfer any of the intellectual property acquired from Confluence pursuant to the Confluence Agreement to a third party, we will be obligated to pay the former Confluence equity holders a portion of any consideration received from such sale, license or transfer in specified circumstances.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Restructuring</w:t>
      </w:r>
    </w:p>
    <w:p>
      <w:pPr>
        <w:spacing w:after="0" w:line="235" w:lineRule="exact"/>
        <w:rPr>
          <w:sz w:val="20"/>
          <w:szCs w:val="20"/>
          <w:color w:val="auto"/>
        </w:rPr>
      </w:pPr>
    </w:p>
    <w:p>
      <w:pPr>
        <w:jc w:val="both"/>
        <w:ind w:firstLine="720"/>
        <w:spacing w:after="0" w:line="368" w:lineRule="auto"/>
        <w:rPr>
          <w:sz w:val="20"/>
          <w:szCs w:val="20"/>
          <w:color w:val="auto"/>
        </w:rPr>
      </w:pPr>
      <w:r>
        <w:rPr>
          <w:rFonts w:ascii="Arial" w:cs="Arial" w:eastAsia="Arial" w:hAnsi="Arial"/>
          <w:sz w:val="17"/>
          <w:szCs w:val="17"/>
          <w:color w:val="auto"/>
        </w:rPr>
        <w:t>In December 2023, our board of directors approved a reduction of our workforce by approximately 46%, which was completed as of December 31, 2024. During the year ended December 31, 2025, we made cash severance payments</w:t>
      </w:r>
    </w:p>
    <w:p>
      <w:pPr>
        <w:sectPr>
          <w:pgSz w:w="11880" w:h="15480" w:orient="portrait"/>
          <w:cols w:equalWidth="0" w:num="1">
            <w:col w:w="9720"/>
          </w:cols>
          <w:pgMar w:left="1080" w:top="1177" w:right="1080" w:bottom="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720"/>
          </w:cols>
          <w:pgMar w:left="1080" w:top="1177" w:right="1080" w:bottom="0" w:gutter="0" w:footer="0" w:header="0"/>
          <w:type w:val="continuous"/>
        </w:sectPr>
      </w:pPr>
    </w:p>
    <w:bookmarkStart w:id="72" w:name="page73"/>
    <w:bookmarkEnd w:id="72"/>
    <w:p>
      <w:pPr>
        <w:jc w:val="both"/>
        <w:spacing w:after="0" w:line="278" w:lineRule="auto"/>
        <w:rPr>
          <w:sz w:val="20"/>
          <w:szCs w:val="20"/>
          <w:color w:val="auto"/>
        </w:rPr>
      </w:pPr>
      <w:r>
        <w:rPr>
          <w:rFonts w:ascii="Arial" w:cs="Arial" w:eastAsia="Arial" w:hAnsi="Arial"/>
          <w:sz w:val="20"/>
          <w:szCs w:val="20"/>
          <w:color w:val="auto"/>
        </w:rPr>
        <w:t>of $0.2 million to impacted employees. During the year ended December 31, 2024, we recognized severance expense of $2.7 million and made cash severance payments of $5.6 million to impacted employees.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Our Results of Operations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Revenue</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Contract Research</w:t>
      </w:r>
    </w:p>
    <w:p>
      <w:pPr>
        <w:spacing w:after="0" w:line="230"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earn revenue from the provision of laboratory services. Contract research revenue is generally evidenced by contracts with clients which are on an agreed upon fixed-price, fee-for-service basis and are generally billed on a monthly basis in arrears for services rendered.</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Licensing</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Licensing revenue primarily consists of upfront consideration, royalties and milestone payments earned pursuant to license and acquisition agreements with third parties, as described above.</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Cost and Expenses</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Cost of Revenue</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Cost of revenue consists of the costs incurred in connection with the provision of contract research services. Cost of revenue primarily includes:</w:t>
      </w:r>
    </w:p>
    <w:p>
      <w:pPr>
        <w:spacing w:after="0" w:line="172" w:lineRule="exact"/>
        <w:rPr>
          <w:sz w:val="20"/>
          <w:szCs w:val="20"/>
          <w:color w:val="auto"/>
        </w:rPr>
      </w:pPr>
    </w:p>
    <w:p>
      <w:pPr>
        <w:ind w:left="1080" w:hanging="353"/>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employee-related expenses, which include salaries, benefits and stock-based compensation;</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outsourced professional scientific services;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depreciation of laboratory equipment;</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facility-related costs; and</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laboratory materials and supplies used to support the services provided.</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30" w:lineRule="exact"/>
        <w:rPr>
          <w:sz w:val="20"/>
          <w:szCs w:val="20"/>
          <w:color w:val="auto"/>
        </w:rPr>
      </w:pPr>
    </w:p>
    <w:p>
      <w:pPr>
        <w:ind w:firstLine="720"/>
        <w:spacing w:after="0" w:line="278" w:lineRule="auto"/>
        <w:rPr>
          <w:sz w:val="20"/>
          <w:szCs w:val="20"/>
          <w:color w:val="auto"/>
        </w:rPr>
      </w:pPr>
      <w:r>
        <w:rPr>
          <w:rFonts w:ascii="Arial" w:cs="Arial" w:eastAsia="Arial" w:hAnsi="Arial"/>
          <w:sz w:val="20"/>
          <w:szCs w:val="20"/>
          <w:color w:val="auto"/>
        </w:rPr>
        <w:t>Research and development expenses consist of expenses incurred in connection with the discovery and development of our product candidates. These expenses primarily include:</w:t>
      </w:r>
    </w:p>
    <w:p>
      <w:pPr>
        <w:spacing w:after="0" w:line="170" w:lineRule="exact"/>
        <w:rPr>
          <w:sz w:val="20"/>
          <w:szCs w:val="20"/>
          <w:color w:val="auto"/>
        </w:rPr>
      </w:pPr>
    </w:p>
    <w:p>
      <w:pPr>
        <w:ind w:left="1080" w:hanging="353"/>
        <w:spacing w:after="0" w:line="28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(“CROs”), as well as clinical trial sites and consultants that conduct our clinical trials and preclinical studies, and investigator-initiated trials;</w:t>
      </w:r>
    </w:p>
    <w:p>
      <w:pPr>
        <w:ind w:left="1080" w:hanging="353"/>
        <w:spacing w:after="0" w:line="260" w:lineRule="auto"/>
        <w:tabs>
          <w:tab w:leader="none" w:pos="10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manufacturing scale-up expenses and the cost of acquiring and manufacturing active pharmaceutical ingredients and preclinical and clinical trial materials, including domestic technology transfer expenses;</w:t>
      </w:r>
    </w:p>
    <w:p>
      <w:pPr>
        <w:ind w:left="1080" w:hanging="353"/>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quality assurance and quality control costs;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outsourced professional scientific development services;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medical affairs expenses related to our product candidates;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employee-related expenses, which include salaries, benefits and stock-based compensation;</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expenses relating to regulatory activities, including filing fees paid to regulatory agencies; and</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laboratory materials and supplies used to support our research activities.</w:t>
      </w:r>
    </w:p>
    <w:p>
      <w:pPr>
        <w:spacing w:after="0" w:line="208" w:lineRule="exact"/>
        <w:rPr>
          <w:sz w:val="20"/>
          <w:szCs w:val="20"/>
          <w:color w:val="auto"/>
        </w:rPr>
      </w:pPr>
    </w:p>
    <w:p>
      <w:pPr>
        <w:jc w:val="both"/>
        <w:ind w:firstLine="720"/>
        <w:spacing w:after="0" w:line="295"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in the near term as we continue the development of our product candidates and pursue our discovery programs. We expense research and development costs as incurred. Our direct research and development expenses primarily consist of external costs including fees paid to CROs, consultants, clinical trial sites, regulatory agencies and third parties that manufacture our preclinical and clinical trial materials and are tracked on a program-by-program basis. We do not allocate personnel costs or other indirect expenses to specific research and development programs.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720"/>
          </w:cols>
          <w:pgMar w:left="1080" w:top="1177" w:right="1080" w:bottom="0" w:gutter="0" w:footer="0" w:header="0"/>
          <w:type w:val="continuous"/>
        </w:sectPr>
      </w:pPr>
    </w:p>
    <w:bookmarkStart w:id="73" w:name="page74"/>
    <w:bookmarkEnd w:id="73"/>
    <w:p>
      <w:pPr>
        <w:jc w:val="both"/>
        <w:ind w:firstLine="720"/>
        <w:spacing w:after="0" w:line="266" w:lineRule="auto"/>
        <w:rPr>
          <w:sz w:val="20"/>
          <w:szCs w:val="20"/>
          <w:color w:val="auto"/>
        </w:rPr>
      </w:pPr>
      <w:r>
        <w:rPr>
          <w:rFonts w:ascii="Arial" w:cs="Arial" w:eastAsia="Arial" w:hAnsi="Arial"/>
          <w:sz w:val="19"/>
          <w:szCs w:val="19"/>
          <w:color w:val="auto"/>
        </w:rPr>
        <w:t>The successful development of our product candidates is highly uncertain. We cannot reasonably estimate or know the nature, timing and costs of the efforts that will be necessary to complete the remainder of the development of, or when, if ever, material net cash inflows may commence from any of our product candidates. This uncertainty is due to the numerous risks and uncertainties associated with the duration and cost of discovery, as well as clinical trials, which vary significantly over the life of a project as a result of many factors, including:</w:t>
      </w:r>
    </w:p>
    <w:p>
      <w:pPr>
        <w:spacing w:after="0" w:line="184" w:lineRule="exact"/>
        <w:rPr>
          <w:sz w:val="20"/>
          <w:szCs w:val="20"/>
          <w:color w:val="auto"/>
        </w:rPr>
      </w:pPr>
    </w:p>
    <w:p>
      <w:pPr>
        <w:ind w:left="1080" w:hanging="353"/>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number of clinical sites included in the trials;</w:t>
      </w:r>
    </w:p>
    <w:p>
      <w:pPr>
        <w:spacing w:after="0" w:line="36" w:lineRule="exact"/>
        <w:rPr>
          <w:rFonts w:ascii="Arial" w:cs="Arial" w:eastAsia="Arial" w:hAnsi="Arial"/>
          <w:sz w:val="20"/>
          <w:szCs w:val="20"/>
          <w:color w:val="auto"/>
        </w:rPr>
      </w:pPr>
    </w:p>
    <w:p>
      <w:pPr>
        <w:ind w:left="1080" w:hanging="353"/>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length of time required to enroll suitable subjects;</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number of subjects that ultimately participate in the trials;</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number of doses subjects receive;</w:t>
      </w:r>
    </w:p>
    <w:p>
      <w:pPr>
        <w:spacing w:after="0" w:line="14" w:lineRule="exact"/>
        <w:rPr>
          <w:rFonts w:ascii="Arial" w:cs="Arial" w:eastAsia="Arial" w:hAnsi="Arial"/>
          <w:sz w:val="20"/>
          <w:szCs w:val="20"/>
          <w:color w:val="auto"/>
        </w:rPr>
      </w:pPr>
    </w:p>
    <w:p>
      <w:pPr>
        <w:ind w:left="1080" w:hanging="353"/>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duration of treatment and subject follow-up; and</w:t>
      </w:r>
    </w:p>
    <w:p>
      <w:pPr>
        <w:spacing w:after="0" w:line="13" w:lineRule="exact"/>
        <w:rPr>
          <w:rFonts w:ascii="Arial" w:cs="Arial" w:eastAsia="Arial" w:hAnsi="Arial"/>
          <w:sz w:val="20"/>
          <w:szCs w:val="20"/>
          <w:color w:val="auto"/>
        </w:rPr>
      </w:pPr>
    </w:p>
    <w:p>
      <w:pPr>
        <w:ind w:left="1080" w:hanging="353"/>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results of our clinical trials.</w:t>
      </w:r>
    </w:p>
    <w:p>
      <w:pPr>
        <w:spacing w:after="0" w:line="208"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Our expenditures are subject to additional uncertainties, including the preparation of regulatory filings for our product candidates. We may obtain unexpected results from our clinical trials or other development activities. We may elect to discontinue, delay or modify the development, including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231"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General and administrative expenses consist principally of salaries and related costs, including stock-based compensation, for personnel in executive, administrative, finance, and legal functions. General and administrative expenses also include facility-related costs, patent filing and prosecution costs, professional fees for legal, auditing and tax services, investor relations costs, business development costs, insurance costs, and travel expenses.</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Licensing</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Licensing expenses consist of third-party contractual obligations incurred under license and acquisition agreements with third parties, as described above.</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Revaluation of Contingent Consideration</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Revaluation of contingent consideration consists of changes in the fair value of our contingent consideration liability between reporting dates, as described below.</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In-process Research and Development</w:t>
      </w:r>
    </w:p>
    <w:p>
      <w:pPr>
        <w:spacing w:after="0" w:line="231"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In -process research and development (“IPR&amp;D”) consists of expenses related to in-licensed assets with no future alternative use.</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Other Income</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Interest Income</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Interest income primarily consists of interest earned on our cash, cash equivalents and marketable securities.</w:t>
      </w:r>
    </w:p>
    <w:p>
      <w:pPr>
        <w:spacing w:after="0" w:line="253"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Non-cash Royalty Income</w:t>
      </w:r>
    </w:p>
    <w:p>
      <w:pPr>
        <w:spacing w:after="0" w:line="231"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Non-cash royalty income includes income related to the proceeds from the sale of future royalties to OMERS, recognized under the “units-of-revenue” method.</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720"/>
          </w:cols>
          <w:pgMar w:left="1080" w:top="1177" w:right="108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34"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judgments that affect the reported amounts of assets and liabilities, the disclosure of contingent assets and liabilities at the date of the financial statements, and the reported amounts of expenses during the reported period.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spacing w:after="0" w:line="166"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Contingent Consideration</w:t>
      </w:r>
    </w:p>
    <w:p>
      <w:pPr>
        <w:spacing w:after="0" w:line="234"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We record a contingent consideration liability related to future potential payments resulting from the acquisition of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These assumptions are considered Level 3 inputs. Revaluation of our contingent consideration liability can result from changes to one or more of these assumptions. These assumptions are highly dependent on the outcome and timing of the development of certain of our product candidates. We evaluate the fair value estimate of our contingent consideration liability on a quarterly basis with changes, if any, recorded as income or expense in our consolidated statement of operations and comprehensive loss. Any such changes could have a material impact on our financial results.</w:t>
      </w:r>
    </w:p>
    <w:p>
      <w:pPr>
        <w:spacing w:after="0" w:line="164"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our estimates include the probability of achieving regulatory milestones and commencing commercialization (collectively referred to as “probability of success”), which are based on an asset’s current stage of development and a review of existing clinical data. Probability of success assumptions ranged between 21% and 40% at December 31, 2025. Additionally, estimated future sales levels and the risk-adjusted discount rate applied to the potential payments are also significant assumptions used in calculating the fair value. As of December 31, 2025, the discount rate ranged between 6.7% and 8.7% depending on the year of each potential payment.</w:t>
      </w:r>
    </w:p>
    <w:p>
      <w:pPr>
        <w:spacing w:after="0" w:line="166"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During the year ended December 31, 2025, we adjusted the probability of success for certain product candidates. This change and the passage of time resulted in an overall increase of $2.3 million in contingent consideration liability during the year ended December 31, 2025.</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Stock-Based Compensation</w:t>
      </w:r>
    </w:p>
    <w:p>
      <w:pPr>
        <w:spacing w:after="0" w:line="235"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We measure the compensation expense of stock-based awards granted to employees and directors using the grant date fair value of the award. We have issued stock options and restricted stock unit (“RSU”) awards with service-based vesting conditions. For service-based awards, we recognize stock-based compensation expense on a straight-line basis over the requisite service period. The impact of forfeitures is recognized in the period in which they occur.</w:t>
      </w:r>
    </w:p>
    <w:p>
      <w:pPr>
        <w:spacing w:after="0" w:line="153"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measure the compensation expense of stock-based awards granted to consultants using the grant date fair value of the award. We recognize compensation expense over the period during which services are rendered by the consultant.</w:t>
      </w:r>
    </w:p>
    <w:p>
      <w:pPr>
        <w:spacing w:after="0" w:line="179"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We estimate the fair value of each stock option grant using the Black-Scholes option-pricing model. We estimate expected volatility based on our stock price’s historical volatility, as we have determined that we have adequate historical data regarding the volatility of our own publicly-traded stock price. The expected term of our stock options has been determined using the “simplified” method for awards that qualify as “plain vanilla” options. The expected term of stock</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720"/>
          </w:cols>
          <w:pgMar w:left="1080" w:top="1173" w:right="1080" w:bottom="0" w:gutter="0" w:footer="0" w:header="0"/>
          <w:type w:val="continuous"/>
        </w:sectPr>
      </w:pPr>
    </w:p>
    <w:bookmarkStart w:id="75" w:name="page76"/>
    <w:bookmarkEnd w:id="75"/>
    <w:p>
      <w:pPr>
        <w:jc w:val="both"/>
        <w:spacing w:after="0" w:line="270" w:lineRule="auto"/>
        <w:rPr>
          <w:sz w:val="20"/>
          <w:szCs w:val="20"/>
          <w:color w:val="auto"/>
        </w:rPr>
      </w:pPr>
      <w:r>
        <w:rPr>
          <w:rFonts w:ascii="Arial" w:cs="Arial" w:eastAsia="Arial" w:hAnsi="Arial"/>
          <w:sz w:val="19"/>
          <w:szCs w:val="19"/>
          <w:color w:val="auto"/>
        </w:rPr>
        <w:t>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We use an expected dividend yield of zero because we have not paid cash dividends to date and have no intention of paying cash dividends in the future.</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9"/>
          <w:szCs w:val="19"/>
          <w:color w:val="auto"/>
        </w:rPr>
        <w:t>The fair value of each RSU is measured using the closing price of our common stock on the date of grant.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Years Ended December 31, 2025 and 2024</w:t>
      </w:r>
    </w:p>
    <w:p>
      <w:pPr>
        <w:spacing w:after="0" w:line="248" w:lineRule="exact"/>
        <w:rPr>
          <w:sz w:val="20"/>
          <w:szCs w:val="20"/>
          <w:color w:val="auto"/>
        </w:rPr>
      </w:pPr>
    </w:p>
    <w:p>
      <w:pPr>
        <w:spacing w:after="0"/>
        <w:rPr>
          <w:sz w:val="20"/>
          <w:szCs w:val="20"/>
          <w:color w:val="auto"/>
        </w:rPr>
      </w:pPr>
      <w:r>
        <w:rPr>
          <w:rFonts w:ascii="Arial" w:cs="Arial" w:eastAsia="Arial" w:hAnsi="Arial"/>
          <w:sz w:val="2"/>
          <w:szCs w:val="2"/>
          <w:color w:val="auto"/>
        </w:rPr>
        <w:t>s</w:t>
      </w:r>
    </w:p>
    <w:tbl>
      <w:tblPr>
        <w:tblLayout w:type="fixed"/>
        <w:tblInd w:w="0" w:type="dxa"/>
        <w:tblCellMar>
          <w:top w:w="0" w:type="dxa"/>
          <w:left w:w="0" w:type="dxa"/>
          <w:bottom w:w="0" w:type="dxa"/>
          <w:right w:w="0" w:type="dxa"/>
        </w:tblCellMar>
      </w:tblPr>
      <w:tr>
        <w:trPr>
          <w:trHeight w:val="183"/>
        </w:trPr>
        <w:tc>
          <w:tcPr>
            <w:tcW w:w="59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gridSpan w:val="2"/>
            <w:vMerge w:val="restart"/>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8"/>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Pr>
          <w:p>
            <w:pPr>
              <w:spacing w:after="0"/>
              <w:rPr>
                <w:sz w:val="15"/>
                <w:szCs w:val="15"/>
                <w:color w:val="auto"/>
              </w:rPr>
            </w:pPr>
          </w:p>
        </w:tc>
        <w:tc>
          <w:tcPr>
            <w:tcW w:w="86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w w:val="98"/>
              </w:rPr>
              <w:t>Change</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E5E5E5"/>
            </w:tcBorders>
            <w:gridSpan w:val="2"/>
            <w:vMerge w:val="continue"/>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2"/>
              <w:spacing w:after="0" w:line="173" w:lineRule="exact"/>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E5E5E5"/>
            </w:tcBorders>
          </w:tcPr>
          <w:p>
            <w:pPr>
              <w:spacing w:after="0"/>
              <w:rPr>
                <w:sz w:val="15"/>
                <w:szCs w:val="15"/>
                <w:color w:val="auto"/>
              </w:rPr>
            </w:pPr>
          </w:p>
        </w:tc>
        <w:tc>
          <w:tcPr>
            <w:tcW w:w="200" w:type="dxa"/>
            <w:vAlign w:val="bottom"/>
            <w:tcBorders>
              <w:top w:val="single" w:sz="8" w:color="auto"/>
              <w:bottom w:val="single" w:sz="8" w:color="E5E5E5"/>
            </w:tcBorders>
          </w:tcPr>
          <w:p>
            <w:pPr>
              <w:spacing w:after="0"/>
              <w:rPr>
                <w:sz w:val="15"/>
                <w:szCs w:val="15"/>
                <w:color w:val="auto"/>
              </w:rPr>
            </w:pPr>
          </w:p>
        </w:tc>
        <w:tc>
          <w:tcPr>
            <w:tcW w:w="20" w:type="dxa"/>
            <w:vAlign w:val="bottom"/>
            <w:tcBorders>
              <w:top w:val="single" w:sz="8" w:color="auto"/>
              <w:bottom w:val="single" w:sz="8" w:color="E5E5E5"/>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1"/>
              <w:spacing w:after="0" w:line="17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20" w:type="dxa"/>
            <w:vAlign w:val="bottom"/>
            <w:gridSpan w:val="3"/>
            <w:shd w:val="clear" w:color="auto" w:fill="E5E5E5"/>
          </w:tcPr>
          <w:p>
            <w:pPr>
              <w:spacing w:after="0" w:line="220" w:lineRule="exact"/>
              <w:rPr>
                <w:sz w:val="20"/>
                <w:szCs w:val="20"/>
                <w:color w:val="auto"/>
              </w:rPr>
            </w:pPr>
            <w:r>
              <w:rPr>
                <w:rFonts w:ascii="Arial" w:cs="Arial" w:eastAsia="Arial" w:hAnsi="Arial"/>
                <w:sz w:val="20"/>
                <w:szCs w:val="20"/>
                <w:color w:val="auto"/>
              </w:rPr>
              <w:t>Revenues:</w:t>
            </w: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ind w:left="260"/>
              <w:spacing w:after="0"/>
              <w:rPr>
                <w:sz w:val="20"/>
                <w:szCs w:val="20"/>
                <w:color w:val="auto"/>
              </w:rPr>
            </w:pPr>
            <w:r>
              <w:rPr>
                <w:rFonts w:ascii="Arial" w:cs="Arial" w:eastAsia="Arial" w:hAnsi="Arial"/>
                <w:sz w:val="20"/>
                <w:szCs w:val="20"/>
                <w:color w:val="auto"/>
              </w:rPr>
              <w:t>Contract research</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1,872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2,541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5E5E5"/>
          </w:tcPr>
          <w:p>
            <w:pPr>
              <w:ind w:left="240"/>
              <w:spacing w:after="0"/>
              <w:rPr>
                <w:sz w:val="20"/>
                <w:szCs w:val="20"/>
                <w:color w:val="auto"/>
              </w:rPr>
            </w:pPr>
            <w:r>
              <w:rPr>
                <w:rFonts w:ascii="Arial" w:cs="Arial" w:eastAsia="Arial" w:hAnsi="Arial"/>
                <w:sz w:val="20"/>
                <w:szCs w:val="20"/>
                <w:color w:val="auto"/>
              </w:rPr>
              <w:t>Licensing</w:t>
            </w:r>
          </w:p>
        </w:tc>
        <w:tc>
          <w:tcPr>
            <w:tcW w:w="160" w:type="dxa"/>
            <w:vAlign w:val="bottom"/>
            <w:tcBorders>
              <w:bottom w:val="single" w:sz="8" w:color="auto"/>
            </w:tcBorders>
            <w:shd w:val="clear" w:color="auto" w:fill="E5E5E5"/>
          </w:tcPr>
          <w:p>
            <w:pPr>
              <w:spacing w:after="0"/>
              <w:rPr>
                <w:sz w:val="20"/>
                <w:szCs w:val="20"/>
                <w:color w:val="auto"/>
              </w:rPr>
            </w:pP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5,954</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spacing w:after="0"/>
              <w:rPr>
                <w:sz w:val="20"/>
                <w:szCs w:val="20"/>
                <w:color w:val="auto"/>
              </w:rPr>
            </w:pP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16,179</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spacing w:after="0"/>
              <w:rPr>
                <w:sz w:val="20"/>
                <w:szCs w:val="20"/>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(10,225)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20" w:type="dxa"/>
            <w:vAlign w:val="bottom"/>
            <w:gridSpan w:val="3"/>
          </w:tcPr>
          <w:p>
            <w:pPr>
              <w:spacing w:after="0" w:line="220" w:lineRule="exact"/>
              <w:rPr>
                <w:sz w:val="20"/>
                <w:szCs w:val="20"/>
                <w:color w:val="auto"/>
              </w:rPr>
            </w:pPr>
            <w:r>
              <w:rPr>
                <w:rFonts w:ascii="Arial" w:cs="Arial" w:eastAsia="Arial" w:hAnsi="Arial"/>
                <w:sz w:val="20"/>
                <w:szCs w:val="20"/>
                <w:color w:val="auto"/>
              </w:rPr>
              <w:t>Total revenue</w:t>
            </w:r>
          </w:p>
        </w:tc>
        <w:tc>
          <w:tcPr>
            <w:tcW w:w="16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color w:val="auto"/>
              </w:rPr>
              <w:t>7,826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color w:val="auto"/>
              </w:rPr>
              <w:t>18,720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Arial" w:cs="Arial" w:eastAsia="Arial" w:hAnsi="Arial"/>
                <w:sz w:val="20"/>
                <w:szCs w:val="20"/>
                <w:color w:val="auto"/>
              </w:rPr>
              <w:t>(10,894)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20"/>
                <w:szCs w:val="20"/>
                <w:color w:val="auto"/>
              </w:rPr>
              <w:t>Costs and expenses: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20" w:type="dxa"/>
            <w:vAlign w:val="bottom"/>
            <w:gridSpan w:val="3"/>
            <w:shd w:val="clear" w:color="auto" w:fill="E5E5E5"/>
          </w:tcPr>
          <w:p>
            <w:pPr>
              <w:ind w:left="240"/>
              <w:spacing w:after="0"/>
              <w:rPr>
                <w:sz w:val="20"/>
                <w:szCs w:val="20"/>
                <w:color w:val="auto"/>
              </w:rPr>
            </w:pPr>
            <w:r>
              <w:rPr>
                <w:rFonts w:ascii="Arial" w:cs="Arial" w:eastAsia="Arial" w:hAnsi="Arial"/>
                <w:sz w:val="20"/>
                <w:szCs w:val="20"/>
                <w:color w:val="auto"/>
              </w:rPr>
              <w:t>Cost of revenue</w:t>
            </w: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2,091</w:t>
            </w: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2,792</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ind w:left="240"/>
              <w:spacing w:after="0"/>
              <w:rPr>
                <w:sz w:val="20"/>
                <w:szCs w:val="20"/>
                <w:color w:val="auto"/>
              </w:rPr>
            </w:pPr>
            <w:r>
              <w:rPr>
                <w:rFonts w:ascii="Arial" w:cs="Arial" w:eastAsia="Arial" w:hAnsi="Arial"/>
                <w:sz w:val="20"/>
                <w:szCs w:val="20"/>
                <w:color w:val="auto"/>
              </w:rPr>
              <w:t>Research and development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52,645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33,586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19,059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5E5E5"/>
          </w:tcPr>
          <w:p>
            <w:pPr>
              <w:ind w:left="240"/>
              <w:spacing w:after="0"/>
              <w:rPr>
                <w:sz w:val="20"/>
                <w:szCs w:val="20"/>
                <w:color w:val="auto"/>
              </w:rPr>
            </w:pPr>
            <w:r>
              <w:rPr>
                <w:rFonts w:ascii="Arial" w:cs="Arial" w:eastAsia="Arial" w:hAnsi="Arial"/>
                <w:sz w:val="20"/>
                <w:szCs w:val="20"/>
                <w:color w:val="auto"/>
              </w:rPr>
              <w:t>General and administrative</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21,972</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22,203</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20" w:type="dxa"/>
            <w:vAlign w:val="bottom"/>
            <w:gridSpan w:val="3"/>
          </w:tcPr>
          <w:p>
            <w:pPr>
              <w:ind w:left="240"/>
              <w:spacing w:after="0"/>
              <w:rPr>
                <w:sz w:val="20"/>
                <w:szCs w:val="20"/>
                <w:color w:val="auto"/>
              </w:rPr>
            </w:pPr>
            <w:r>
              <w:rPr>
                <w:rFonts w:ascii="Arial" w:cs="Arial" w:eastAsia="Arial" w:hAnsi="Arial"/>
                <w:sz w:val="20"/>
                <w:szCs w:val="20"/>
                <w:color w:val="auto"/>
              </w:rPr>
              <w:t>Licensing</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5,193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12,666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5E5E5"/>
          </w:tcPr>
          <w:p>
            <w:pPr>
              <w:ind w:left="240"/>
              <w:spacing w:after="0"/>
              <w:rPr>
                <w:sz w:val="20"/>
                <w:szCs w:val="20"/>
                <w:color w:val="auto"/>
              </w:rPr>
            </w:pPr>
            <w:r>
              <w:rPr>
                <w:rFonts w:ascii="Arial" w:cs="Arial" w:eastAsia="Arial" w:hAnsi="Arial"/>
                <w:sz w:val="20"/>
                <w:szCs w:val="20"/>
                <w:color w:val="auto"/>
              </w:rPr>
              <w:t>Revaluation of contingent consideration</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2,300</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2,500</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ind w:left="240"/>
              <w:spacing w:after="0"/>
              <w:rPr>
                <w:sz w:val="20"/>
                <w:szCs w:val="20"/>
                <w:color w:val="auto"/>
              </w:rPr>
            </w:pPr>
            <w:r>
              <w:rPr>
                <w:rFonts w:ascii="Arial" w:cs="Arial" w:eastAsia="Arial" w:hAnsi="Arial"/>
                <w:sz w:val="20"/>
                <w:szCs w:val="20"/>
                <w:color w:val="auto"/>
              </w:rPr>
              <w:t>In-process research and development</w:t>
            </w:r>
          </w:p>
        </w:tc>
        <w:tc>
          <w:tcPr>
            <w:tcW w:w="160" w:type="dxa"/>
            <w:vAlign w:val="bottom"/>
          </w:tcPr>
          <w:p>
            <w:pPr>
              <w:spacing w:after="0"/>
              <w:rPr>
                <w:sz w:val="20"/>
                <w:szCs w:val="20"/>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86,905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(86,905)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220" w:type="dxa"/>
            <w:vAlign w:val="bottom"/>
            <w:tcBorders>
              <w:top w:val="single" w:sz="8" w:color="E5E5E5"/>
            </w:tcBorders>
            <w:gridSpan w:val="3"/>
            <w:shd w:val="clear" w:color="auto" w:fill="E5E5E5"/>
          </w:tcPr>
          <w:p>
            <w:pPr>
              <w:spacing w:after="0" w:line="220" w:lineRule="exact"/>
              <w:rPr>
                <w:sz w:val="20"/>
                <w:szCs w:val="20"/>
                <w:color w:val="auto"/>
              </w:rPr>
            </w:pPr>
            <w:r>
              <w:rPr>
                <w:rFonts w:ascii="Arial" w:cs="Arial" w:eastAsia="Arial" w:hAnsi="Arial"/>
                <w:sz w:val="20"/>
                <w:szCs w:val="20"/>
                <w:color w:val="auto"/>
              </w:rPr>
              <w:t>Total costs and expenses</w:t>
            </w:r>
          </w:p>
        </w:tc>
        <w:tc>
          <w:tcPr>
            <w:tcW w:w="160" w:type="dxa"/>
            <w:vAlign w:val="bottom"/>
            <w:tcBorders>
              <w:top w:val="single" w:sz="8" w:color="auto"/>
              <w:bottom w:val="single" w:sz="8" w:color="auto"/>
            </w:tcBorders>
            <w:shd w:val="clear" w:color="auto" w:fill="E5E5E5"/>
          </w:tcPr>
          <w:p>
            <w:pPr>
              <w:spacing w:after="0"/>
              <w:rPr>
                <w:sz w:val="19"/>
                <w:szCs w:val="19"/>
                <w:color w:val="auto"/>
              </w:rPr>
            </w:pPr>
          </w:p>
        </w:tc>
        <w:tc>
          <w:tcPr>
            <w:tcW w:w="840" w:type="dxa"/>
            <w:vAlign w:val="bottom"/>
            <w:tcBorders>
              <w:top w:val="single" w:sz="8" w:color="auto"/>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84,201</w:t>
            </w:r>
          </w:p>
        </w:tc>
        <w:tc>
          <w:tcPr>
            <w:tcW w:w="2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60" w:type="dxa"/>
            <w:vAlign w:val="bottom"/>
            <w:tcBorders>
              <w:top w:val="single" w:sz="8" w:color="auto"/>
              <w:bottom w:val="single" w:sz="8" w:color="auto"/>
            </w:tcBorders>
            <w:shd w:val="clear" w:color="auto" w:fill="E5E5E5"/>
          </w:tcPr>
          <w:p>
            <w:pPr>
              <w:spacing w:after="0"/>
              <w:rPr>
                <w:sz w:val="19"/>
                <w:szCs w:val="19"/>
                <w:color w:val="auto"/>
              </w:rPr>
            </w:pPr>
          </w:p>
        </w:tc>
        <w:tc>
          <w:tcPr>
            <w:tcW w:w="840" w:type="dxa"/>
            <w:vAlign w:val="bottom"/>
            <w:tcBorders>
              <w:top w:val="single" w:sz="8" w:color="auto"/>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160,652</w:t>
            </w:r>
          </w:p>
        </w:tc>
        <w:tc>
          <w:tcPr>
            <w:tcW w:w="22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60" w:type="dxa"/>
            <w:vAlign w:val="bottom"/>
            <w:tcBorders>
              <w:top w:val="single" w:sz="8" w:color="auto"/>
              <w:bottom w:val="single" w:sz="8" w:color="auto"/>
            </w:tcBorders>
            <w:shd w:val="clear" w:color="auto" w:fill="E5E5E5"/>
          </w:tcPr>
          <w:p>
            <w:pPr>
              <w:spacing w:after="0"/>
              <w:rPr>
                <w:sz w:val="19"/>
                <w:szCs w:val="19"/>
                <w:color w:val="auto"/>
              </w:rPr>
            </w:pPr>
          </w:p>
        </w:tc>
        <w:tc>
          <w:tcPr>
            <w:tcW w:w="860" w:type="dxa"/>
            <w:vAlign w:val="bottom"/>
            <w:tcBorders>
              <w:top w:val="single" w:sz="8" w:color="auto"/>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(76,451)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20" w:type="dxa"/>
            <w:vAlign w:val="bottom"/>
            <w:gridSpan w:val="3"/>
          </w:tcPr>
          <w:p>
            <w:pPr>
              <w:spacing w:after="0" w:line="220" w:lineRule="exact"/>
              <w:rPr>
                <w:sz w:val="20"/>
                <w:szCs w:val="20"/>
                <w:color w:val="auto"/>
              </w:rPr>
            </w:pPr>
            <w:r>
              <w:rPr>
                <w:rFonts w:ascii="Arial" w:cs="Arial" w:eastAsia="Arial" w:hAnsi="Arial"/>
                <w:sz w:val="20"/>
                <w:szCs w:val="20"/>
                <w:color w:val="auto"/>
              </w:rPr>
              <w:t>Loss from operations</w:t>
            </w:r>
          </w:p>
        </w:tc>
        <w:tc>
          <w:tcPr>
            <w:tcW w:w="16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color w:val="auto"/>
              </w:rPr>
              <w:t>(76,375)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Arial" w:cs="Arial" w:eastAsia="Arial" w:hAnsi="Arial"/>
                <w:sz w:val="20"/>
                <w:szCs w:val="20"/>
                <w:color w:val="auto"/>
                <w:w w:val="95"/>
              </w:rPr>
              <w:t>(141,932)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Arial" w:cs="Arial" w:eastAsia="Arial" w:hAnsi="Arial"/>
                <w:sz w:val="20"/>
                <w:szCs w:val="20"/>
                <w:color w:val="auto"/>
              </w:rPr>
              <w:t>65,557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3"/>
          </w:tcPr>
          <w:p>
            <w:pPr>
              <w:spacing w:after="0"/>
              <w:rPr>
                <w:sz w:val="20"/>
                <w:szCs w:val="20"/>
                <w:color w:val="auto"/>
              </w:rPr>
            </w:pPr>
            <w:r>
              <w:rPr>
                <w:rFonts w:ascii="Arial" w:cs="Arial" w:eastAsia="Arial" w:hAnsi="Arial"/>
                <w:sz w:val="20"/>
                <w:szCs w:val="20"/>
                <w:color w:val="auto"/>
              </w:rPr>
              <w:t>Other income:</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3"/>
            <w:shd w:val="clear" w:color="auto" w:fill="E5E5E5"/>
          </w:tcPr>
          <w:p>
            <w:pPr>
              <w:ind w:left="240"/>
              <w:spacing w:after="0"/>
              <w:rPr>
                <w:sz w:val="20"/>
                <w:szCs w:val="20"/>
                <w:color w:val="auto"/>
              </w:rPr>
            </w:pPr>
            <w:r>
              <w:rPr>
                <w:rFonts w:ascii="Arial" w:cs="Arial" w:eastAsia="Arial" w:hAnsi="Arial"/>
                <w:sz w:val="20"/>
                <w:szCs w:val="20"/>
                <w:color w:val="auto"/>
              </w:rPr>
              <w:t>Interest income</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7,637</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7,953</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E5E5E5"/>
            </w:tcBorders>
            <w:gridSpan w:val="3"/>
          </w:tcPr>
          <w:p>
            <w:pPr>
              <w:ind w:left="240"/>
              <w:spacing w:after="0"/>
              <w:rPr>
                <w:sz w:val="20"/>
                <w:szCs w:val="20"/>
                <w:color w:val="auto"/>
              </w:rPr>
            </w:pPr>
            <w:r>
              <w:rPr>
                <w:rFonts w:ascii="Arial" w:cs="Arial" w:eastAsia="Arial" w:hAnsi="Arial"/>
                <w:sz w:val="20"/>
                <w:szCs w:val="20"/>
                <w:color w:val="auto"/>
              </w:rPr>
              <w:t>Non-cash royalty income</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3,815</w:t>
            </w:r>
          </w:p>
        </w:tc>
        <w:tc>
          <w:tcPr>
            <w:tcW w:w="20" w:type="dxa"/>
            <w:vAlign w:val="bottom"/>
            <w:tcBorders>
              <w:bottom w:val="single" w:sz="8" w:color="E5E5E5"/>
            </w:tcBorders>
          </w:tcPr>
          <w:p>
            <w:pPr>
              <w:spacing w:after="0"/>
              <w:rPr>
                <w:sz w:val="19"/>
                <w:szCs w:val="19"/>
                <w:color w:val="auto"/>
              </w:rPr>
            </w:pPr>
          </w:p>
        </w:tc>
        <w:tc>
          <w:tcPr>
            <w:tcW w:w="20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1,914</w:t>
            </w:r>
          </w:p>
        </w:tc>
        <w:tc>
          <w:tcPr>
            <w:tcW w:w="22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20" w:type="dxa"/>
            <w:vAlign w:val="bottom"/>
            <w:gridSpan w:val="3"/>
            <w:shd w:val="clear" w:color="auto" w:fill="E5E5E5"/>
          </w:tcPr>
          <w:p>
            <w:pPr>
              <w:spacing w:after="0" w:line="220" w:lineRule="exact"/>
              <w:rPr>
                <w:sz w:val="20"/>
                <w:szCs w:val="20"/>
                <w:color w:val="auto"/>
              </w:rPr>
            </w:pPr>
            <w:r>
              <w:rPr>
                <w:rFonts w:ascii="Arial" w:cs="Arial" w:eastAsia="Arial" w:hAnsi="Arial"/>
                <w:sz w:val="20"/>
                <w:szCs w:val="20"/>
                <w:color w:val="auto"/>
              </w:rPr>
              <w:t>Total other income</w:t>
            </w:r>
          </w:p>
        </w:tc>
        <w:tc>
          <w:tcPr>
            <w:tcW w:w="16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11,452</w:t>
            </w: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9,867</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1,585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line="221" w:lineRule="exact"/>
              <w:rPr>
                <w:sz w:val="20"/>
                <w:szCs w:val="20"/>
                <w:color w:val="auto"/>
              </w:rPr>
            </w:pPr>
            <w:r>
              <w:rPr>
                <w:rFonts w:ascii="Arial" w:cs="Arial" w:eastAsia="Arial" w:hAnsi="Arial"/>
                <w:sz w:val="20"/>
                <w:szCs w:val="20"/>
                <w:color w:val="auto"/>
              </w:rPr>
              <w:t>Net loss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(64,923)</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5"/>
              </w:rPr>
              <w:t>(132,065)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67,142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Revenue</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Contract Research</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 decrease in contract research revenue for the year ended December 31, 2025 compared to the year ended December 31, 2024 was due to lower overall hours billed for laboratory services.</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Licensing</w:t>
      </w:r>
    </w:p>
    <w:p>
      <w:pPr>
        <w:spacing w:after="0" w:line="23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decrease in licensing revenue during the year ended December 31, 2025 compared to the year ended December 31, 2024 was primarily due to larger milestone payments achieved under the license agreements with Sun Pharma and Lilly during the year ended December 31, 2024.</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Cost and Expenses</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Cost of Revenue</w:t>
      </w:r>
    </w:p>
    <w:p>
      <w:pPr>
        <w:spacing w:after="0" w:line="231"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The decrease in cost of revenue during the year ended December 31, 2025 compared to the year ended December 31, 2024 was due to lower overall hours billed for laboratory services.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720"/>
          </w:cols>
          <w:pgMar w:left="1080" w:top="1177" w:right="1080" w:bottom="0" w:gutter="0" w:footer="0" w:header="0"/>
          <w:type w:val="continuous"/>
        </w:sectPr>
      </w:pPr>
    </w:p>
    <w:bookmarkStart w:id="76" w:name="page77"/>
    <w:bookmarkEnd w:id="76"/>
    <w:p>
      <w:pPr>
        <w:ind w:left="720"/>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 following table summarizes our research and development expenses by product candidate or, for unallocated expenses, by type: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right"/>
              <w:ind w:right="582"/>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74"/>
        </w:trPr>
        <w:tc>
          <w:tcPr>
            <w:tcW w:w="60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5"/>
              <w:spacing w:after="0" w:line="175"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2"/>
              <w:spacing w:after="0" w:line="175" w:lineRule="exact"/>
              <w:rPr>
                <w:sz w:val="20"/>
                <w:szCs w:val="20"/>
                <w:color w:val="auto"/>
              </w:rPr>
            </w:pPr>
            <w:r>
              <w:rPr>
                <w:rFonts w:ascii="Arial" w:cs="Arial" w:eastAsia="Arial" w:hAnsi="Arial"/>
                <w:sz w:val="16"/>
                <w:szCs w:val="16"/>
                <w:b w:val="1"/>
                <w:bCs w:val="1"/>
                <w:color w:val="auto"/>
                <w:w w:val="89"/>
              </w:rPr>
              <w:t>2024</w:t>
            </w: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020" w:type="dxa"/>
            <w:vAlign w:val="bottom"/>
            <w:shd w:val="clear" w:color="auto" w:fill="E5E5E5"/>
          </w:tcPr>
          <w:p>
            <w:pPr>
              <w:ind w:left="360"/>
              <w:spacing w:after="0" w:line="220" w:lineRule="exact"/>
              <w:rPr>
                <w:sz w:val="20"/>
                <w:szCs w:val="20"/>
                <w:color w:val="auto"/>
              </w:rPr>
            </w:pPr>
            <w:r>
              <w:rPr>
                <w:rFonts w:ascii="Arial" w:cs="Arial" w:eastAsia="Arial" w:hAnsi="Arial"/>
                <w:sz w:val="20"/>
                <w:szCs w:val="20"/>
                <w:color w:val="auto"/>
              </w:rPr>
              <w:t>Bosakitug</w:t>
            </w: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jc w:val="right"/>
              <w:ind w:right="20"/>
              <w:spacing w:after="0" w:line="220" w:lineRule="exact"/>
              <w:rPr>
                <w:sz w:val="20"/>
                <w:szCs w:val="20"/>
                <w:color w:val="auto"/>
              </w:rPr>
            </w:pPr>
            <w:r>
              <w:rPr>
                <w:rFonts w:ascii="Arial" w:cs="Arial" w:eastAsia="Arial" w:hAnsi="Arial"/>
                <w:sz w:val="20"/>
                <w:szCs w:val="20"/>
                <w:color w:val="auto"/>
                <w:w w:val="71"/>
              </w:rPr>
              <w:t>$</w:t>
            </w:r>
          </w:p>
        </w:tc>
        <w:tc>
          <w:tcPr>
            <w:tcW w:w="7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13,845</w:t>
            </w:r>
          </w:p>
        </w:tc>
        <w:tc>
          <w:tcPr>
            <w:tcW w:w="540" w:type="dxa"/>
            <w:vAlign w:val="bottom"/>
            <w:gridSpan w:val="3"/>
            <w:shd w:val="clear" w:color="auto" w:fill="E5E5E5"/>
          </w:tcPr>
          <w:p>
            <w:pPr>
              <w:jc w:val="right"/>
              <w:ind w:right="240"/>
              <w:spacing w:after="0" w:line="220" w:lineRule="exact"/>
              <w:rPr>
                <w:sz w:val="20"/>
                <w:szCs w:val="20"/>
                <w:color w:val="auto"/>
              </w:rPr>
            </w:pPr>
            <w:r>
              <w:rPr>
                <w:rFonts w:ascii="Arial" w:cs="Arial" w:eastAsia="Arial" w:hAnsi="Arial"/>
                <w:sz w:val="20"/>
                <w:szCs w:val="20"/>
                <w:color w:val="auto"/>
              </w:rPr>
              <w:t>$</w:t>
            </w:r>
          </w:p>
        </w:tc>
        <w:tc>
          <w:tcPr>
            <w:tcW w:w="70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299</w:t>
            </w:r>
          </w:p>
        </w:tc>
        <w:tc>
          <w:tcPr>
            <w:tcW w:w="380" w:type="dxa"/>
            <w:vAlign w:val="bottom"/>
            <w:gridSpan w:val="3"/>
            <w:shd w:val="clear" w:color="auto" w:fill="E5E5E5"/>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13,546</w:t>
            </w:r>
          </w:p>
        </w:tc>
        <w:tc>
          <w:tcPr>
            <w:tcW w:w="0" w:type="dxa"/>
            <w:vAlign w:val="bottom"/>
          </w:tcPr>
          <w:p>
            <w:pPr>
              <w:spacing w:after="0"/>
              <w:rPr>
                <w:sz w:val="1"/>
                <w:szCs w:val="1"/>
                <w:color w:val="auto"/>
              </w:rPr>
            </w:pPr>
          </w:p>
        </w:tc>
      </w:tr>
      <w:tr>
        <w:trPr>
          <w:trHeight w:val="229"/>
        </w:trPr>
        <w:tc>
          <w:tcPr>
            <w:tcW w:w="6020" w:type="dxa"/>
            <w:vAlign w:val="bottom"/>
          </w:tcPr>
          <w:p>
            <w:pPr>
              <w:ind w:left="360"/>
              <w:spacing w:after="0"/>
              <w:rPr>
                <w:sz w:val="20"/>
                <w:szCs w:val="20"/>
                <w:color w:val="auto"/>
              </w:rPr>
            </w:pPr>
            <w:r>
              <w:rPr>
                <w:rFonts w:ascii="Arial" w:cs="Arial" w:eastAsia="Arial" w:hAnsi="Arial"/>
                <w:sz w:val="20"/>
                <w:szCs w:val="20"/>
                <w:color w:val="auto"/>
              </w:rPr>
              <w:t>ATI-052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7,074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1,895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5,179</w:t>
            </w:r>
          </w:p>
        </w:tc>
        <w:tc>
          <w:tcPr>
            <w:tcW w:w="0" w:type="dxa"/>
            <w:vAlign w:val="bottom"/>
          </w:tcPr>
          <w:p>
            <w:pPr>
              <w:spacing w:after="0"/>
              <w:rPr>
                <w:sz w:val="1"/>
                <w:szCs w:val="1"/>
                <w:color w:val="auto"/>
              </w:rPr>
            </w:pPr>
          </w:p>
        </w:tc>
      </w:tr>
      <w:tr>
        <w:trPr>
          <w:trHeight w:val="230"/>
        </w:trPr>
        <w:tc>
          <w:tcPr>
            <w:tcW w:w="60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ATI-2138</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4,921</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4,209</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712</w:t>
            </w: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Arial" w:cs="Arial" w:eastAsia="Arial" w:hAnsi="Arial"/>
                <w:sz w:val="20"/>
                <w:szCs w:val="20"/>
                <w:color w:val="auto"/>
              </w:rPr>
              <w:t>ATI-9494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5,371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2,360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3,011</w:t>
            </w:r>
          </w:p>
        </w:tc>
        <w:tc>
          <w:tcPr>
            <w:tcW w:w="0" w:type="dxa"/>
            <w:vAlign w:val="bottom"/>
          </w:tcPr>
          <w:p>
            <w:pPr>
              <w:spacing w:after="0"/>
              <w:rPr>
                <w:sz w:val="1"/>
                <w:szCs w:val="1"/>
                <w:color w:val="auto"/>
              </w:rPr>
            </w:pPr>
          </w:p>
        </w:tc>
      </w:tr>
      <w:tr>
        <w:trPr>
          <w:trHeight w:val="229"/>
        </w:trPr>
        <w:tc>
          <w:tcPr>
            <w:tcW w:w="60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Discovery</w:t>
            </w: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3,872</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3,415</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457</w:t>
            </w:r>
          </w:p>
        </w:tc>
        <w:tc>
          <w:tcPr>
            <w:tcW w:w="0" w:type="dxa"/>
            <w:vAlign w:val="bottom"/>
          </w:tcPr>
          <w:p>
            <w:pPr>
              <w:spacing w:after="0"/>
              <w:rPr>
                <w:sz w:val="1"/>
                <w:szCs w:val="1"/>
                <w:color w:val="auto"/>
              </w:rPr>
            </w:pPr>
          </w:p>
        </w:tc>
      </w:tr>
      <w:tr>
        <w:trPr>
          <w:trHeight w:val="230"/>
        </w:trPr>
        <w:tc>
          <w:tcPr>
            <w:tcW w:w="6020" w:type="dxa"/>
            <w:vAlign w:val="bottom"/>
          </w:tcPr>
          <w:p>
            <w:pPr>
              <w:ind w:left="360"/>
              <w:spacing w:after="0"/>
              <w:rPr>
                <w:sz w:val="20"/>
                <w:szCs w:val="20"/>
                <w:color w:val="auto"/>
              </w:rPr>
            </w:pPr>
            <w:r>
              <w:rPr>
                <w:rFonts w:ascii="Arial" w:cs="Arial" w:eastAsia="Arial" w:hAnsi="Arial"/>
                <w:sz w:val="20"/>
                <w:szCs w:val="20"/>
                <w:color w:val="auto"/>
              </w:rPr>
              <w:t>Other research and development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1,488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6,827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(5,339)</w:t>
            </w:r>
          </w:p>
        </w:tc>
        <w:tc>
          <w:tcPr>
            <w:tcW w:w="0" w:type="dxa"/>
            <w:vAlign w:val="bottom"/>
          </w:tcPr>
          <w:p>
            <w:pPr>
              <w:spacing w:after="0"/>
              <w:rPr>
                <w:sz w:val="1"/>
                <w:szCs w:val="1"/>
                <w:color w:val="auto"/>
              </w:rPr>
            </w:pPr>
          </w:p>
        </w:tc>
      </w:tr>
      <w:tr>
        <w:trPr>
          <w:trHeight w:val="230"/>
        </w:trPr>
        <w:tc>
          <w:tcPr>
            <w:tcW w:w="60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Personnel</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11,816</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11,446</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370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E5E5E5"/>
            </w:tcBorders>
          </w:tcPr>
          <w:p>
            <w:pPr>
              <w:ind w:left="360"/>
              <w:spacing w:after="0"/>
              <w:rPr>
                <w:sz w:val="20"/>
                <w:szCs w:val="20"/>
                <w:color w:val="auto"/>
              </w:rPr>
            </w:pPr>
            <w:r>
              <w:rPr>
                <w:rFonts w:ascii="Arial" w:cs="Arial" w:eastAsia="Arial" w:hAnsi="Arial"/>
                <w:sz w:val="20"/>
                <w:szCs w:val="20"/>
                <w:color w:val="auto"/>
              </w:rPr>
              <w:t>Stock-based compensation</w:t>
            </w:r>
          </w:p>
        </w:tc>
        <w:tc>
          <w:tcPr>
            <w:tcW w:w="20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4,258</w:t>
            </w:r>
          </w:p>
        </w:tc>
        <w:tc>
          <w:tcPr>
            <w:tcW w:w="18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3,135</w:t>
            </w:r>
          </w:p>
        </w:tc>
        <w:tc>
          <w:tcPr>
            <w:tcW w:w="18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1,123</w:t>
            </w:r>
          </w:p>
        </w:tc>
        <w:tc>
          <w:tcPr>
            <w:tcW w:w="0" w:type="dxa"/>
            <w:vAlign w:val="bottom"/>
          </w:tcPr>
          <w:p>
            <w:pPr>
              <w:spacing w:after="0"/>
              <w:rPr>
                <w:sz w:val="1"/>
                <w:szCs w:val="1"/>
                <w:color w:val="auto"/>
              </w:rPr>
            </w:pPr>
          </w:p>
        </w:tc>
      </w:tr>
      <w:tr>
        <w:trPr>
          <w:trHeight w:val="230"/>
        </w:trPr>
        <w:tc>
          <w:tcPr>
            <w:tcW w:w="6020" w:type="dxa"/>
            <w:vAlign w:val="bottom"/>
            <w:shd w:val="clear" w:color="auto" w:fill="E5E5E5"/>
          </w:tcPr>
          <w:p>
            <w:pPr>
              <w:spacing w:after="0" w:line="221" w:lineRule="exact"/>
              <w:rPr>
                <w:sz w:val="20"/>
                <w:szCs w:val="20"/>
                <w:color w:val="auto"/>
              </w:rPr>
            </w:pPr>
            <w:r>
              <w:rPr>
                <w:rFonts w:ascii="Arial" w:cs="Arial" w:eastAsia="Arial" w:hAnsi="Arial"/>
                <w:sz w:val="20"/>
                <w:szCs w:val="20"/>
                <w:color w:val="auto"/>
              </w:rPr>
              <w:t>Total research and development expenses</w:t>
            </w:r>
          </w:p>
        </w:tc>
        <w:tc>
          <w:tcPr>
            <w:tcW w:w="200" w:type="dxa"/>
            <w:vAlign w:val="bottom"/>
            <w:shd w:val="clear" w:color="auto" w:fill="E5E5E5"/>
          </w:tcPr>
          <w:p>
            <w:pPr>
              <w:spacing w:after="0"/>
              <w:rPr>
                <w:sz w:val="19"/>
                <w:szCs w:val="19"/>
                <w:color w:val="auto"/>
              </w:rPr>
            </w:pPr>
          </w:p>
        </w:tc>
        <w:tc>
          <w:tcPr>
            <w:tcW w:w="240" w:type="dxa"/>
            <w:vAlign w:val="bottom"/>
            <w:tcBorders>
              <w:bottom w:val="single" w:sz="8" w:color="auto"/>
            </w:tcBorders>
            <w:gridSpan w:val="2"/>
            <w:shd w:val="clear" w:color="auto" w:fill="E5E5E5"/>
          </w:tcPr>
          <w:p>
            <w:pPr>
              <w:jc w:val="right"/>
              <w:ind w:right="20"/>
              <w:spacing w:after="0" w:line="221" w:lineRule="exact"/>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rPr>
              <w:t>52,645</w:t>
            </w:r>
          </w:p>
        </w:tc>
        <w:tc>
          <w:tcPr>
            <w:tcW w:w="180" w:type="dxa"/>
            <w:vAlign w:val="bottom"/>
            <w:shd w:val="clear" w:color="auto" w:fill="E5E5E5"/>
          </w:tcPr>
          <w:p>
            <w:pPr>
              <w:spacing w:after="0"/>
              <w:rPr>
                <w:sz w:val="19"/>
                <w:szCs w:val="19"/>
                <w:color w:val="auto"/>
              </w:rPr>
            </w:pPr>
          </w:p>
        </w:tc>
        <w:tc>
          <w:tcPr>
            <w:tcW w:w="360" w:type="dxa"/>
            <w:vAlign w:val="bottom"/>
            <w:tcBorders>
              <w:bottom w:val="single" w:sz="8" w:color="auto"/>
            </w:tcBorders>
            <w:gridSpan w:val="2"/>
            <w:shd w:val="clear" w:color="auto" w:fill="E5E5E5"/>
          </w:tcPr>
          <w:p>
            <w:pPr>
              <w:jc w:val="right"/>
              <w:ind w:right="240"/>
              <w:spacing w:after="0" w:line="221" w:lineRule="exact"/>
              <w:rPr>
                <w:sz w:val="20"/>
                <w:szCs w:val="20"/>
                <w:color w:val="auto"/>
              </w:rPr>
            </w:pPr>
            <w:r>
              <w:rPr>
                <w:rFonts w:ascii="Arial" w:cs="Arial" w:eastAsia="Arial" w:hAnsi="Arial"/>
                <w:sz w:val="20"/>
                <w:szCs w:val="20"/>
                <w:color w:val="auto"/>
                <w:w w:val="89"/>
              </w:rPr>
              <w:t>$</w:t>
            </w:r>
          </w:p>
        </w:tc>
        <w:tc>
          <w:tcPr>
            <w:tcW w:w="70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rPr>
              <w:t>33,586</w:t>
            </w:r>
          </w:p>
        </w:tc>
        <w:tc>
          <w:tcPr>
            <w:tcW w:w="180" w:type="dxa"/>
            <w:vAlign w:val="bottom"/>
            <w:shd w:val="clear" w:color="auto" w:fill="E5E5E5"/>
          </w:tcPr>
          <w:p>
            <w:pPr>
              <w:spacing w:after="0"/>
              <w:rPr>
                <w:sz w:val="19"/>
                <w:szCs w:val="19"/>
                <w:color w:val="auto"/>
              </w:rPr>
            </w:pPr>
          </w:p>
        </w:tc>
        <w:tc>
          <w:tcPr>
            <w:tcW w:w="200" w:type="dxa"/>
            <w:vAlign w:val="bottom"/>
            <w:tcBorders>
              <w:bottom w:val="single" w:sz="8" w:color="auto"/>
            </w:tcBorders>
            <w:gridSpan w:val="2"/>
            <w:shd w:val="clear" w:color="auto" w:fill="E5E5E5"/>
          </w:tcPr>
          <w:p>
            <w:pPr>
              <w:jc w:val="right"/>
              <w:ind w:right="80"/>
              <w:spacing w:after="0" w:line="221" w:lineRule="exact"/>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rPr>
              <w:t>19,059</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Bosakitug</w:t>
      </w:r>
    </w:p>
    <w:p>
      <w:pPr>
        <w:spacing w:after="0" w:line="228"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The increase in expenses for bosakitug during the year ended December 31, 2025 compared to the year ended December 31, 2024 was due to the timing of the acquisition of the in-licensed asset, which occurred in November 2024. The expenses consist primarily of product candidate manufacturing costs and clinical development expenses associated with a Phase 2 trial in atopic dermatitis.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ATI-052</w:t>
      </w:r>
    </w:p>
    <w:p>
      <w:pPr>
        <w:spacing w:after="0" w:line="228"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increase in expenses for ATI-052 during the year ended December 31, 2025 compared to the year ended December 31, 2024 was due to the timing of the acquisition of the in-licensed asset, which occurred in November 2024. The increase primarily consisted of preclinical development activities and clinical development expenses associated with a Phase 1a/1b program, partially offset by a decrease in product manufacturing costs.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ATI-2138</w:t>
      </w:r>
    </w:p>
    <w:p>
      <w:pPr>
        <w:spacing w:after="0" w:line="22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increase in expenses for ATI-2138 during the year ended December 31, 2025 compared to the year ended December 31, 2024 was primarily due to an increase in clinical development expenses associated with a Phase 2a trial in atopic dermatitis.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ATI-9494</w:t>
      </w:r>
    </w:p>
    <w:p>
      <w:pPr>
        <w:spacing w:after="0" w:line="22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increase in expenses for ATI- 9494 for the year ended December 31, 2025 compared to the year ended December 31, 2024 was primarily due to an increase in product candidate manufacturing costs, preclinical development activities, and IND-enabling studies.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Discovery</w:t>
      </w:r>
    </w:p>
    <w:p>
      <w:pPr>
        <w:spacing w:after="0" w:line="229"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Discovery expenses consisted primarily of continued investment in our other JAK-sparing ITK inhibitors as we progress toward candidate selection.</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Other research and development</w:t>
      </w:r>
    </w:p>
    <w:p>
      <w:pPr>
        <w:spacing w:after="0" w:line="22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decrease in other research and development expenses during the year ended December 31, 2025 compared to the year ended December 31, 2024 was primarily due to clinical development expenses associated with former development assets.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720"/>
          </w:cols>
          <w:pgMar w:left="1080" w:top="1177" w:right="1080" w:bottom="0" w:gutter="0" w:footer="0" w:header="0"/>
          <w:type w:val="continuous"/>
        </w:sectPr>
      </w:pPr>
    </w:p>
    <w:bookmarkStart w:id="77" w:name="page78"/>
    <w:bookmarkEnd w:id="77"/>
    <w:p>
      <w:pPr>
        <w:ind w:left="720"/>
        <w:spacing w:after="0"/>
        <w:rPr>
          <w:sz w:val="20"/>
          <w:szCs w:val="20"/>
          <w:color w:val="auto"/>
        </w:rPr>
      </w:pPr>
      <w:r>
        <w:rPr>
          <w:rFonts w:ascii="Arial" w:cs="Arial" w:eastAsia="Arial" w:hAnsi="Arial"/>
          <w:sz w:val="20"/>
          <w:szCs w:val="20"/>
          <w:i w:val="1"/>
          <w:iCs w:val="1"/>
          <w:color w:val="auto"/>
        </w:rPr>
        <w:t>Personnel and stock-based compensation</w:t>
      </w:r>
    </w:p>
    <w:p>
      <w:pPr>
        <w:spacing w:after="0" w:line="228"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20"/>
          <w:szCs w:val="20"/>
          <w:color w:val="auto"/>
        </w:rPr>
        <w:t>The increase in personnel expenses during the year ended December 31, 2025 compared to the year ended December 31, 2024 was primarily due to higher headcount. The increase in stock- based compensation expense during the year ended December 31, 2025 compared to the year ended December 31, 2024 was primarily due to higher forfeiture credits during the year ended December 31, 2024.</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following table summarizes our general and administrative expenses: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right"/>
              <w:ind w:right="503"/>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ind w:right="123"/>
              <w:spacing w:after="0"/>
              <w:rPr>
                <w:sz w:val="20"/>
                <w:szCs w:val="20"/>
                <w:color w:val="auto"/>
              </w:rPr>
            </w:pPr>
            <w:r>
              <w:rPr>
                <w:rFonts w:ascii="Arial" w:cs="Arial" w:eastAsia="Arial" w:hAnsi="Arial"/>
                <w:sz w:val="16"/>
                <w:szCs w:val="16"/>
                <w:b w:val="1"/>
                <w:bCs w:val="1"/>
                <w:color w:val="auto"/>
                <w:w w:val="95"/>
              </w:rPr>
              <w:t>Change</w:t>
            </w:r>
          </w:p>
        </w:tc>
        <w:tc>
          <w:tcPr>
            <w:tcW w:w="0" w:type="dxa"/>
            <w:vAlign w:val="bottom"/>
          </w:tcPr>
          <w:p>
            <w:pPr>
              <w:spacing w:after="0"/>
              <w:rPr>
                <w:sz w:val="1"/>
                <w:szCs w:val="1"/>
                <w:color w:val="auto"/>
              </w:rPr>
            </w:pPr>
          </w:p>
        </w:tc>
      </w:tr>
      <w:tr>
        <w:trPr>
          <w:trHeight w:val="174"/>
        </w:trPr>
        <w:tc>
          <w:tcPr>
            <w:tcW w:w="62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7"/>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23"/>
              <w:spacing w:after="0" w:line="175" w:lineRule="exact"/>
              <w:rPr>
                <w:sz w:val="20"/>
                <w:szCs w:val="20"/>
                <w:color w:val="auto"/>
              </w:rPr>
            </w:pPr>
            <w:r>
              <w:rPr>
                <w:rFonts w:ascii="Arial" w:cs="Arial" w:eastAsia="Arial" w:hAnsi="Arial"/>
                <w:sz w:val="16"/>
                <w:szCs w:val="16"/>
                <w:b w:val="1"/>
                <w:bCs w:val="1"/>
                <w:color w:val="auto"/>
                <w:w w:val="84"/>
              </w:rPr>
              <w:t>2024</w:t>
            </w: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220" w:type="dxa"/>
            <w:vAlign w:val="bottom"/>
            <w:shd w:val="clear" w:color="auto" w:fill="E5E5E5"/>
          </w:tcPr>
          <w:p>
            <w:pPr>
              <w:ind w:left="360"/>
              <w:spacing w:after="0" w:line="220" w:lineRule="exact"/>
              <w:rPr>
                <w:sz w:val="20"/>
                <w:szCs w:val="20"/>
                <w:color w:val="auto"/>
              </w:rPr>
            </w:pPr>
            <w:r>
              <w:rPr>
                <w:rFonts w:ascii="Arial" w:cs="Arial" w:eastAsia="Arial" w:hAnsi="Arial"/>
                <w:sz w:val="20"/>
                <w:szCs w:val="20"/>
                <w:color w:val="auto"/>
              </w:rPr>
              <w:t>Personnel</w:t>
            </w:r>
          </w:p>
        </w:tc>
        <w:tc>
          <w:tcPr>
            <w:tcW w:w="440" w:type="dxa"/>
            <w:vAlign w:val="bottom"/>
            <w:gridSpan w:val="3"/>
            <w:shd w:val="clear" w:color="auto" w:fill="E5E5E5"/>
          </w:tcPr>
          <w:p>
            <w:pPr>
              <w:jc w:val="right"/>
              <w:ind w:right="45"/>
              <w:spacing w:after="0" w:line="220" w:lineRule="exact"/>
              <w:rPr>
                <w:sz w:val="20"/>
                <w:szCs w:val="20"/>
                <w:color w:val="auto"/>
              </w:rPr>
            </w:pPr>
            <w:r>
              <w:rPr>
                <w:rFonts w:ascii="Arial" w:cs="Arial" w:eastAsia="Arial" w:hAnsi="Arial"/>
                <w:sz w:val="20"/>
                <w:szCs w:val="20"/>
                <w:color w:val="auto"/>
              </w:rPr>
              <w:t>$</w:t>
            </w:r>
          </w:p>
        </w:tc>
        <w:tc>
          <w:tcPr>
            <w:tcW w:w="74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7,581</w:t>
            </w:r>
          </w:p>
        </w:tc>
        <w:tc>
          <w:tcPr>
            <w:tcW w:w="520" w:type="dxa"/>
            <w:vAlign w:val="bottom"/>
            <w:gridSpan w:val="3"/>
            <w:shd w:val="clear" w:color="auto" w:fill="E5E5E5"/>
          </w:tcPr>
          <w:p>
            <w:pPr>
              <w:jc w:val="right"/>
              <w:ind w:right="145"/>
              <w:spacing w:after="0" w:line="220" w:lineRule="exact"/>
              <w:rPr>
                <w:sz w:val="20"/>
                <w:szCs w:val="20"/>
                <w:color w:val="auto"/>
              </w:rPr>
            </w:pPr>
            <w:r>
              <w:rPr>
                <w:rFonts w:ascii="Arial" w:cs="Arial" w:eastAsia="Arial" w:hAnsi="Arial"/>
                <w:sz w:val="20"/>
                <w:szCs w:val="20"/>
                <w:color w:val="auto"/>
              </w:rPr>
              <w:t>$</w:t>
            </w:r>
          </w:p>
        </w:tc>
        <w:tc>
          <w:tcPr>
            <w:tcW w:w="64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6,786</w:t>
            </w:r>
          </w:p>
        </w:tc>
        <w:tc>
          <w:tcPr>
            <w:tcW w:w="360" w:type="dxa"/>
            <w:vAlign w:val="bottom"/>
            <w:gridSpan w:val="3"/>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80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795</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20"/>
                <w:szCs w:val="20"/>
                <w:color w:val="auto"/>
              </w:rPr>
              <w:t>Professional and legal fees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3,757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4,508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(751)</w:t>
            </w:r>
          </w:p>
        </w:tc>
        <w:tc>
          <w:tcPr>
            <w:tcW w:w="0" w:type="dxa"/>
            <w:vAlign w:val="bottom"/>
          </w:tcPr>
          <w:p>
            <w:pPr>
              <w:spacing w:after="0"/>
              <w:rPr>
                <w:sz w:val="1"/>
                <w:szCs w:val="1"/>
                <w:color w:val="auto"/>
              </w:rPr>
            </w:pPr>
          </w:p>
        </w:tc>
      </w:tr>
      <w:tr>
        <w:trPr>
          <w:trHeight w:val="229"/>
        </w:trPr>
        <w:tc>
          <w:tcPr>
            <w:tcW w:w="62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Facility and support services</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2,493</w:t>
            </w: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2,234</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259</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20"/>
                <w:szCs w:val="20"/>
                <w:color w:val="auto"/>
              </w:rPr>
              <w:t>Other general and administrative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803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1,892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(1,089)</w:t>
            </w:r>
          </w:p>
        </w:tc>
        <w:tc>
          <w:tcPr>
            <w:tcW w:w="0" w:type="dxa"/>
            <w:vAlign w:val="bottom"/>
          </w:tcPr>
          <w:p>
            <w:pPr>
              <w:spacing w:after="0"/>
              <w:rPr>
                <w:sz w:val="1"/>
                <w:szCs w:val="1"/>
                <w:color w:val="auto"/>
              </w:rPr>
            </w:pPr>
          </w:p>
        </w:tc>
      </w:tr>
      <w:tr>
        <w:trPr>
          <w:trHeight w:val="230"/>
        </w:trPr>
        <w:tc>
          <w:tcPr>
            <w:tcW w:w="62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Stock-based compensation</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spacing w:after="0"/>
              <w:rPr>
                <w:sz w:val="20"/>
                <w:szCs w:val="20"/>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7,338</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6,783</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spacing w:after="0"/>
              <w:rPr>
                <w:sz w:val="20"/>
                <w:szCs w:val="20"/>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555</w:t>
            </w:r>
          </w:p>
        </w:tc>
        <w:tc>
          <w:tcPr>
            <w:tcW w:w="0" w:type="dxa"/>
            <w:vAlign w:val="bottom"/>
          </w:tcPr>
          <w:p>
            <w:pPr>
              <w:spacing w:after="0"/>
              <w:rPr>
                <w:sz w:val="1"/>
                <w:szCs w:val="1"/>
                <w:color w:val="auto"/>
              </w:rPr>
            </w:pPr>
          </w:p>
        </w:tc>
      </w:tr>
      <w:tr>
        <w:trPr>
          <w:trHeight w:val="230"/>
        </w:trPr>
        <w:tc>
          <w:tcPr>
            <w:tcW w:w="6220" w:type="dxa"/>
            <w:vAlign w:val="bottom"/>
          </w:tcPr>
          <w:p>
            <w:pPr>
              <w:spacing w:after="0" w:line="221" w:lineRule="exact"/>
              <w:rPr>
                <w:sz w:val="20"/>
                <w:szCs w:val="20"/>
                <w:color w:val="auto"/>
              </w:rPr>
            </w:pPr>
            <w:r>
              <w:rPr>
                <w:rFonts w:ascii="Arial" w:cs="Arial" w:eastAsia="Arial" w:hAnsi="Arial"/>
                <w:sz w:val="20"/>
                <w:szCs w:val="20"/>
                <w:color w:val="auto"/>
              </w:rPr>
              <w:t>Total general and administrative expenses</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21,972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22,203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Personnel and stock-based compensation</w:t>
      </w:r>
    </w:p>
    <w:p>
      <w:pPr>
        <w:spacing w:after="0" w:line="228"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The increase in personnel expenses during the year ended December 31, 2025 compared to the year ended December 31, 2024 was primarily due to higher headcount. The increase in stock- based compensation expense during the year ended December 31, 2025 compared to the year ended December 31, 2024 was primarily due to higher forfeiture credits during the year ended December 31, 2024.</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Professional and legal fees</w:t>
      </w:r>
    </w:p>
    <w:p>
      <w:pPr>
        <w:spacing w:after="0" w:line="229" w:lineRule="exact"/>
        <w:rPr>
          <w:sz w:val="20"/>
          <w:szCs w:val="20"/>
          <w:color w:val="auto"/>
        </w:rPr>
      </w:pPr>
    </w:p>
    <w:p>
      <w:pPr>
        <w:jc w:val="both"/>
        <w:ind w:firstLine="720"/>
        <w:spacing w:after="0" w:line="325" w:lineRule="auto"/>
        <w:rPr>
          <w:sz w:val="20"/>
          <w:szCs w:val="20"/>
          <w:color w:val="auto"/>
        </w:rPr>
      </w:pPr>
      <w:r>
        <w:rPr>
          <w:rFonts w:ascii="Arial" w:cs="Arial" w:eastAsia="Arial" w:hAnsi="Arial"/>
          <w:sz w:val="17"/>
          <w:szCs w:val="17"/>
          <w:color w:val="auto"/>
        </w:rPr>
        <w:t>The decrease in professional and legal fees during the year ended December 31, 2025 compared to the year ended December 31, 2024 was primarily due to legal, accounting, and other professional expenses incurred in 2024 in connection with acquisition and license agreements, partially offset by an increase in investor relations costs incurred in 2025.</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Other general and administrative</w:t>
      </w:r>
    </w:p>
    <w:p>
      <w:pPr>
        <w:spacing w:after="0" w:line="229"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decrease in other general and administrative expenses during the year ended December 31, 2025 compared to the year ended December 31, 2024 was primarily due to the sale of our bankruptcy claims against EPI Health and a decrease in insurance costs in 2025.</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Licensing</w:t>
      </w:r>
    </w:p>
    <w:p>
      <w:pPr>
        <w:spacing w:after="0" w:line="230"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The decrease in licensing expenses during the year ended December 31, 2025 compared to the year ended December 31, 2024 was primarily due to larger milestone payments achieved under the license agreements with Sun Pharma and Lilly during the year ended December 31, 2024, a portion of which was payable to third parties.</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Revaluation of Contingent Consideration</w:t>
      </w:r>
    </w:p>
    <w:p>
      <w:pPr>
        <w:spacing w:after="0" w:line="23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revaluation of contingent consideration loss decreased during the year ended December 31, 2025 compared to the year ended December 31, 2024 primarily due to changes in estimated sales levels for certain product candidates during the year ended December 31, 2024.</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In-process Research and Development</w:t>
      </w:r>
    </w:p>
    <w:p>
      <w:pPr>
        <w:spacing w:after="0" w:line="23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In-process research and development expenses recorded during the year ended December 31, 2024 included the fair value of the consideration expensed in connection with the in-license of bosakitug and ATI-052, as well as transaction costs incurred as part of the transaction.</w:t>
      </w:r>
    </w:p>
    <w:p>
      <w:pPr>
        <w:sectPr>
          <w:pgSz w:w="11880" w:h="15480" w:orient="portrait"/>
          <w:cols w:equalWidth="0" w:num="1">
            <w:col w:w="9720"/>
          </w:cols>
          <w:pgMar w:left="1080" w:top="1179" w:right="108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720"/>
          </w:cols>
          <w:pgMar w:left="1080" w:top="1179" w:right="1080" w:bottom="0" w:gutter="0" w:footer="0" w:header="0"/>
          <w:type w:val="continuous"/>
        </w:sectPr>
      </w:pPr>
    </w:p>
    <w:bookmarkStart w:id="78" w:name="page79"/>
    <w:bookmarkEnd w:id="78"/>
    <w:p>
      <w:pPr>
        <w:ind w:left="720"/>
        <w:spacing w:after="0"/>
        <w:rPr>
          <w:sz w:val="20"/>
          <w:szCs w:val="20"/>
          <w:color w:val="auto"/>
        </w:rPr>
      </w:pPr>
      <w:r>
        <w:rPr>
          <w:rFonts w:ascii="Arial" w:cs="Arial" w:eastAsia="Arial" w:hAnsi="Arial"/>
          <w:sz w:val="20"/>
          <w:szCs w:val="20"/>
          <w:b w:val="1"/>
          <w:bCs w:val="1"/>
          <w:i w:val="1"/>
          <w:iCs w:val="1"/>
          <w:color w:val="auto"/>
        </w:rPr>
        <w:t>Non-cash Royalty Income</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Non-cash royalty income includes income related to the proceeds from the sale of a portion of our OLUMIANT royalty payments to OMERS in July 2024.</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Overview</w:t>
      </w:r>
    </w:p>
    <w:p>
      <w:pPr>
        <w:spacing w:after="0" w:line="234"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Since our inception, we have incurred net losses and negative cash flows from our operations. We have financed our operations over the last several years primarily through sales of our equity securities and non-dilutive financing. We may engage in additional equity and other financing transactions in order to raise funds. We may receive royalties and milestone payments under third-party licensing and acquisition agreements. In addition, to the extent we are able to consummate transactions with potential third-party partners to further develop, obtain marketing approval for and/or commercialize our product candidates, we may receive upfront payments, milestone payments or royalties from such arrangements that would increase our liquidity.</w:t>
      </w:r>
    </w:p>
    <w:p>
      <w:pPr>
        <w:spacing w:after="0" w:line="17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As of December 31, 2025, we had cash, cash equivalents and marketable securities of $151.4 million. Cash in excess of immediate requirements is invested in accordance with our investment policy, primarily with a view towards liquidity and capital preservation.</w:t>
      </w:r>
    </w:p>
    <w:p>
      <w:pPr>
        <w:spacing w:after="0" w:line="179"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We currently have no ongoing material financing commitments, such as lines of credit or guarantees, that are expected to affect our liquidity, other than our contingent obligations under the Confluence Agreement, Biosion Agreement and CTTQ Agreement, which are summarized above under “Overview—Acquisition and License Agreements,” and our lease obligations.</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Equity Financing</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Private Placement</w:t>
      </w:r>
    </w:p>
    <w:p>
      <w:pPr>
        <w:spacing w:after="0" w:line="231"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In November 2024, we closed a private placement in which we sold 35.6 million shares of our common stock for aggregate gross proceeds of $80.0 million. We paid placement agent and other fees of $5.1 million in connection with the private placement.</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Cash Flows</w:t>
      </w:r>
    </w:p>
    <w:p>
      <w:pPr>
        <w:spacing w:after="0" w:line="235"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Cash and cash equivalents were $20.0 million as of December 31, 2025 compared to $24.6 million as of December 31, 2024. We also had $131.4 million in short- and long-term marketable securities as of December 31, 2025 compared to $179.3 million as of December 31, 2024.</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sources and uses of cash that contributed to the change in cash and cash equivalents were: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1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7"/>
              <w:spacing w:after="0" w:line="175"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3"/>
              <w:spacing w:after="0" w:line="175" w:lineRule="exact"/>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220"/>
        </w:trPr>
        <w:tc>
          <w:tcPr>
            <w:tcW w:w="714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Cash and cash equivalents beginning balance</w:t>
            </w:r>
          </w:p>
        </w:tc>
        <w:tc>
          <w:tcPr>
            <w:tcW w:w="460" w:type="dxa"/>
            <w:vAlign w:val="bottom"/>
            <w:gridSpan w:val="2"/>
            <w:shd w:val="clear" w:color="auto" w:fill="E5E5E5"/>
          </w:tcPr>
          <w:p>
            <w:pPr>
              <w:jc w:val="right"/>
              <w:ind w:right="40"/>
              <w:spacing w:after="0" w:line="220" w:lineRule="exact"/>
              <w:rPr>
                <w:sz w:val="20"/>
                <w:szCs w:val="20"/>
                <w:color w:val="auto"/>
              </w:rPr>
            </w:pPr>
            <w:r>
              <w:rPr>
                <w:rFonts w:ascii="Arial" w:cs="Arial" w:eastAsia="Arial" w:hAnsi="Arial"/>
                <w:sz w:val="20"/>
                <w:szCs w:val="20"/>
                <w:color w:val="auto"/>
              </w:rPr>
              <w:t>$</w:t>
            </w: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24,570</w:t>
            </w:r>
          </w:p>
        </w:tc>
        <w:tc>
          <w:tcPr>
            <w:tcW w:w="220" w:type="dxa"/>
            <w:vAlign w:val="bottom"/>
            <w:tcBorders>
              <w:right w:val="single" w:sz="8" w:color="E5E5E5"/>
            </w:tcBorders>
            <w:shd w:val="clear" w:color="auto" w:fill="E5E5E5"/>
          </w:tcPr>
          <w:p>
            <w:pPr>
              <w:spacing w:after="0"/>
              <w:rPr>
                <w:sz w:val="19"/>
                <w:szCs w:val="19"/>
                <w:color w:val="auto"/>
              </w:rPr>
            </w:pPr>
          </w:p>
        </w:tc>
        <w:tc>
          <w:tcPr>
            <w:tcW w:w="320" w:type="dxa"/>
            <w:vAlign w:val="bottom"/>
            <w:shd w:val="clear" w:color="auto" w:fill="E5E5E5"/>
          </w:tcPr>
          <w:p>
            <w:pPr>
              <w:jc w:val="right"/>
              <w:ind w:right="120"/>
              <w:spacing w:after="0" w:line="220" w:lineRule="exact"/>
              <w:rPr>
                <w:sz w:val="20"/>
                <w:szCs w:val="20"/>
                <w:color w:val="auto"/>
              </w:rPr>
            </w:pPr>
            <w:r>
              <w:rPr>
                <w:rFonts w:ascii="Arial" w:cs="Arial" w:eastAsia="Arial" w:hAnsi="Arial"/>
                <w:sz w:val="20"/>
                <w:szCs w:val="20"/>
                <w:color w:val="auto"/>
                <w:w w:val="71"/>
              </w:rPr>
              <w:t>$</w:t>
            </w:r>
          </w:p>
        </w:tc>
        <w:tc>
          <w:tcPr>
            <w:tcW w:w="72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39,878</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20"/>
                <w:szCs w:val="20"/>
                <w:color w:val="auto"/>
              </w:rPr>
              <w:t>Net cash used in operating activities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0"/>
                <w:szCs w:val="20"/>
                <w:color w:val="auto"/>
              </w:rPr>
              <w:t>(47,113)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3"/>
              </w:rPr>
              <w:t>(20,075)</w:t>
            </w:r>
          </w:p>
        </w:tc>
        <w:tc>
          <w:tcPr>
            <w:tcW w:w="0" w:type="dxa"/>
            <w:vAlign w:val="bottom"/>
          </w:tcPr>
          <w:p>
            <w:pPr>
              <w:spacing w:after="0"/>
              <w:rPr>
                <w:sz w:val="1"/>
                <w:szCs w:val="1"/>
                <w:color w:val="auto"/>
              </w:rPr>
            </w:pPr>
          </w:p>
        </w:tc>
      </w:tr>
      <w:tr>
        <w:trPr>
          <w:trHeight w:val="230"/>
        </w:trPr>
        <w:tc>
          <w:tcPr>
            <w:tcW w:w="7140" w:type="dxa"/>
            <w:vAlign w:val="bottom"/>
            <w:shd w:val="clear" w:color="auto" w:fill="E5E5E5"/>
          </w:tcPr>
          <w:p>
            <w:pPr>
              <w:spacing w:after="0"/>
              <w:rPr>
                <w:sz w:val="20"/>
                <w:szCs w:val="20"/>
                <w:color w:val="auto"/>
              </w:rPr>
            </w:pPr>
            <w:r>
              <w:rPr>
                <w:rFonts w:ascii="Arial" w:cs="Arial" w:eastAsia="Arial" w:hAnsi="Arial"/>
                <w:sz w:val="20"/>
                <w:szCs w:val="20"/>
                <w:color w:val="auto"/>
              </w:rPr>
              <w:t>Net cash provided by (used in) investing activities</w:t>
            </w:r>
          </w:p>
        </w:tc>
        <w:tc>
          <w:tcPr>
            <w:tcW w:w="220" w:type="dxa"/>
            <w:vAlign w:val="bottom"/>
            <w:tcBorders>
              <w:right w:val="single" w:sz="8" w:color="E5E5E5"/>
            </w:tcBorders>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48,365</w:t>
            </w:r>
          </w:p>
        </w:tc>
        <w:tc>
          <w:tcPr>
            <w:tcW w:w="220" w:type="dxa"/>
            <w:vAlign w:val="bottom"/>
            <w:tcBorders>
              <w:right w:val="single" w:sz="8" w:color="E5E5E5"/>
            </w:tcBorders>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20"/>
                <w:szCs w:val="20"/>
                <w:color w:val="auto"/>
                <w:w w:val="93"/>
              </w:rPr>
              <w:t>(69,769)</w:t>
            </w: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20"/>
                <w:szCs w:val="20"/>
                <w:color w:val="auto"/>
              </w:rPr>
              <w:t>Net cash (used in) provided by financing activities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0"/>
                <w:szCs w:val="20"/>
                <w:color w:val="auto"/>
              </w:rPr>
              <w:t>(5,862)</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74,536</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E5E5E5"/>
          </w:tcPr>
          <w:p>
            <w:pPr>
              <w:spacing w:after="0"/>
              <w:rPr>
                <w:sz w:val="20"/>
                <w:szCs w:val="20"/>
                <w:color w:val="auto"/>
              </w:rPr>
            </w:pPr>
            <w:r>
              <w:rPr>
                <w:rFonts w:ascii="Arial" w:cs="Arial" w:eastAsia="Arial" w:hAnsi="Arial"/>
                <w:sz w:val="20"/>
                <w:szCs w:val="20"/>
                <w:color w:val="auto"/>
              </w:rPr>
              <w:t>Cash and cash equivalents ending balance</w:t>
            </w:r>
          </w:p>
        </w:tc>
        <w:tc>
          <w:tcPr>
            <w:tcW w:w="220" w:type="dxa"/>
            <w:vAlign w:val="bottom"/>
            <w:tcBorders>
              <w:right w:val="single" w:sz="8" w:color="E5E5E5"/>
            </w:tcBorders>
            <w:shd w:val="clear" w:color="auto" w:fill="E5E5E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E5E5E5"/>
            </w:tcBorders>
            <w:shd w:val="clear" w:color="auto" w:fill="E5E5E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40" w:type="dxa"/>
            <w:vAlign w:val="bottom"/>
            <w:vMerge w:val="continue"/>
            <w:shd w:val="clear" w:color="auto" w:fill="E5E5E5"/>
          </w:tcPr>
          <w:p>
            <w:pPr>
              <w:spacing w:after="0"/>
              <w:rPr>
                <w:sz w:val="20"/>
                <w:szCs w:val="20"/>
                <w:color w:val="auto"/>
              </w:rPr>
            </w:pPr>
          </w:p>
        </w:tc>
        <w:tc>
          <w:tcPr>
            <w:tcW w:w="220" w:type="dxa"/>
            <w:vAlign w:val="bottom"/>
            <w:tcBorders>
              <w:right w:val="single" w:sz="8" w:color="E5E5E5"/>
            </w:tcBorders>
            <w:shd w:val="clear" w:color="auto" w:fill="E5E5E5"/>
          </w:tcPr>
          <w:p>
            <w:pPr>
              <w:spacing w:after="0"/>
              <w:rPr>
                <w:sz w:val="20"/>
                <w:szCs w:val="20"/>
                <w:color w:val="auto"/>
              </w:rPr>
            </w:pPr>
          </w:p>
        </w:tc>
        <w:tc>
          <w:tcPr>
            <w:tcW w:w="240" w:type="dxa"/>
            <w:vAlign w:val="bottom"/>
            <w:tcBorders>
              <w:bottom w:val="single" w:sz="8" w:color="auto"/>
            </w:tcBorders>
            <w:shd w:val="clear" w:color="auto" w:fill="E5E5E5"/>
          </w:tcPr>
          <w:p>
            <w:pPr>
              <w:jc w:val="right"/>
              <w:ind w:right="40"/>
              <w:spacing w:after="0" w:line="221" w:lineRule="exact"/>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rPr>
              <w:t>19,960</w:t>
            </w:r>
          </w:p>
        </w:tc>
        <w:tc>
          <w:tcPr>
            <w:tcW w:w="220" w:type="dxa"/>
            <w:vAlign w:val="bottom"/>
            <w:tcBorders>
              <w:right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jc w:val="right"/>
              <w:ind w:right="120"/>
              <w:spacing w:after="0" w:line="221"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rPr>
              <w:t>24,570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720"/>
          </w:cols>
          <w:pgMar w:left="1080" w:top="1177" w:right="1080" w:bottom="0" w:gutter="0" w:footer="0" w:header="0"/>
          <w:type w:val="continuous"/>
        </w:sectPr>
      </w:pPr>
    </w:p>
    <w:bookmarkStart w:id="79" w:name="page80"/>
    <w:bookmarkEnd w:id="79"/>
    <w:p>
      <w:pPr>
        <w:ind w:left="720"/>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Cash flow related to operating activities was the result of:</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04"/>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3"/>
        </w:trPr>
        <w:tc>
          <w:tcPr>
            <w:tcW w:w="7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7"/>
              <w:spacing w:after="0" w:line="173" w:lineRule="exact"/>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E5E5E5"/>
            </w:tcBorders>
          </w:tcPr>
          <w:p>
            <w:pPr>
              <w:spacing w:after="0"/>
              <w:rPr>
                <w:sz w:val="15"/>
                <w:szCs w:val="15"/>
                <w:color w:val="auto"/>
              </w:rPr>
            </w:pPr>
          </w:p>
        </w:tc>
        <w:tc>
          <w:tcPr>
            <w:tcW w:w="180" w:type="dxa"/>
            <w:vAlign w:val="bottom"/>
            <w:tcBorders>
              <w:top w:val="single" w:sz="8" w:color="auto"/>
              <w:bottom w:val="single" w:sz="8" w:color="E5E5E5"/>
            </w:tcBorders>
          </w:tcPr>
          <w:p>
            <w:pPr>
              <w:spacing w:after="0"/>
              <w:rPr>
                <w:sz w:val="15"/>
                <w:szCs w:val="15"/>
                <w:color w:val="auto"/>
              </w:rPr>
            </w:pPr>
          </w:p>
        </w:tc>
        <w:tc>
          <w:tcPr>
            <w:tcW w:w="20" w:type="dxa"/>
            <w:vAlign w:val="bottom"/>
            <w:tcBorders>
              <w:top w:val="single" w:sz="8" w:color="auto"/>
              <w:bottom w:val="single" w:sz="8" w:color="E5E5E5"/>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63"/>
              <w:spacing w:after="0" w:line="173"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Net loss</w:t>
            </w:r>
          </w:p>
        </w:tc>
        <w:tc>
          <w:tcPr>
            <w:tcW w:w="480" w:type="dxa"/>
            <w:vAlign w:val="bottom"/>
            <w:gridSpan w:val="3"/>
            <w:shd w:val="clear" w:color="auto" w:fill="E5E5E5"/>
          </w:tcPr>
          <w:p>
            <w:pPr>
              <w:jc w:val="right"/>
              <w:ind w:right="85"/>
              <w:spacing w:after="0" w:line="220" w:lineRule="exact"/>
              <w:rPr>
                <w:sz w:val="20"/>
                <w:szCs w:val="20"/>
                <w:color w:val="auto"/>
              </w:rPr>
            </w:pPr>
            <w:r>
              <w:rPr>
                <w:rFonts w:ascii="Arial" w:cs="Arial" w:eastAsia="Arial" w:hAnsi="Arial"/>
                <w:sz w:val="20"/>
                <w:szCs w:val="20"/>
                <w:color w:val="auto"/>
              </w:rPr>
              <w:t>$</w:t>
            </w:r>
          </w:p>
        </w:tc>
        <w:tc>
          <w:tcPr>
            <w:tcW w:w="880" w:type="dxa"/>
            <w:vAlign w:val="bottom"/>
            <w:gridSpan w:val="2"/>
            <w:shd w:val="clear" w:color="auto" w:fill="E5E5E5"/>
          </w:tcPr>
          <w:p>
            <w:pPr>
              <w:jc w:val="right"/>
              <w:ind w:right="20"/>
              <w:spacing w:after="0" w:line="220" w:lineRule="exact"/>
              <w:rPr>
                <w:sz w:val="20"/>
                <w:szCs w:val="20"/>
                <w:color w:val="auto"/>
              </w:rPr>
            </w:pPr>
            <w:r>
              <w:rPr>
                <w:rFonts w:ascii="Arial" w:cs="Arial" w:eastAsia="Arial" w:hAnsi="Arial"/>
                <w:sz w:val="20"/>
                <w:szCs w:val="20"/>
                <w:color w:val="auto"/>
              </w:rPr>
              <w:t>(64,923)</w:t>
            </w:r>
          </w:p>
        </w:tc>
        <w:tc>
          <w:tcPr>
            <w:tcW w:w="380" w:type="dxa"/>
            <w:vAlign w:val="bottom"/>
            <w:gridSpan w:val="3"/>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w w:val="98"/>
              </w:rPr>
              <w:t>(132,065)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20"/>
                <w:szCs w:val="20"/>
                <w:color w:val="auto"/>
                <w:w w:val="97"/>
              </w:rPr>
              <w:t>Non-cash adjustments to reconcile net loss to net cash used in operating activities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15,138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101,068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rPr>
                <w:sz w:val="20"/>
                <w:szCs w:val="20"/>
                <w:color w:val="auto"/>
              </w:rPr>
            </w:pPr>
            <w:r>
              <w:rPr>
                <w:rFonts w:ascii="Arial" w:cs="Arial" w:eastAsia="Arial" w:hAnsi="Arial"/>
                <w:sz w:val="20"/>
                <w:szCs w:val="20"/>
                <w:color w:val="auto"/>
              </w:rPr>
              <w:t>Change in accounts receivable, prepaid expenses and other assets</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6,138</w:t>
            </w: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(4,875)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20"/>
                <w:szCs w:val="20"/>
                <w:color w:val="auto"/>
              </w:rPr>
              <w:t>Change in accounts payable and accrued expenses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rPr>
                <w:sz w:val="20"/>
                <w:szCs w:val="20"/>
                <w:color w:val="auto"/>
              </w:rPr>
            </w:pPr>
            <w:r>
              <w:rPr>
                <w:rFonts w:ascii="Arial" w:cs="Arial" w:eastAsia="Arial" w:hAnsi="Arial"/>
                <w:sz w:val="20"/>
                <w:szCs w:val="20"/>
                <w:color w:val="auto"/>
              </w:rPr>
              <w:t>Change in deferred income</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20"/>
                <w:szCs w:val="20"/>
                <w:color w:val="auto"/>
              </w:rPr>
              <w:t>(3,816)</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23,927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line="221" w:lineRule="exact"/>
              <w:rPr>
                <w:sz w:val="20"/>
                <w:szCs w:val="20"/>
                <w:color w:val="auto"/>
              </w:rPr>
            </w:pPr>
            <w:r>
              <w:rPr>
                <w:rFonts w:ascii="Arial" w:cs="Arial" w:eastAsia="Arial" w:hAnsi="Arial"/>
                <w:sz w:val="20"/>
                <w:szCs w:val="20"/>
                <w:color w:val="auto"/>
              </w:rPr>
              <w:t>Net cash used in operating activities</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(47,113)</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(20,075)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Net cash used in operating activities increased for the year ended December 31, 2025 compared to the year ended December 31, 2024 primarily as a result of higher net losses after adjusting for non-cash items and proceeds from the royalty sale to OMERS during 2024. The change was partially offset by a decrease in cash used for accounts payable and accrued expenses, after adjusting for the receipt and corresponding payment of a third-party milestone during the year ended December 31, 2025.</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decrease in non- cash adjustments to reconcile net loss to net cash used in operating activities was mainly the result of in-process research and development expenses recorded in connection with the in-license of bosakitug and ATI-052 during the year ended December 31, 2024.</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Cash flow related to investing activities was the result of:</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03"/>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4"/>
        </w:trPr>
        <w:tc>
          <w:tcPr>
            <w:tcW w:w="7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7"/>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auto"/>
              <w:bottom w:val="single" w:sz="8" w:color="E5E5E5"/>
            </w:tcBorders>
          </w:tcPr>
          <w:p>
            <w:pPr>
              <w:spacing w:after="0"/>
              <w:rPr>
                <w:sz w:val="15"/>
                <w:szCs w:val="15"/>
                <w:color w:val="auto"/>
              </w:rPr>
            </w:pPr>
          </w:p>
        </w:tc>
        <w:tc>
          <w:tcPr>
            <w:tcW w:w="20" w:type="dxa"/>
            <w:vAlign w:val="bottom"/>
            <w:tcBorders>
              <w:top w:val="single" w:sz="8" w:color="auto"/>
              <w:bottom w:val="single" w:sz="8" w:color="E5E5E5"/>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63"/>
              <w:spacing w:after="0" w:line="175"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Purchases of property and equipment</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40" w:type="dxa"/>
            <w:vAlign w:val="bottom"/>
            <w:shd w:val="clear" w:color="auto" w:fill="E5E5E5"/>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5E5E5"/>
          </w:tcPr>
          <w:p>
            <w:pPr>
              <w:jc w:val="right"/>
              <w:ind w:right="200"/>
              <w:spacing w:after="0" w:line="220" w:lineRule="exact"/>
              <w:rPr>
                <w:sz w:val="20"/>
                <w:szCs w:val="20"/>
                <w:color w:val="auto"/>
              </w:rPr>
            </w:pPr>
            <w:r>
              <w:rPr>
                <w:rFonts w:ascii="Arial" w:cs="Arial" w:eastAsia="Arial" w:hAnsi="Arial"/>
                <w:sz w:val="20"/>
                <w:szCs w:val="20"/>
                <w:color w:val="auto"/>
              </w:rPr>
              <w:t>(111)</w:t>
            </w:r>
          </w:p>
        </w:tc>
        <w:tc>
          <w:tcPr>
            <w:tcW w:w="20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w w:val="89"/>
              </w:rPr>
              <w:t>$</w:t>
            </w: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20"/>
                <w:szCs w:val="20"/>
                <w:color w:val="auto"/>
              </w:rPr>
              <w:t>Purchases of marketable securities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(39,732)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8"/>
              </w:rPr>
              <w:t>(119,982)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rPr>
                <w:sz w:val="20"/>
                <w:szCs w:val="20"/>
                <w:color w:val="auto"/>
              </w:rPr>
            </w:pPr>
            <w:r>
              <w:rPr>
                <w:rFonts w:ascii="Arial" w:cs="Arial" w:eastAsia="Arial" w:hAnsi="Arial"/>
                <w:sz w:val="20"/>
                <w:szCs w:val="20"/>
                <w:color w:val="auto"/>
              </w:rPr>
              <w:t>Proceeds from sales and maturities of marketable securities</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89,041</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86,144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20"/>
                <w:szCs w:val="20"/>
                <w:color w:val="auto"/>
              </w:rPr>
              <w:t>Payments of deferred transaction consideration for in-licensed assets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20"/>
                <w:szCs w:val="20"/>
                <w:color w:val="auto"/>
              </w:rPr>
              <w:t>(833)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E5E5E5"/>
          </w:tcPr>
          <w:p>
            <w:pPr>
              <w:spacing w:after="0"/>
              <w:rPr>
                <w:sz w:val="20"/>
                <w:szCs w:val="20"/>
                <w:color w:val="auto"/>
              </w:rPr>
            </w:pPr>
            <w:r>
              <w:rPr>
                <w:rFonts w:ascii="Arial" w:cs="Arial" w:eastAsia="Arial" w:hAnsi="Arial"/>
                <w:sz w:val="20"/>
                <w:szCs w:val="20"/>
                <w:color w:val="auto"/>
              </w:rPr>
              <w:t>Acquisition of in-licensed assets, including transaction costs</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(35,810)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line="221" w:lineRule="exact"/>
              <w:rPr>
                <w:sz w:val="20"/>
                <w:szCs w:val="20"/>
                <w:color w:val="auto"/>
              </w:rPr>
            </w:pPr>
            <w:r>
              <w:rPr>
                <w:rFonts w:ascii="Arial" w:cs="Arial" w:eastAsia="Arial" w:hAnsi="Arial"/>
                <w:sz w:val="20"/>
                <w:szCs w:val="20"/>
                <w:color w:val="auto"/>
              </w:rPr>
              <w:t>Net cash provided by (used in) investing activities</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48,365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(69,769)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Net cash provided by investing activities for the year ended December 31, 2025 was $48.4 million compared to net cash used in investing activities during the year ended December 31, 2024 of $69.8 million. The change was primarily due to higher purchases of marketable securities and the consideration paid in connection with the in-license of bosakitug and ATI-052 during the year ended December 31, 2024.</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Cash flow related to financing activities was the result of:</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1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7"/>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3"/>
              <w:spacing w:after="0" w:line="175" w:lineRule="exact"/>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220"/>
        </w:trPr>
        <w:tc>
          <w:tcPr>
            <w:tcW w:w="71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w w:val="92"/>
              </w:rPr>
              <w:t>Proceeds from issuance of common stock under securities purchase agreement, net of</w:t>
            </w: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E5E5E5"/>
          </w:tcPr>
          <w:p>
            <w:pPr>
              <w:spacing w:after="0"/>
              <w:rPr>
                <w:sz w:val="20"/>
                <w:szCs w:val="20"/>
                <w:color w:val="auto"/>
              </w:rPr>
            </w:pPr>
            <w:r>
              <w:rPr>
                <w:rFonts w:ascii="Arial" w:cs="Arial" w:eastAsia="Arial" w:hAnsi="Arial"/>
                <w:sz w:val="20"/>
                <w:szCs w:val="20"/>
                <w:color w:val="auto"/>
              </w:rPr>
              <w:t>issuance costs</w:t>
            </w: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320" w:type="dxa"/>
            <w:vAlign w:val="bottom"/>
            <w:shd w:val="clear" w:color="auto" w:fill="E5E5E5"/>
          </w:tcPr>
          <w:p>
            <w:pPr>
              <w:jc w:val="right"/>
              <w:ind w:right="120"/>
              <w:spacing w:after="0"/>
              <w:rPr>
                <w:sz w:val="20"/>
                <w:szCs w:val="20"/>
                <w:color w:val="auto"/>
              </w:rPr>
            </w:pPr>
            <w:r>
              <w:rPr>
                <w:rFonts w:ascii="Arial" w:cs="Arial" w:eastAsia="Arial" w:hAnsi="Arial"/>
                <w:sz w:val="20"/>
                <w:szCs w:val="20"/>
                <w:color w:val="auto"/>
                <w:w w:val="71"/>
                <w:shd w:val="clear" w:color="auto" w:fill="E5E5E5"/>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20"/>
                <w:szCs w:val="20"/>
                <w:color w:val="auto"/>
                <w:shd w:val="clear" w:color="auto" w:fill="E5E5E5"/>
              </w:rPr>
              <w:t>74,913</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20"/>
                <w:szCs w:val="20"/>
                <w:color w:val="auto"/>
              </w:rPr>
              <w:t>Payments of deferred transaction consideration for in-licensed assets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(5,416)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rPr>
                <w:sz w:val="20"/>
                <w:szCs w:val="20"/>
                <w:color w:val="auto"/>
              </w:rPr>
            </w:pPr>
            <w:r>
              <w:rPr>
                <w:rFonts w:ascii="Arial" w:cs="Arial" w:eastAsia="Arial" w:hAnsi="Arial"/>
                <w:sz w:val="20"/>
                <w:szCs w:val="20"/>
                <w:color w:val="auto"/>
                <w:w w:val="93"/>
              </w:rPr>
              <w:t>Payments of employee withholding taxes related to restricted stock unit award vesting</w:t>
            </w:r>
          </w:p>
        </w:tc>
        <w:tc>
          <w:tcPr>
            <w:tcW w:w="2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160" w:type="dxa"/>
            <w:vAlign w:val="bottom"/>
            <w:gridSpan w:val="2"/>
            <w:shd w:val="clear" w:color="auto" w:fill="E5E5E5"/>
          </w:tcPr>
          <w:p>
            <w:pPr>
              <w:jc w:val="right"/>
              <w:ind w:right="200"/>
              <w:spacing w:after="0"/>
              <w:rPr>
                <w:sz w:val="20"/>
                <w:szCs w:val="20"/>
                <w:color w:val="auto"/>
              </w:rPr>
            </w:pPr>
            <w:r>
              <w:rPr>
                <w:rFonts w:ascii="Arial" w:cs="Arial" w:eastAsia="Arial" w:hAnsi="Arial"/>
                <w:sz w:val="20"/>
                <w:szCs w:val="20"/>
                <w:color w:val="auto"/>
              </w:rPr>
              <w:t>(446)</w:t>
            </w:r>
          </w:p>
        </w:tc>
        <w:tc>
          <w:tcPr>
            <w:tcW w:w="2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(409)</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E5E5E5"/>
            </w:tcBorders>
          </w:tcPr>
          <w:p>
            <w:pPr>
              <w:spacing w:after="0"/>
              <w:rPr>
                <w:sz w:val="20"/>
                <w:szCs w:val="20"/>
                <w:color w:val="auto"/>
              </w:rPr>
            </w:pPr>
            <w:r>
              <w:rPr>
                <w:rFonts w:ascii="Arial" w:cs="Arial" w:eastAsia="Arial" w:hAnsi="Arial"/>
                <w:sz w:val="20"/>
                <w:szCs w:val="20"/>
                <w:color w:val="auto"/>
              </w:rPr>
              <w:t>Proceeds from exercise of employee stock options and the issuance of stock</w:t>
            </w:r>
          </w:p>
        </w:tc>
        <w:tc>
          <w:tcPr>
            <w:tcW w:w="22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line="221" w:lineRule="exact"/>
              <w:rPr>
                <w:sz w:val="20"/>
                <w:szCs w:val="20"/>
                <w:color w:val="auto"/>
              </w:rPr>
            </w:pPr>
            <w:r>
              <w:rPr>
                <w:rFonts w:ascii="Arial" w:cs="Arial" w:eastAsia="Arial" w:hAnsi="Arial"/>
                <w:sz w:val="20"/>
                <w:szCs w:val="20"/>
                <w:color w:val="auto"/>
              </w:rPr>
              <w:t>Net cash (used in) provided by financing activities</w:t>
            </w:r>
          </w:p>
        </w:tc>
        <w:tc>
          <w:tcPr>
            <w:tcW w:w="220" w:type="dxa"/>
            <w:vAlign w:val="bottom"/>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rPr>
              <w:t>(5,862)</w:t>
            </w:r>
          </w:p>
        </w:tc>
        <w:tc>
          <w:tcPr>
            <w:tcW w:w="200" w:type="dxa"/>
            <w:vAlign w:val="bottom"/>
            <w:shd w:val="clear" w:color="auto" w:fill="E5E5E5"/>
          </w:tcPr>
          <w:p>
            <w:pPr>
              <w:spacing w:after="0"/>
              <w:rPr>
                <w:sz w:val="20"/>
                <w:szCs w:val="20"/>
                <w:color w:val="auto"/>
              </w:rPr>
            </w:pPr>
          </w:p>
        </w:tc>
        <w:tc>
          <w:tcPr>
            <w:tcW w:w="340" w:type="dxa"/>
            <w:vAlign w:val="bottom"/>
            <w:tcBorders>
              <w:bottom w:val="single" w:sz="8" w:color="auto"/>
            </w:tcBorders>
            <w:gridSpan w:val="2"/>
            <w:shd w:val="clear" w:color="auto" w:fill="E5E5E5"/>
          </w:tcPr>
          <w:p>
            <w:pPr>
              <w:jc w:val="right"/>
              <w:ind w:right="120"/>
              <w:spacing w:after="0" w:line="221" w:lineRule="exact"/>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rPr>
              <w:t>74,536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720"/>
          </w:cols>
          <w:pgMar w:left="1080" w:top="1177" w:right="1080" w:bottom="0" w:gutter="0" w:footer="0" w:header="0"/>
          <w:type w:val="continuous"/>
        </w:sectPr>
      </w:pPr>
    </w:p>
    <w:bookmarkStart w:id="80" w:name="page81"/>
    <w:bookmarkEnd w:id="80"/>
    <w:p>
      <w:pPr>
        <w:jc w:val="both"/>
        <w:ind w:firstLine="720"/>
        <w:spacing w:after="0" w:line="278" w:lineRule="auto"/>
        <w:rPr>
          <w:sz w:val="20"/>
          <w:szCs w:val="20"/>
          <w:color w:val="auto"/>
        </w:rPr>
      </w:pPr>
      <w:r>
        <w:rPr>
          <w:rFonts w:ascii="Arial" w:cs="Arial" w:eastAsia="Arial" w:hAnsi="Arial"/>
          <w:sz w:val="19"/>
          <w:szCs w:val="19"/>
          <w:color w:val="auto"/>
        </w:rPr>
        <w:t>Net cash used in financing activities for the year ended December 31, 2025 was $5.9 million compared to net cash provided by financing activities during the year ended December 31, 2024 of $74.5 million. The change was primarily due to proceeds from our private placement during the year ended December 31, 2024.</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Funding Requirements</w:t>
      </w:r>
    </w:p>
    <w:p>
      <w:pPr>
        <w:spacing w:after="0" w:line="234"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We anticipate we will incur net losses in the near term as we continue the development of our product candidates and continue to discover and develop additional product candidates. We may not be able to generate revenue from these programs if, among other things, our clinical trials are not successful, the FDA does not approve our product candidates currently in clinical trials when we expect, or at all, or we are not able to identify and consummate transactions with third-party partners to further develop, obtain marketing approval for and/or commercialize our product candidates.</w:t>
      </w:r>
    </w:p>
    <w:p>
      <w:pPr>
        <w:spacing w:after="0" w:line="156"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research and development expenses, laboratory and related supplies, professional and legal expenses, and administrative and overhead costs. Our future funding requirements will be heavily determined by the resources needed to support the development of our product candidates, without taking into account any potential business development activities.</w:t>
      </w:r>
    </w:p>
    <w:p>
      <w:pPr>
        <w:spacing w:after="0" w:line="153"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As a publicly traded company, we incur and will continue to incur significant legal, accounting and other similar expenses. In addition, the Sarbanes-Oxley Act of 2002, as well as rules adopted by the SEC and the Nasdaq Stock Market LLC, requires public companies to implement specified corporate governance practices that could increase our compliance costs.</w:t>
      </w:r>
    </w:p>
    <w:p>
      <w:pPr>
        <w:spacing w:after="0" w:line="184"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8"/>
          <w:szCs w:val="18"/>
          <w:color w:val="auto"/>
        </w:rPr>
        <w:t>We believe our existing cash, cash equivalents and marketable securities are sufficient to fund our operating and capital expenditure requirements for a period greater than 12 months from the date of issuance of our consolidated financial statements that appear in Item 8 of this Annual Report based on our current operating assumptions. We will require additional capital to develop our product candidates and to support our discovery efforts. Additional funds may not be available on a timely basis, on commercially acceptable terms, or at all, and such funds, if raised, may not be sufficient to enable us to continue to implement our long-term business strategy. Our ability to raise additional capital may be adversely impacted by potential worsening global economic conditions caused by a variety of factors including geopolitical tensions, tariff policies, and inflationary pressures. If we are unable to raise sufficient additional capital or generate revenue from transactions with potential third-party partners for the development and/or commercialization of our product candidates, we may need to substantially curtail our planned operations.</w:t>
      </w:r>
    </w:p>
    <w:p>
      <w:pPr>
        <w:spacing w:after="0" w:line="168"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We may raise additional capital through the sale of equity or debt securities. In such an event, our stockholders’ ownership may be diluted, and the terms of these securities may include liquidation or other preferences that adversely affect the rights of a holder of our common stock.</w:t>
      </w:r>
    </w:p>
    <w:p>
      <w:pPr>
        <w:spacing w:after="0" w:line="178"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Because of the numerous risks and uncertainties associated with research and development of pharmaceutical product candidates, we are unable to estimate the exact amount of our working capital requirements. Our funding requirements in the near term will depend on many factors, including:</w:t>
      </w:r>
    </w:p>
    <w:p>
      <w:pPr>
        <w:spacing w:after="0" w:line="191" w:lineRule="exact"/>
        <w:rPr>
          <w:sz w:val="20"/>
          <w:szCs w:val="20"/>
          <w:color w:val="auto"/>
        </w:rPr>
      </w:pPr>
    </w:p>
    <w:p>
      <w:pPr>
        <w:ind w:left="1080" w:hanging="351"/>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number and development requirements of the product candidates that we may pursue;</w:t>
      </w:r>
    </w:p>
    <w:p>
      <w:pPr>
        <w:spacing w:after="0" w:line="36" w:lineRule="exact"/>
        <w:rPr>
          <w:rFonts w:ascii="Arial" w:cs="Arial" w:eastAsia="Arial" w:hAnsi="Arial"/>
          <w:sz w:val="20"/>
          <w:szCs w:val="20"/>
          <w:color w:val="auto"/>
        </w:rPr>
      </w:pPr>
    </w:p>
    <w:p>
      <w:pPr>
        <w:ind w:left="1080" w:hanging="351"/>
        <w:spacing w:after="0" w:line="247" w:lineRule="auto"/>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scope, progress, results and costs of preclinical development, laboratory testing and conducting preclinical and clinical studies for our product candidates;</w:t>
      </w:r>
    </w:p>
    <w:p>
      <w:pPr>
        <w:ind w:left="1080" w:hanging="351"/>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costs, timing, and outcome of regulatory review of our product candidates;</w:t>
      </w:r>
    </w:p>
    <w:p>
      <w:pPr>
        <w:spacing w:after="0" w:line="14" w:lineRule="exact"/>
        <w:rPr>
          <w:rFonts w:ascii="Arial" w:cs="Arial" w:eastAsia="Arial" w:hAnsi="Arial"/>
          <w:sz w:val="20"/>
          <w:szCs w:val="20"/>
          <w:color w:val="auto"/>
        </w:rPr>
      </w:pPr>
    </w:p>
    <w:p>
      <w:pPr>
        <w:ind w:left="1080" w:hanging="351"/>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extent to which we in-license or acquire additional product candidates and technologies;</w:t>
      </w:r>
    </w:p>
    <w:p>
      <w:pPr>
        <w:spacing w:after="0" w:line="13" w:lineRule="exact"/>
        <w:rPr>
          <w:rFonts w:ascii="Arial" w:cs="Arial" w:eastAsia="Arial" w:hAnsi="Arial"/>
          <w:sz w:val="20"/>
          <w:szCs w:val="20"/>
          <w:color w:val="auto"/>
        </w:rPr>
      </w:pPr>
    </w:p>
    <w:p>
      <w:pPr>
        <w:ind w:left="1080" w:hanging="351"/>
        <w:spacing w:after="0" w:line="248" w:lineRule="auto"/>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maintaining and enforcing our intellectual property rights and defending any intellectual property-related claims;</w:t>
      </w:r>
    </w:p>
    <w:p>
      <w:pPr>
        <w:ind w:left="1080" w:hanging="351"/>
        <w:spacing w:after="0" w:line="247" w:lineRule="auto"/>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our ability to identify and consummate transactions with third-party partners to further develop, obtain marketing approval for and/or commercialize our product candidates; and</w:t>
      </w:r>
    </w:p>
    <w:p>
      <w:pPr>
        <w:ind w:left="1080" w:hanging="35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earn revenue as a result of licenses to, or partnerships or other arrangements with, third parties.</w:t>
      </w:r>
    </w:p>
    <w:p>
      <w:pPr>
        <w:spacing w:after="0" w:line="24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See “Risk Factors” for additional risks associated with our substantial capital requirements.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720"/>
          </w:cols>
          <w:pgMar w:left="1080" w:top="1177" w:right="1080" w:bottom="0" w:gutter="0" w:footer="0" w:header="0"/>
          <w:type w:val="continuous"/>
        </w:sectPr>
      </w:pPr>
    </w:p>
    <w:bookmarkStart w:id="81" w:name="page82"/>
    <w:bookmarkEnd w:id="81"/>
    <w:p>
      <w:pPr>
        <w:ind w:left="720"/>
        <w:spacing w:after="0"/>
        <w:rPr>
          <w:sz w:val="20"/>
          <w:szCs w:val="20"/>
          <w:color w:val="auto"/>
        </w:rPr>
      </w:pPr>
      <w:r>
        <w:rPr>
          <w:rFonts w:ascii="Arial" w:cs="Arial" w:eastAsia="Arial" w:hAnsi="Arial"/>
          <w:sz w:val="20"/>
          <w:szCs w:val="20"/>
          <w:b w:val="1"/>
          <w:bCs w:val="1"/>
          <w:i w:val="1"/>
          <w:iCs w:val="1"/>
          <w:color w:val="auto"/>
        </w:rPr>
        <w:t>Leases</w:t>
      </w:r>
    </w:p>
    <w:p>
      <w:pPr>
        <w:spacing w:after="0" w:line="23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We occupy space for our headquarters in Wayne, Pennsylvania under a lease agreement which has a term through February 2029. We also occupy office and laboratory space in St. Louis, Missouri under a sublease agreement which has a term through May 2029.</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aggregate remaining lease payment obligation for these two spaces was $2.5 million as of December 31,</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2025.</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Agreement and Plan of Merger with Confluence</w:t>
      </w:r>
    </w:p>
    <w:p>
      <w:pPr>
        <w:spacing w:after="0" w:line="230"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9"/>
          <w:szCs w:val="19"/>
          <w:color w:val="auto"/>
        </w:rPr>
        <w:t>We have agreed to certain payment obligations in accordance with and subject to the terms of the Confluence Agreement (see “Overview—Acquisition and License Agreements—Agreement and Plan of Merger with Confluence”). As of December 31, 2025, the balance of our contingent consideration liability was $11.0 million.</w:t>
      </w:r>
    </w:p>
    <w:p>
      <w:pPr>
        <w:spacing w:after="0" w:line="159"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Exclusive License Agreement with Biosion; Collaboration Agreement with Biosion and CTTQ</w:t>
      </w:r>
    </w:p>
    <w:p>
      <w:pPr>
        <w:spacing w:after="0" w:line="230" w:lineRule="exact"/>
        <w:rPr>
          <w:sz w:val="20"/>
          <w:szCs w:val="20"/>
          <w:color w:val="auto"/>
        </w:rPr>
      </w:pPr>
    </w:p>
    <w:p>
      <w:pPr>
        <w:jc w:val="both"/>
        <w:ind w:firstLine="720"/>
        <w:spacing w:after="0" w:line="305" w:lineRule="auto"/>
        <w:rPr>
          <w:sz w:val="20"/>
          <w:szCs w:val="20"/>
          <w:color w:val="auto"/>
        </w:rPr>
      </w:pPr>
      <w:r>
        <w:rPr>
          <w:rFonts w:ascii="Arial" w:cs="Arial" w:eastAsia="Arial" w:hAnsi="Arial"/>
          <w:sz w:val="19"/>
          <w:szCs w:val="19"/>
          <w:color w:val="auto"/>
        </w:rPr>
        <w:t>We have agreed to certain payment obligations in accordance with and subject to the terms of the Biosion Agreements (see “Overview—Acquisition and License Agreements—Exclusive License Agreement with Biosion”).</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20"/>
          <w:szCs w:val="20"/>
          <w:b w:val="1"/>
          <w:bCs w:val="1"/>
          <w:i w:val="1"/>
          <w:iCs w:val="1"/>
          <w:color w:val="auto"/>
        </w:rPr>
        <w:t>R&amp;D Obligations</w:t>
      </w:r>
    </w:p>
    <w:p>
      <w:pPr>
        <w:spacing w:after="0" w:line="230"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We enter into contracts in the normal course of business with CROs, contract manufacturing organizations and other service providers for clinical trials, preclinical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34"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We operate and report as one reportable segment, which focuses on identifying and developing innovative therapies to address significant unmet needs for immuno-inflammatory diseases. The segment earns revenue through the licensing of our intellectual property and the provision of laboratory services. Our chief operating decision maker, our Chief Executive Officer, manages our operations on a consolidated basis for the purpose of making operating decisions, assessing financial performance, and allocating resources.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4"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In December 2025, the Financial Accounting Standards Board (“FASB”) issued Accounting Standards Update (“ASU”) No. 2025-12, “Interim Reporting (Topic 270): Narrow-Scope Improvements.” This standard clarifies interim disclosure requirements and the applicability of Topic 270. The ASU becomes effective for interim reporting periods within annual reporting periods beginning after December 15, 2027. We are currently assessing the impact of this ASU.</w:t>
      </w:r>
    </w:p>
    <w:p>
      <w:pPr>
        <w:spacing w:after="0" w:line="153"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In November 2024, the FASB issued ASU No. 2024-03, “Income Statement—Reporting Comprehensive Income—Expense Disaggregation Disclosures (Subtopic 220-40): Disaggregation of Income Statement Expenses.” This standard requires disclosure of additional information about specific expense categories in the notes to financial statements on an annual and interim basis. This ASU becomes effective for annual periods beginning after December 15, 2026 and interim reporting periods within annual reporting periods beginning after December 15, 2027. We are currently assessing the impact of this ASU.</w:t>
      </w:r>
    </w:p>
    <w:p>
      <w:pPr>
        <w:spacing w:after="0" w:line="191"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This standard enhances disclosures related to income taxes, including the rate reconciliation and information on income taxes paid. We adopted ASU No. 2023-09 effective December 31, 2025, on a prospective basis, the impact of which is limited to additional income tax disclosures in the notes to our consolidated financial statements.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720"/>
          </w:cols>
          <w:pgMar w:left="1080" w:top="1177" w:right="1080" w:bottom="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34" w:lineRule="exact"/>
        <w:rPr>
          <w:sz w:val="20"/>
          <w:szCs w:val="20"/>
          <w:color w:val="auto"/>
        </w:rPr>
      </w:pPr>
    </w:p>
    <w:p>
      <w:pPr>
        <w:ind w:firstLine="720"/>
        <w:spacing w:after="0" w:line="278" w:lineRule="auto"/>
        <w:rPr>
          <w:sz w:val="20"/>
          <w:szCs w:val="20"/>
          <w:color w:val="auto"/>
        </w:rPr>
      </w:pPr>
      <w:r>
        <w:rPr>
          <w:rFonts w:ascii="Arial" w:cs="Arial" w:eastAsia="Arial" w:hAnsi="Arial"/>
          <w:sz w:val="20"/>
          <w:szCs w:val="20"/>
          <w:color w:val="auto"/>
        </w:rPr>
        <w:t>We are a smaller reporting company as defined by Rule 12b-2 of the Exchange Act and are not required to provide the information under this item.</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720"/>
          </w:cols>
          <w:pgMar w:left="1080" w:top="1173" w:right="1080"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75"/>
        </w:trPr>
        <w:tc>
          <w:tcPr>
            <w:tcW w:w="9140" w:type="dxa"/>
            <w:vAlign w:val="bottom"/>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9140" w:type="dxa"/>
            <w:vAlign w:val="bottom"/>
          </w:tcPr>
          <w:p>
            <w:pPr>
              <w:ind w:left="2240"/>
              <w:spacing w:after="0"/>
              <w:rPr>
                <w:sz w:val="20"/>
                <w:szCs w:val="20"/>
                <w:color w:val="auto"/>
              </w:rPr>
            </w:pPr>
            <w:r>
              <w:rPr>
                <w:rFonts w:ascii="Arial" w:cs="Arial" w:eastAsia="Arial" w:hAnsi="Arial"/>
                <w:sz w:val="20"/>
                <w:szCs w:val="20"/>
                <w:b w:val="1"/>
                <w:bCs w:val="1"/>
                <w:color w:val="auto"/>
              </w:rPr>
              <w:t>INDEX TO CONSOLIDATED FINANCIAL STATEMENTS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914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 (PCAOB ID 238)</w:t>
            </w:r>
          </w:p>
        </w:tc>
        <w:tc>
          <w:tcPr>
            <w:tcW w:w="58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461"/>
        </w:trPr>
        <w:tc>
          <w:tcPr>
            <w:tcW w:w="9140" w:type="dxa"/>
            <w:vAlign w:val="bottom"/>
          </w:tcPr>
          <w:p>
            <w:pPr>
              <w:spacing w:after="0"/>
              <w:rPr>
                <w:sz w:val="20"/>
                <w:szCs w:val="20"/>
                <w:color w:val="auto"/>
              </w:rPr>
            </w:pPr>
            <w:r>
              <w:rPr>
                <w:rFonts w:ascii="Arial" w:cs="Arial" w:eastAsia="Arial" w:hAnsi="Arial"/>
                <w:sz w:val="20"/>
                <w:szCs w:val="20"/>
                <w:color w:val="auto"/>
              </w:rPr>
              <w:t>Consolidated Balance Sheets as of December 31, 2025 and 2024</w:t>
            </w:r>
          </w:p>
        </w:tc>
        <w:tc>
          <w:tcPr>
            <w:tcW w:w="58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424"/>
        </w:trPr>
        <w:tc>
          <w:tcPr>
            <w:tcW w:w="9140" w:type="dxa"/>
            <w:vAlign w:val="bottom"/>
          </w:tcPr>
          <w:p>
            <w:pPr>
              <w:spacing w:after="0"/>
              <w:rPr>
                <w:sz w:val="20"/>
                <w:szCs w:val="20"/>
                <w:color w:val="auto"/>
              </w:rPr>
            </w:pPr>
            <w:r>
              <w:rPr>
                <w:rFonts w:ascii="Arial" w:cs="Arial" w:eastAsia="Arial" w:hAnsi="Arial"/>
                <w:sz w:val="20"/>
                <w:szCs w:val="20"/>
                <w:color w:val="auto"/>
                <w:w w:val="93"/>
              </w:rPr>
              <w:t>Consolidated Statements of Operations and Comprehensive Loss for the years ended December 31, 2025 and</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67"/>
        </w:trPr>
        <w:tc>
          <w:tcPr>
            <w:tcW w:w="9140" w:type="dxa"/>
            <w:vAlign w:val="bottom"/>
          </w:tcPr>
          <w:p>
            <w:pPr>
              <w:ind w:left="240"/>
              <w:spacing w:after="0"/>
              <w:rPr>
                <w:sz w:val="20"/>
                <w:szCs w:val="20"/>
                <w:color w:val="auto"/>
              </w:rPr>
            </w:pPr>
            <w:r>
              <w:rPr>
                <w:rFonts w:ascii="Arial" w:cs="Arial" w:eastAsia="Arial" w:hAnsi="Arial"/>
                <w:sz w:val="20"/>
                <w:szCs w:val="20"/>
                <w:color w:val="auto"/>
              </w:rPr>
              <w:t>2024</w:t>
            </w:r>
          </w:p>
        </w:tc>
        <w:tc>
          <w:tcPr>
            <w:tcW w:w="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9140" w:type="dxa"/>
            <w:vAlign w:val="bottom"/>
          </w:tcPr>
          <w:p>
            <w:pPr>
              <w:spacing w:after="0"/>
              <w:rPr>
                <w:sz w:val="20"/>
                <w:szCs w:val="20"/>
                <w:color w:val="auto"/>
              </w:rPr>
            </w:pPr>
            <w:r>
              <w:rPr>
                <w:rFonts w:ascii="Arial" w:cs="Arial" w:eastAsia="Arial" w:hAnsi="Arial"/>
                <w:sz w:val="20"/>
                <w:szCs w:val="20"/>
                <w:color w:val="auto"/>
              </w:rPr>
              <w:t>Consolidated Statements of Stockholders’ Equity for the years ended December 31, 2025 and 2024</w:t>
            </w:r>
          </w:p>
        </w:tc>
        <w:tc>
          <w:tcPr>
            <w:tcW w:w="58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460"/>
        </w:trPr>
        <w:tc>
          <w:tcPr>
            <w:tcW w:w="9140" w:type="dxa"/>
            <w:vAlign w:val="bottom"/>
          </w:tcPr>
          <w:p>
            <w:pPr>
              <w:spacing w:after="0"/>
              <w:rPr>
                <w:sz w:val="20"/>
                <w:szCs w:val="20"/>
                <w:color w:val="auto"/>
              </w:rPr>
            </w:pPr>
            <w:r>
              <w:rPr>
                <w:rFonts w:ascii="Arial" w:cs="Arial" w:eastAsia="Arial" w:hAnsi="Arial"/>
                <w:sz w:val="20"/>
                <w:szCs w:val="20"/>
                <w:color w:val="auto"/>
              </w:rPr>
              <w:t>Consolidated Statements of Cash Flows for the years ended December 31, 2025 and 2024</w:t>
            </w:r>
          </w:p>
        </w:tc>
        <w:tc>
          <w:tcPr>
            <w:tcW w:w="580" w:type="dxa"/>
            <w:vAlign w:val="bottom"/>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461"/>
        </w:trPr>
        <w:tc>
          <w:tcPr>
            <w:tcW w:w="914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58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720"/>
          </w:cols>
          <w:pgMar w:left="1080" w:top="1173" w:right="108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Aclaris Therapeutics,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audited the accompanying consolidated balance sheets of Aclaris Therapeutics, Inc.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of the Contingent Consideration Liability</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described in Notes 2 and 3 to the consolidated financial statements, the Company’s contingent consideration balance was $11.0 million as of December 31, 2025. The Company records a contingent consideration liability related to future potential payments resulting from the acquisition of Confluence based upon significant unobservable inputs including the achievement of regulatory and commercial milestones, as well as estimated future sales levels and the discount rates applied to calculate the present value of the potential payments. Management evaluates fair value estimates of the contingent consideration liability on a quarterly basis using a probability-weighted expected payment model for regulatory milestone payments and a Monte Carlo simulation model for commercial milestone and royalty payments and then applying a risk-adjusted discount rate to calculate the present value of the potential payment. Changes in the fair value of the contingent consideration are recorded as income or expense in the Company’s consolidated statement of operations and comprehensive loss. Significant assumptions used in management’s estimates include the probability of achieving</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720"/>
          </w:cols>
          <w:pgMar w:left="1080" w:top="1173" w:right="1080" w:bottom="0" w:gutter="0" w:footer="0" w:header="0"/>
          <w:type w:val="continuous"/>
        </w:sectPr>
      </w:pPr>
    </w:p>
    <w:bookmarkStart w:id="85" w:name="page86"/>
    <w:bookmarkEnd w:id="85"/>
    <w:p>
      <w:pPr>
        <w:jc w:val="both"/>
        <w:spacing w:after="0" w:line="278" w:lineRule="auto"/>
        <w:rPr>
          <w:sz w:val="20"/>
          <w:szCs w:val="20"/>
          <w:color w:val="auto"/>
        </w:rPr>
      </w:pPr>
      <w:r>
        <w:rPr>
          <w:rFonts w:ascii="Arial" w:cs="Arial" w:eastAsia="Arial" w:hAnsi="Arial"/>
          <w:sz w:val="20"/>
          <w:szCs w:val="20"/>
          <w:color w:val="auto"/>
        </w:rPr>
        <w:t>regulatory milestones and commencing commercialization, which are based upon an asset’s current stage of development and review of existing clinical data.</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principal considerations for our determination that performing procedures relating to the fair value of the contingent consideration liability is a critical audit matter are (i) the significant judgment by management when developing the fair value estimate, which in turn led to (ii) a high degree of auditor judgment, subjectivity and effort in performing procedures and evaluating management’s significant assumptions related to the probability of achieving regulatory milestones and commencing commercialization. In addition, the audit effort involved the use of professionals with specialized skill and knowledge.</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of the contingent consideration liability, (ii) evaluating the appropriateness of the probability weighted expected payment and Monte Carlo simulation valuation models, (iii) testing the completeness and accuracy of the underlying data used in the models, and (iv) evaluating the reasonableness of the significant assumptions used by management related to the probability of achieving regulatory milestones and commencing commercialization. Evaluating management’s assumptions related to the probability of achieving regulatory milestones and commencing commercialization involved evaluating whether the assumptions were reasonable considering the agreements associated with the transaction as well as the consistency with industry information, the stage of product development and whether the assumptions were consistent with evidence obtained in other areas of the audit. Professionals with specialized skill and knowledge were used to assist in the evaluation of the Company’s probability-weighted expected payment and Monte Carlo simulation valuation models.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/s/PricewaterhouseCoopers LLP</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rPr>
          <w:sz w:val="20"/>
          <w:szCs w:val="20"/>
          <w:color w:val="auto"/>
        </w:rPr>
      </w:pPr>
      <w:r>
        <w:rPr>
          <w:rFonts w:ascii="Arial" w:cs="Arial" w:eastAsia="Arial" w:hAnsi="Arial"/>
          <w:sz w:val="20"/>
          <w:szCs w:val="20"/>
          <w:color w:val="auto"/>
        </w:rPr>
        <w:t>February 26, 2026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2015.</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720"/>
          </w:cols>
          <w:pgMar w:left="1080" w:top="1177" w:right="108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ACLARIS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w w:val="94"/>
              </w:rPr>
              <w:t>December 31,</w:t>
            </w:r>
          </w:p>
        </w:tc>
      </w:tr>
      <w:tr>
        <w:trPr>
          <w:trHeight w:val="203"/>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2024</w:t>
            </w:r>
          </w:p>
        </w:tc>
      </w:tr>
      <w:tr>
        <w:trPr>
          <w:trHeight w:val="174"/>
        </w:trPr>
        <w:tc>
          <w:tcPr>
            <w:tcW w:w="7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7260" w:type="dxa"/>
            <w:vAlign w:val="bottom"/>
            <w:shd w:val="clear" w:color="auto" w:fill="E5E5E5"/>
          </w:tcPr>
          <w:p>
            <w:pPr>
              <w:spacing w:after="0"/>
              <w:rPr>
                <w:sz w:val="20"/>
                <w:szCs w:val="20"/>
                <w:color w:val="auto"/>
              </w:rPr>
            </w:pPr>
            <w:r>
              <w:rPr>
                <w:rFonts w:ascii="Arial" w:cs="Arial" w:eastAsia="Arial" w:hAnsi="Arial"/>
                <w:sz w:val="20"/>
                <w:szCs w:val="20"/>
                <w:b w:val="1"/>
                <w:bCs w:val="1"/>
                <w:color w:val="auto"/>
              </w:rPr>
              <w:t>Assets</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Current assets: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rPr>
              <w:t>Cash and cash equivalents</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19,960</w:t>
            </w:r>
          </w:p>
        </w:tc>
        <w:tc>
          <w:tcPr>
            <w:tcW w:w="220" w:type="dxa"/>
            <w:vAlign w:val="bottom"/>
            <w:shd w:val="clear" w:color="auto" w:fill="E5E5E5"/>
          </w:tcPr>
          <w:p>
            <w:pPr>
              <w:spacing w:after="0"/>
              <w:rPr>
                <w:sz w:val="20"/>
                <w:szCs w:val="20"/>
                <w:color w:val="auto"/>
              </w:rPr>
            </w:pPr>
          </w:p>
        </w:tc>
        <w:tc>
          <w:tcPr>
            <w:tcW w:w="200" w:type="dxa"/>
            <w:vAlign w:val="bottom"/>
            <w:gridSpan w:val="2"/>
            <w:shd w:val="clear" w:color="auto" w:fill="E5E5E5"/>
          </w:tcPr>
          <w:p>
            <w:pPr>
              <w:jc w:val="right"/>
              <w:ind w:right="23"/>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24,570</w:t>
            </w:r>
          </w:p>
        </w:tc>
      </w:tr>
      <w:tr>
        <w:trPr>
          <w:trHeight w:val="229"/>
        </w:trPr>
        <w:tc>
          <w:tcPr>
            <w:tcW w:w="7260" w:type="dxa"/>
            <w:vAlign w:val="bottom"/>
          </w:tcPr>
          <w:p>
            <w:pPr>
              <w:ind w:left="240"/>
              <w:spacing w:after="0"/>
              <w:rPr>
                <w:sz w:val="20"/>
                <w:szCs w:val="20"/>
                <w:color w:val="auto"/>
              </w:rPr>
            </w:pPr>
            <w:r>
              <w:rPr>
                <w:rFonts w:ascii="Arial" w:cs="Arial" w:eastAsia="Arial" w:hAnsi="Arial"/>
                <w:sz w:val="20"/>
                <w:szCs w:val="20"/>
                <w:color w:val="auto"/>
              </w:rPr>
              <w:t>Short-term marketable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70,791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89,024</w:t>
            </w:r>
          </w:p>
        </w:tc>
      </w:tr>
      <w:tr>
        <w:trPr>
          <w:trHeight w:val="230"/>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rPr>
              <w:t>Accounts receivable, prepaid expenses and other current assets</w:t>
            </w:r>
          </w:p>
        </w:tc>
        <w:tc>
          <w:tcPr>
            <w:tcW w:w="20" w:type="dxa"/>
            <w:vAlign w:val="bottom"/>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5,565</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spacing w:after="0"/>
              <w:rPr>
                <w:sz w:val="20"/>
                <w:szCs w:val="20"/>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12,357</w:t>
            </w:r>
          </w:p>
        </w:tc>
      </w:tr>
      <w:tr>
        <w:trPr>
          <w:trHeight w:val="220"/>
        </w:trPr>
        <w:tc>
          <w:tcPr>
            <w:tcW w:w="7260" w:type="dxa"/>
            <w:vAlign w:val="bottom"/>
          </w:tcPr>
          <w:p>
            <w:pPr>
              <w:ind w:left="360"/>
              <w:spacing w:after="0" w:line="220" w:lineRule="exact"/>
              <w:rPr>
                <w:sz w:val="20"/>
                <w:szCs w:val="20"/>
                <w:color w:val="auto"/>
              </w:rPr>
            </w:pPr>
            <w:r>
              <w:rPr>
                <w:rFonts w:ascii="Arial" w:cs="Arial" w:eastAsia="Arial" w:hAnsi="Arial"/>
                <w:sz w:val="20"/>
                <w:szCs w:val="20"/>
                <w:color w:val="auto"/>
              </w:rPr>
              <w:t>Total 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Arial" w:cs="Arial" w:eastAsia="Arial" w:hAnsi="Arial"/>
                <w:sz w:val="20"/>
                <w:szCs w:val="20"/>
                <w:color w:val="auto"/>
              </w:rPr>
              <w:t>96,316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line="220" w:lineRule="exact"/>
              <w:rPr>
                <w:sz w:val="20"/>
                <w:szCs w:val="20"/>
                <w:color w:val="auto"/>
              </w:rPr>
            </w:pPr>
            <w:r>
              <w:rPr>
                <w:rFonts w:ascii="Arial" w:cs="Arial" w:eastAsia="Arial" w:hAnsi="Arial"/>
                <w:sz w:val="20"/>
                <w:szCs w:val="20"/>
                <w:color w:val="auto"/>
              </w:rPr>
              <w:t>125,951</w:t>
            </w:r>
          </w:p>
        </w:tc>
      </w:tr>
      <w:tr>
        <w:trPr>
          <w:trHeight w:val="230"/>
        </w:trPr>
        <w:tc>
          <w:tcPr>
            <w:tcW w:w="7260" w:type="dxa"/>
            <w:vAlign w:val="bottom"/>
            <w:shd w:val="clear" w:color="auto" w:fill="E5E5E5"/>
          </w:tcPr>
          <w:p>
            <w:pPr>
              <w:spacing w:after="0"/>
              <w:rPr>
                <w:sz w:val="20"/>
                <w:szCs w:val="20"/>
                <w:color w:val="auto"/>
              </w:rPr>
            </w:pPr>
            <w:r>
              <w:rPr>
                <w:rFonts w:ascii="Arial" w:cs="Arial" w:eastAsia="Arial" w:hAnsi="Arial"/>
                <w:sz w:val="20"/>
                <w:szCs w:val="20"/>
                <w:color w:val="auto"/>
              </w:rPr>
              <w:t>Marketable securities</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60,612</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90,302</w:t>
            </w:r>
          </w:p>
        </w:tc>
      </w:tr>
      <w:tr>
        <w:trPr>
          <w:trHeight w:val="229"/>
        </w:trPr>
        <w:tc>
          <w:tcPr>
            <w:tcW w:w="7260" w:type="dxa"/>
            <w:vAlign w:val="bottom"/>
          </w:tcPr>
          <w:p>
            <w:pPr>
              <w:spacing w:after="0"/>
              <w:rPr>
                <w:sz w:val="20"/>
                <w:szCs w:val="20"/>
                <w:color w:val="auto"/>
              </w:rPr>
            </w:pPr>
            <w:r>
              <w:rPr>
                <w:rFonts w:ascii="Arial" w:cs="Arial" w:eastAsia="Arial" w:hAnsi="Arial"/>
                <w:sz w:val="20"/>
                <w:szCs w:val="20"/>
                <w:color w:val="auto"/>
              </w:rPr>
              <w:t>Property and equipment,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1,008</w:t>
            </w:r>
          </w:p>
        </w:tc>
      </w:tr>
      <w:tr>
        <w:trPr>
          <w:trHeight w:val="230"/>
        </w:trPr>
        <w:tc>
          <w:tcPr>
            <w:tcW w:w="7260" w:type="dxa"/>
            <w:vAlign w:val="bottom"/>
            <w:shd w:val="clear" w:color="auto" w:fill="E5E5E5"/>
          </w:tcPr>
          <w:p>
            <w:pPr>
              <w:spacing w:after="0"/>
              <w:rPr>
                <w:sz w:val="20"/>
                <w:szCs w:val="20"/>
                <w:color w:val="auto"/>
              </w:rPr>
            </w:pPr>
            <w:r>
              <w:rPr>
                <w:rFonts w:ascii="Arial" w:cs="Arial" w:eastAsia="Arial" w:hAnsi="Arial"/>
                <w:sz w:val="20"/>
                <w:szCs w:val="20"/>
                <w:color w:val="auto"/>
              </w:rPr>
              <w:t>Other assets</w:t>
            </w:r>
          </w:p>
        </w:tc>
        <w:tc>
          <w:tcPr>
            <w:tcW w:w="20" w:type="dxa"/>
            <w:vAlign w:val="bottom"/>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2,771</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spacing w:after="0"/>
              <w:rPr>
                <w:sz w:val="20"/>
                <w:szCs w:val="20"/>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3,066</w:t>
            </w:r>
          </w:p>
        </w:tc>
      </w:tr>
      <w:tr>
        <w:trPr>
          <w:trHeight w:val="228"/>
        </w:trPr>
        <w:tc>
          <w:tcPr>
            <w:tcW w:w="7260" w:type="dxa"/>
            <w:vAlign w:val="bottom"/>
            <w:tcBorders>
              <w:bottom w:val="single" w:sz="8" w:color="E5E5E5"/>
            </w:tcBorders>
          </w:tcPr>
          <w:p>
            <w:pPr>
              <w:ind w:left="360"/>
              <w:spacing w:after="0" w:line="220" w:lineRule="exact"/>
              <w:rPr>
                <w:sz w:val="20"/>
                <w:szCs w:val="20"/>
                <w:color w:val="auto"/>
              </w:rPr>
            </w:pPr>
            <w:r>
              <w:rPr>
                <w:rFonts w:ascii="Arial" w:cs="Arial" w:eastAsia="Arial" w:hAnsi="Arial"/>
                <w:sz w:val="20"/>
                <w:szCs w:val="20"/>
                <w:color w:val="auto"/>
              </w:rPr>
              <w:t>Total assets</w:t>
            </w:r>
          </w:p>
        </w:tc>
        <w:tc>
          <w:tcPr>
            <w:tcW w:w="2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160,460</w:t>
            </w:r>
          </w:p>
        </w:tc>
        <w:tc>
          <w:tcPr>
            <w:tcW w:w="22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220,327</w:t>
            </w:r>
          </w:p>
        </w:tc>
      </w:tr>
      <w:tr>
        <w:trPr>
          <w:trHeight w:val="232"/>
        </w:trPr>
        <w:tc>
          <w:tcPr>
            <w:tcW w:w="7260" w:type="dxa"/>
            <w:vAlign w:val="bottom"/>
            <w:shd w:val="clear" w:color="auto" w:fill="E5E5E5"/>
          </w:tcPr>
          <w:p>
            <w:pPr>
              <w:spacing w:after="0"/>
              <w:rPr>
                <w:sz w:val="20"/>
                <w:szCs w:val="20"/>
                <w:color w:val="auto"/>
              </w:rPr>
            </w:pPr>
            <w:r>
              <w:rPr>
                <w:rFonts w:ascii="Arial" w:cs="Arial" w:eastAsia="Arial" w:hAnsi="Arial"/>
                <w:sz w:val="20"/>
                <w:szCs w:val="20"/>
                <w:b w:val="1"/>
                <w:bCs w:val="1"/>
                <w:color w:val="auto"/>
              </w:rPr>
              <w:t>Liabilities and Stockholders’ Equity</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20"/>
                <w:szCs w:val="20"/>
                <w:color w:val="auto"/>
              </w:rPr>
              <w:t>Current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rPr>
              <w:t>Accounts payable</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13,158</w:t>
            </w:r>
          </w:p>
        </w:tc>
        <w:tc>
          <w:tcPr>
            <w:tcW w:w="220" w:type="dxa"/>
            <w:vAlign w:val="bottom"/>
            <w:shd w:val="clear" w:color="auto" w:fill="E5E5E5"/>
          </w:tcPr>
          <w:p>
            <w:pPr>
              <w:spacing w:after="0"/>
              <w:rPr>
                <w:sz w:val="20"/>
                <w:szCs w:val="20"/>
                <w:color w:val="auto"/>
              </w:rPr>
            </w:pPr>
          </w:p>
        </w:tc>
        <w:tc>
          <w:tcPr>
            <w:tcW w:w="200" w:type="dxa"/>
            <w:vAlign w:val="bottom"/>
            <w:gridSpan w:val="2"/>
            <w:shd w:val="clear" w:color="auto" w:fill="E5E5E5"/>
          </w:tcPr>
          <w:p>
            <w:pPr>
              <w:jc w:val="right"/>
              <w:ind w:right="23"/>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4,690</w:t>
            </w:r>
          </w:p>
        </w:tc>
      </w:tr>
      <w:tr>
        <w:trPr>
          <w:trHeight w:val="229"/>
        </w:trPr>
        <w:tc>
          <w:tcPr>
            <w:tcW w:w="7260" w:type="dxa"/>
            <w:vAlign w:val="bottom"/>
          </w:tcPr>
          <w:p>
            <w:pPr>
              <w:ind w:left="240"/>
              <w:spacing w:after="0"/>
              <w:rPr>
                <w:sz w:val="20"/>
                <w:szCs w:val="20"/>
                <w:color w:val="auto"/>
              </w:rPr>
            </w:pPr>
            <w:r>
              <w:rPr>
                <w:rFonts w:ascii="Arial" w:cs="Arial" w:eastAsia="Arial" w:hAnsi="Arial"/>
                <w:sz w:val="20"/>
                <w:szCs w:val="20"/>
                <w:color w:val="auto"/>
              </w:rPr>
              <w:t>Accrued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8,791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20,333</w:t>
            </w:r>
          </w:p>
        </w:tc>
      </w:tr>
      <w:tr>
        <w:trPr>
          <w:trHeight w:val="230"/>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rPr>
              <w:t>Deferred income</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3,943</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3,890</w:t>
            </w:r>
          </w:p>
        </w:tc>
      </w:tr>
      <w:tr>
        <w:trPr>
          <w:trHeight w:val="230"/>
        </w:trPr>
        <w:tc>
          <w:tcPr>
            <w:tcW w:w="7260" w:type="dxa"/>
            <w:vAlign w:val="bottom"/>
            <w:tcBorders>
              <w:bottom w:val="single" w:sz="8" w:color="E5E5E5"/>
            </w:tcBorders>
          </w:tcPr>
          <w:p>
            <w:pPr>
              <w:ind w:left="240"/>
              <w:spacing w:after="0"/>
              <w:rPr>
                <w:sz w:val="20"/>
                <w:szCs w:val="20"/>
                <w:color w:val="auto"/>
              </w:rPr>
            </w:pPr>
            <w:r>
              <w:rPr>
                <w:rFonts w:ascii="Arial" w:cs="Arial" w:eastAsia="Arial" w:hAnsi="Arial"/>
                <w:sz w:val="20"/>
                <w:szCs w:val="20"/>
                <w:color w:val="auto"/>
              </w:rPr>
              <w:t>Other current liabilities</w:t>
            </w:r>
          </w:p>
        </w:tc>
        <w:tc>
          <w:tcPr>
            <w:tcW w:w="20" w:type="dxa"/>
            <w:vAlign w:val="bottom"/>
            <w:tcBorders>
              <w:bottom w:val="single" w:sz="8" w:color="E5E5E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2,753</w:t>
            </w:r>
          </w:p>
        </w:tc>
        <w:tc>
          <w:tcPr>
            <w:tcW w:w="22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2,683</w:t>
            </w:r>
          </w:p>
        </w:tc>
      </w:tr>
      <w:tr>
        <w:trPr>
          <w:trHeight w:val="220"/>
        </w:trPr>
        <w:tc>
          <w:tcPr>
            <w:tcW w:w="7260" w:type="dxa"/>
            <w:vAlign w:val="bottom"/>
            <w:shd w:val="clear" w:color="auto" w:fill="E5E5E5"/>
          </w:tcPr>
          <w:p>
            <w:pPr>
              <w:ind w:left="360"/>
              <w:spacing w:after="0" w:line="220" w:lineRule="exact"/>
              <w:rPr>
                <w:sz w:val="20"/>
                <w:szCs w:val="20"/>
                <w:color w:val="auto"/>
              </w:rPr>
            </w:pPr>
            <w:r>
              <w:rPr>
                <w:rFonts w:ascii="Arial" w:cs="Arial" w:eastAsia="Arial" w:hAnsi="Arial"/>
                <w:sz w:val="20"/>
                <w:szCs w:val="20"/>
                <w:color w:val="auto"/>
              </w:rPr>
              <w:t>Total current liabilities</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28,645</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31,596</w:t>
            </w:r>
          </w:p>
        </w:tc>
      </w:tr>
      <w:tr>
        <w:trPr>
          <w:trHeight w:val="229"/>
        </w:trPr>
        <w:tc>
          <w:tcPr>
            <w:tcW w:w="7260" w:type="dxa"/>
            <w:vAlign w:val="bottom"/>
          </w:tcPr>
          <w:p>
            <w:pPr>
              <w:spacing w:after="0"/>
              <w:rPr>
                <w:sz w:val="20"/>
                <w:szCs w:val="20"/>
                <w:color w:val="auto"/>
              </w:rPr>
            </w:pPr>
            <w:r>
              <w:rPr>
                <w:rFonts w:ascii="Arial" w:cs="Arial" w:eastAsia="Arial" w:hAnsi="Arial"/>
                <w:sz w:val="20"/>
                <w:szCs w:val="20"/>
                <w:color w:val="auto"/>
              </w:rPr>
              <w:t>Other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4,439</w:t>
            </w:r>
          </w:p>
        </w:tc>
      </w:tr>
      <w:tr>
        <w:trPr>
          <w:trHeight w:val="230"/>
        </w:trPr>
        <w:tc>
          <w:tcPr>
            <w:tcW w:w="7260" w:type="dxa"/>
            <w:vAlign w:val="bottom"/>
            <w:shd w:val="clear" w:color="auto" w:fill="E5E5E5"/>
          </w:tcPr>
          <w:p>
            <w:pPr>
              <w:spacing w:after="0"/>
              <w:rPr>
                <w:sz w:val="20"/>
                <w:szCs w:val="20"/>
                <w:color w:val="auto"/>
              </w:rPr>
            </w:pPr>
            <w:r>
              <w:rPr>
                <w:rFonts w:ascii="Arial" w:cs="Arial" w:eastAsia="Arial" w:hAnsi="Arial"/>
                <w:sz w:val="20"/>
                <w:szCs w:val="20"/>
                <w:color w:val="auto"/>
              </w:rPr>
              <w:t>Deferred income, net of current portion</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16,168</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20,038</w:t>
            </w:r>
          </w:p>
        </w:tc>
      </w:tr>
      <w:tr>
        <w:trPr>
          <w:trHeight w:val="230"/>
        </w:trPr>
        <w:tc>
          <w:tcPr>
            <w:tcW w:w="7260" w:type="dxa"/>
            <w:vAlign w:val="bottom"/>
            <w:tcBorders>
              <w:bottom w:val="single" w:sz="8" w:color="E5E5E5"/>
            </w:tcBorders>
          </w:tcPr>
          <w:p>
            <w:pPr>
              <w:spacing w:after="0"/>
              <w:rPr>
                <w:sz w:val="20"/>
                <w:szCs w:val="20"/>
                <w:color w:val="auto"/>
              </w:rPr>
            </w:pPr>
            <w:r>
              <w:rPr>
                <w:rFonts w:ascii="Arial" w:cs="Arial" w:eastAsia="Arial" w:hAnsi="Arial"/>
                <w:sz w:val="20"/>
                <w:szCs w:val="20"/>
                <w:color w:val="auto"/>
              </w:rPr>
              <w:t>Contingent consideration</w:t>
            </w:r>
          </w:p>
        </w:tc>
        <w:tc>
          <w:tcPr>
            <w:tcW w:w="20" w:type="dxa"/>
            <w:vAlign w:val="bottom"/>
            <w:tcBorders>
              <w:bottom w:val="single" w:sz="8" w:color="E5E5E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11,000</w:t>
            </w:r>
          </w:p>
        </w:tc>
        <w:tc>
          <w:tcPr>
            <w:tcW w:w="22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8,700</w:t>
            </w:r>
          </w:p>
        </w:tc>
      </w:tr>
      <w:tr>
        <w:trPr>
          <w:trHeight w:val="220"/>
        </w:trPr>
        <w:tc>
          <w:tcPr>
            <w:tcW w:w="7260" w:type="dxa"/>
            <w:vAlign w:val="bottom"/>
            <w:shd w:val="clear" w:color="auto" w:fill="E5E5E5"/>
          </w:tcPr>
          <w:p>
            <w:pPr>
              <w:ind w:left="360"/>
              <w:spacing w:after="0" w:line="220" w:lineRule="exact"/>
              <w:rPr>
                <w:sz w:val="20"/>
                <w:szCs w:val="20"/>
                <w:color w:val="auto"/>
              </w:rPr>
            </w:pPr>
            <w:r>
              <w:rPr>
                <w:rFonts w:ascii="Arial" w:cs="Arial" w:eastAsia="Arial" w:hAnsi="Arial"/>
                <w:sz w:val="20"/>
                <w:szCs w:val="20"/>
                <w:color w:val="auto"/>
              </w:rPr>
              <w:t>Total liabilities</w:t>
            </w:r>
          </w:p>
        </w:tc>
        <w:tc>
          <w:tcPr>
            <w:tcW w:w="20" w:type="dxa"/>
            <w:vAlign w:val="bottom"/>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57,378</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64,773</w:t>
            </w:r>
          </w:p>
        </w:tc>
      </w:tr>
      <w:tr>
        <w:trPr>
          <w:trHeight w:val="220"/>
        </w:trPr>
        <w:tc>
          <w:tcPr>
            <w:tcW w:w="7260" w:type="dxa"/>
            <w:vAlign w:val="bottom"/>
          </w:tcPr>
          <w:p>
            <w:pPr>
              <w:spacing w:after="0" w:line="220" w:lineRule="exact"/>
              <w:rPr>
                <w:sz w:val="20"/>
                <w:szCs w:val="20"/>
                <w:color w:val="auto"/>
              </w:rPr>
            </w:pPr>
            <w:r>
              <w:rPr>
                <w:rFonts w:ascii="Arial" w:cs="Arial" w:eastAsia="Arial" w:hAnsi="Arial"/>
                <w:sz w:val="20"/>
                <w:szCs w:val="20"/>
                <w:b w:val="1"/>
                <w:bCs w:val="1"/>
                <w:color w:val="auto"/>
              </w:rPr>
              <w:t>Stockholders’ Equity: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w w:val="96"/>
              </w:rPr>
              <w:t>Preferred stock, $0.00001 par value; 10,000,000 shares authorized and no shares</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r>
      <w:tr>
        <w:trPr>
          <w:trHeight w:val="230"/>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rPr>
              <w:t>issued or outstanding at December 31, 2025 and December 31, 2024</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r>
      <w:tr>
        <w:trPr>
          <w:trHeight w:val="210"/>
        </w:trPr>
        <w:tc>
          <w:tcPr>
            <w:tcW w:w="7260" w:type="dxa"/>
            <w:vAlign w:val="bottom"/>
          </w:tcPr>
          <w:p>
            <w:pPr>
              <w:ind w:left="240"/>
              <w:spacing w:after="0" w:line="210" w:lineRule="exact"/>
              <w:rPr>
                <w:sz w:val="20"/>
                <w:szCs w:val="20"/>
                <w:color w:val="auto"/>
              </w:rPr>
            </w:pPr>
            <w:r>
              <w:rPr>
                <w:rFonts w:ascii="Arial" w:cs="Arial" w:eastAsia="Arial" w:hAnsi="Arial"/>
                <w:sz w:val="20"/>
                <w:szCs w:val="20"/>
                <w:color w:val="auto"/>
                <w:w w:val="92"/>
              </w:rPr>
              <w:t>Common stock, $0.00001 par value; 400,000,000 and 200,000,000 shares authorized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20"/>
                <w:szCs w:val="20"/>
                <w:color w:val="auto"/>
              </w:rPr>
              <w:t>at December 31, 2025 and December 31, 2024, respectively; 120,499,433 and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20"/>
                <w:szCs w:val="20"/>
                <w:color w:val="auto"/>
              </w:rPr>
              <w:t>107,850,124 shares issued and outstanding at December 31, 2025 and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7260" w:type="dxa"/>
            <w:vAlign w:val="bottom"/>
          </w:tcPr>
          <w:p>
            <w:pPr>
              <w:ind w:left="240"/>
              <w:spacing w:after="0"/>
              <w:rPr>
                <w:sz w:val="20"/>
                <w:szCs w:val="20"/>
                <w:color w:val="auto"/>
              </w:rPr>
            </w:pPr>
            <w:r>
              <w:rPr>
                <w:rFonts w:ascii="Arial" w:cs="Arial" w:eastAsia="Arial" w:hAnsi="Arial"/>
                <w:sz w:val="20"/>
                <w:szCs w:val="20"/>
                <w:color w:val="auto"/>
              </w:rPr>
              <w:t>December 31, 2024, respectively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29"/>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rPr>
              <w:t>Additional paid in capital</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20"/>
                <w:szCs w:val="20"/>
                <w:color w:val="auto"/>
                <w:w w:val="94"/>
              </w:rPr>
              <w:t>1,070,255</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w w:val="98"/>
              </w:rPr>
              <w:t>1,058,317</w:t>
            </w:r>
          </w:p>
        </w:tc>
      </w:tr>
      <w:tr>
        <w:trPr>
          <w:trHeight w:val="230"/>
        </w:trPr>
        <w:tc>
          <w:tcPr>
            <w:tcW w:w="7260" w:type="dxa"/>
            <w:vAlign w:val="bottom"/>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610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30"/>
        </w:trPr>
        <w:tc>
          <w:tcPr>
            <w:tcW w:w="7260" w:type="dxa"/>
            <w:vAlign w:val="bottom"/>
            <w:shd w:val="clear" w:color="auto" w:fill="E5E5E5"/>
          </w:tcPr>
          <w:p>
            <w:pPr>
              <w:ind w:left="240"/>
              <w:spacing w:after="0"/>
              <w:rPr>
                <w:sz w:val="20"/>
                <w:szCs w:val="20"/>
                <w:color w:val="auto"/>
              </w:rPr>
            </w:pPr>
            <w:r>
              <w:rPr>
                <w:rFonts w:ascii="Arial" w:cs="Arial" w:eastAsia="Arial" w:hAnsi="Arial"/>
                <w:sz w:val="20"/>
                <w:szCs w:val="20"/>
                <w:color w:val="auto"/>
              </w:rPr>
              <w:t>Accumulated deficit</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40" w:type="dxa"/>
            <w:vAlign w:val="bottom"/>
            <w:gridSpan w:val="2"/>
            <w:shd w:val="clear" w:color="auto" w:fill="E5E5E5"/>
          </w:tcPr>
          <w:p>
            <w:pPr>
              <w:jc w:val="right"/>
              <w:ind w:right="220"/>
              <w:spacing w:after="0"/>
              <w:rPr>
                <w:sz w:val="20"/>
                <w:szCs w:val="20"/>
                <w:color w:val="auto"/>
              </w:rPr>
            </w:pPr>
            <w:r>
              <w:rPr>
                <w:rFonts w:ascii="Arial" w:cs="Arial" w:eastAsia="Arial" w:hAnsi="Arial"/>
                <w:sz w:val="20"/>
                <w:szCs w:val="20"/>
                <w:color w:val="auto"/>
              </w:rPr>
              <w:t>(967,784)</w:t>
            </w: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(902,861)</w:t>
            </w:r>
          </w:p>
        </w:tc>
      </w:tr>
      <w:tr>
        <w:trPr>
          <w:trHeight w:val="220"/>
        </w:trPr>
        <w:tc>
          <w:tcPr>
            <w:tcW w:w="7260" w:type="dxa"/>
            <w:vAlign w:val="bottom"/>
            <w:tcBorders>
              <w:bottom w:val="single" w:sz="8" w:color="E5E5E5"/>
            </w:tcBorders>
          </w:tcPr>
          <w:p>
            <w:pPr>
              <w:ind w:left="360"/>
              <w:spacing w:after="0" w:line="220" w:lineRule="exact"/>
              <w:rPr>
                <w:sz w:val="20"/>
                <w:szCs w:val="20"/>
                <w:color w:val="auto"/>
              </w:rPr>
            </w:pPr>
            <w:r>
              <w:rPr>
                <w:rFonts w:ascii="Arial" w:cs="Arial" w:eastAsia="Arial" w:hAnsi="Arial"/>
                <w:sz w:val="20"/>
                <w:szCs w:val="20"/>
                <w:color w:val="auto"/>
              </w:rPr>
              <w:t>Total stockholders’ equity</w:t>
            </w:r>
          </w:p>
        </w:tc>
        <w:tc>
          <w:tcPr>
            <w:tcW w:w="20" w:type="dxa"/>
            <w:vAlign w:val="bottom"/>
            <w:tcBorders>
              <w:bottom w:val="single" w:sz="8" w:color="E5E5E5"/>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103,082</w:t>
            </w:r>
          </w:p>
        </w:tc>
        <w:tc>
          <w:tcPr>
            <w:tcW w:w="22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155,554</w:t>
            </w:r>
          </w:p>
        </w:tc>
      </w:tr>
      <w:tr>
        <w:trPr>
          <w:trHeight w:val="229"/>
        </w:trPr>
        <w:tc>
          <w:tcPr>
            <w:tcW w:w="7260" w:type="dxa"/>
            <w:vAlign w:val="bottom"/>
            <w:shd w:val="clear" w:color="auto" w:fill="E5E5E5"/>
          </w:tcPr>
          <w:p>
            <w:pPr>
              <w:ind w:left="360"/>
              <w:spacing w:after="0" w:line="219" w:lineRule="exact"/>
              <w:rPr>
                <w:sz w:val="20"/>
                <w:szCs w:val="20"/>
                <w:color w:val="auto"/>
              </w:rPr>
            </w:pPr>
            <w:r>
              <w:rPr>
                <w:rFonts w:ascii="Arial" w:cs="Arial" w:eastAsia="Arial" w:hAnsi="Arial"/>
                <w:sz w:val="20"/>
                <w:szCs w:val="20"/>
                <w:color w:val="auto"/>
              </w:rPr>
              <w:t>Total liabilities and stockholders’ equity</w:t>
            </w:r>
          </w:p>
        </w:tc>
        <w:tc>
          <w:tcPr>
            <w:tcW w:w="160" w:type="dxa"/>
            <w:vAlign w:val="bottom"/>
            <w:tcBorders>
              <w:bottom w:val="single" w:sz="8" w:color="auto"/>
            </w:tcBorders>
            <w:gridSpan w:val="2"/>
            <w:shd w:val="clear" w:color="auto" w:fill="E5E5E5"/>
          </w:tcPr>
          <w:p>
            <w:pPr>
              <w:jc w:val="right"/>
              <w:spacing w:after="0" w:line="219" w:lineRule="exact"/>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E5E5E5"/>
          </w:tcPr>
          <w:p>
            <w:pPr>
              <w:jc w:val="right"/>
              <w:spacing w:after="0" w:line="219" w:lineRule="exact"/>
              <w:rPr>
                <w:sz w:val="20"/>
                <w:szCs w:val="20"/>
                <w:color w:val="auto"/>
              </w:rPr>
            </w:pPr>
            <w:r>
              <w:rPr>
                <w:rFonts w:ascii="Arial" w:cs="Arial" w:eastAsia="Arial" w:hAnsi="Arial"/>
                <w:sz w:val="20"/>
                <w:szCs w:val="20"/>
                <w:color w:val="auto"/>
              </w:rPr>
              <w:t>160,460</w:t>
            </w:r>
          </w:p>
        </w:tc>
        <w:tc>
          <w:tcPr>
            <w:tcW w:w="220" w:type="dxa"/>
            <w:vAlign w:val="bottom"/>
            <w:shd w:val="clear" w:color="auto" w:fill="E5E5E5"/>
          </w:tcPr>
          <w:p>
            <w:pPr>
              <w:spacing w:after="0"/>
              <w:rPr>
                <w:sz w:val="19"/>
                <w:szCs w:val="19"/>
                <w:color w:val="auto"/>
              </w:rPr>
            </w:pPr>
          </w:p>
        </w:tc>
        <w:tc>
          <w:tcPr>
            <w:tcW w:w="200" w:type="dxa"/>
            <w:vAlign w:val="bottom"/>
            <w:tcBorders>
              <w:bottom w:val="single" w:sz="8" w:color="auto"/>
            </w:tcBorders>
            <w:gridSpan w:val="2"/>
            <w:shd w:val="clear" w:color="auto" w:fill="E5E5E5"/>
          </w:tcPr>
          <w:p>
            <w:pPr>
              <w:jc w:val="right"/>
              <w:ind w:right="23"/>
              <w:spacing w:after="0" w:line="219" w:lineRule="exact"/>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E5E5E5"/>
          </w:tcPr>
          <w:p>
            <w:pPr>
              <w:jc w:val="right"/>
              <w:spacing w:after="0" w:line="219" w:lineRule="exact"/>
              <w:rPr>
                <w:sz w:val="20"/>
                <w:szCs w:val="20"/>
                <w:color w:val="auto"/>
              </w:rPr>
            </w:pPr>
            <w:r>
              <w:rPr>
                <w:rFonts w:ascii="Arial" w:cs="Arial" w:eastAsia="Arial" w:hAnsi="Arial"/>
                <w:sz w:val="20"/>
                <w:szCs w:val="20"/>
                <w:color w:val="auto"/>
              </w:rPr>
              <w:t>220,327</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720"/>
          </w:cols>
          <w:pgMar w:left="1080" w:top="1173" w:right="108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0"/>
          <w:szCs w:val="20"/>
          <w:b w:val="1"/>
          <w:bCs w:val="1"/>
          <w:color w:val="auto"/>
        </w:rPr>
        <w:t>ACLARIS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03"/>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174"/>
        </w:trPr>
        <w:tc>
          <w:tcPr>
            <w:tcW w:w="71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82"/>
              <w:spacing w:after="0" w:line="175" w:lineRule="exact"/>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E5E5E5"/>
            </w:tcBorders>
          </w:tcPr>
          <w:p>
            <w:pPr>
              <w:spacing w:after="0"/>
              <w:rPr>
                <w:sz w:val="15"/>
                <w:szCs w:val="15"/>
                <w:color w:val="auto"/>
              </w:rPr>
            </w:pPr>
          </w:p>
        </w:tc>
        <w:tc>
          <w:tcPr>
            <w:tcW w:w="200" w:type="dxa"/>
            <w:vAlign w:val="bottom"/>
            <w:tcBorders>
              <w:top w:val="single" w:sz="8" w:color="auto"/>
              <w:bottom w:val="single" w:sz="8" w:color="E5E5E5"/>
            </w:tcBorders>
          </w:tcPr>
          <w:p>
            <w:pPr>
              <w:spacing w:after="0"/>
              <w:rPr>
                <w:sz w:val="15"/>
                <w:szCs w:val="15"/>
                <w:color w:val="auto"/>
              </w:rPr>
            </w:pPr>
          </w:p>
        </w:tc>
        <w:tc>
          <w:tcPr>
            <w:tcW w:w="20" w:type="dxa"/>
            <w:vAlign w:val="bottom"/>
            <w:tcBorders>
              <w:top w:val="single" w:sz="8" w:color="auto"/>
              <w:bottom w:val="single" w:sz="8" w:color="E5E5E5"/>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41"/>
              <w:spacing w:after="0" w:line="175"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Revenues:</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40"/>
              <w:spacing w:after="0"/>
              <w:rPr>
                <w:sz w:val="20"/>
                <w:szCs w:val="20"/>
                <w:color w:val="auto"/>
              </w:rPr>
            </w:pPr>
            <w:r>
              <w:rPr>
                <w:rFonts w:ascii="Arial" w:cs="Arial" w:eastAsia="Arial" w:hAnsi="Arial"/>
                <w:sz w:val="20"/>
                <w:szCs w:val="20"/>
                <w:color w:val="auto"/>
              </w:rPr>
              <w:t>Contract research</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ind w:left="240"/>
              <w:spacing w:after="0"/>
              <w:rPr>
                <w:sz w:val="20"/>
                <w:szCs w:val="20"/>
                <w:color w:val="auto"/>
              </w:rPr>
            </w:pPr>
            <w:r>
              <w:rPr>
                <w:rFonts w:ascii="Arial" w:cs="Arial" w:eastAsia="Arial" w:hAnsi="Arial"/>
                <w:sz w:val="20"/>
                <w:szCs w:val="20"/>
                <w:color w:val="auto"/>
              </w:rPr>
              <w:t>Licensing</w:t>
            </w:r>
          </w:p>
        </w:tc>
        <w:tc>
          <w:tcPr>
            <w:tcW w:w="20" w:type="dxa"/>
            <w:vAlign w:val="bottom"/>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1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5,954</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spacing w:after="0"/>
              <w:rPr>
                <w:sz w:val="20"/>
                <w:szCs w:val="20"/>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16,179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120" w:type="dxa"/>
            <w:vAlign w:val="bottom"/>
          </w:tcPr>
          <w:p>
            <w:pPr>
              <w:spacing w:after="0" w:line="220" w:lineRule="exact"/>
              <w:rPr>
                <w:sz w:val="20"/>
                <w:szCs w:val="20"/>
                <w:color w:val="auto"/>
              </w:rPr>
            </w:pPr>
            <w:r>
              <w:rPr>
                <w:rFonts w:ascii="Arial" w:cs="Arial" w:eastAsia="Arial" w:hAnsi="Arial"/>
                <w:sz w:val="20"/>
                <w:szCs w:val="20"/>
                <w:color w:val="auto"/>
              </w:rPr>
              <w:t>Total revenue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line="220" w:lineRule="exact"/>
              <w:rPr>
                <w:sz w:val="20"/>
                <w:szCs w:val="20"/>
                <w:color w:val="auto"/>
              </w:rPr>
            </w:pPr>
            <w:r>
              <w:rPr>
                <w:rFonts w:ascii="Arial" w:cs="Arial" w:eastAsia="Arial" w:hAnsi="Arial"/>
                <w:sz w:val="20"/>
                <w:szCs w:val="20"/>
                <w:color w:val="auto"/>
              </w:rPr>
              <w:t>7,826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Arial" w:cs="Arial" w:eastAsia="Arial" w:hAnsi="Arial"/>
                <w:sz w:val="20"/>
                <w:szCs w:val="20"/>
                <w:color w:val="auto"/>
              </w:rPr>
              <w:t>18,720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20"/>
                <w:szCs w:val="20"/>
                <w:color w:val="auto"/>
              </w:rPr>
              <w:t>Costs and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ind w:left="240"/>
              <w:spacing w:after="0"/>
              <w:rPr>
                <w:sz w:val="20"/>
                <w:szCs w:val="20"/>
                <w:color w:val="auto"/>
              </w:rPr>
            </w:pPr>
            <w:r>
              <w:rPr>
                <w:rFonts w:ascii="Arial" w:cs="Arial" w:eastAsia="Arial" w:hAnsi="Arial"/>
                <w:sz w:val="20"/>
                <w:szCs w:val="20"/>
                <w:color w:val="auto"/>
              </w:rPr>
              <w:t>Cost of revenue</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2,091</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2,792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40"/>
              <w:spacing w:after="0"/>
              <w:rPr>
                <w:sz w:val="20"/>
                <w:szCs w:val="20"/>
                <w:color w:val="auto"/>
              </w:rPr>
            </w:pPr>
            <w:r>
              <w:rPr>
                <w:rFonts w:ascii="Arial" w:cs="Arial" w:eastAsia="Arial" w:hAnsi="Arial"/>
                <w:sz w:val="20"/>
                <w:szCs w:val="20"/>
                <w:color w:val="auto"/>
              </w:rPr>
              <w:t>Research and development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52,645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33,586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E5E5E5"/>
          </w:tcPr>
          <w:p>
            <w:pPr>
              <w:ind w:left="240"/>
              <w:spacing w:after="0"/>
              <w:rPr>
                <w:sz w:val="20"/>
                <w:szCs w:val="20"/>
                <w:color w:val="auto"/>
              </w:rPr>
            </w:pPr>
            <w:r>
              <w:rPr>
                <w:rFonts w:ascii="Arial" w:cs="Arial" w:eastAsia="Arial" w:hAnsi="Arial"/>
                <w:sz w:val="20"/>
                <w:szCs w:val="20"/>
                <w:color w:val="auto"/>
              </w:rPr>
              <w:t>General and administrative</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21,972</w:t>
            </w: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22,203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40"/>
              <w:spacing w:after="0"/>
              <w:rPr>
                <w:sz w:val="20"/>
                <w:szCs w:val="20"/>
                <w:color w:val="auto"/>
              </w:rPr>
            </w:pPr>
            <w:r>
              <w:rPr>
                <w:rFonts w:ascii="Arial" w:cs="Arial" w:eastAsia="Arial" w:hAnsi="Arial"/>
                <w:sz w:val="20"/>
                <w:szCs w:val="20"/>
                <w:color w:val="auto"/>
              </w:rPr>
              <w:t>Licensing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5,193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12,666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ind w:left="240"/>
              <w:spacing w:after="0"/>
              <w:rPr>
                <w:sz w:val="20"/>
                <w:szCs w:val="20"/>
                <w:color w:val="auto"/>
              </w:rPr>
            </w:pPr>
            <w:r>
              <w:rPr>
                <w:rFonts w:ascii="Arial" w:cs="Arial" w:eastAsia="Arial" w:hAnsi="Arial"/>
                <w:sz w:val="20"/>
                <w:szCs w:val="20"/>
                <w:color w:val="auto"/>
              </w:rPr>
              <w:t>Revaluation of contingent consideration</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2,300</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40"/>
              <w:spacing w:after="0"/>
              <w:rPr>
                <w:sz w:val="20"/>
                <w:szCs w:val="20"/>
                <w:color w:val="auto"/>
              </w:rPr>
            </w:pPr>
            <w:r>
              <w:rPr>
                <w:rFonts w:ascii="Arial" w:cs="Arial" w:eastAsia="Arial" w:hAnsi="Arial"/>
                <w:sz w:val="20"/>
                <w:szCs w:val="20"/>
                <w:color w:val="auto"/>
              </w:rPr>
              <w:t>In-process research and development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86,905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Borders>
              <w:top w:val="single" w:sz="8" w:color="E5E5E5"/>
            </w:tcBorders>
            <w:shd w:val="clear" w:color="auto" w:fill="E5E5E5"/>
          </w:tcPr>
          <w:p>
            <w:pPr>
              <w:spacing w:after="0" w:line="220" w:lineRule="exact"/>
              <w:rPr>
                <w:sz w:val="20"/>
                <w:szCs w:val="20"/>
                <w:color w:val="auto"/>
              </w:rPr>
            </w:pPr>
            <w:r>
              <w:rPr>
                <w:rFonts w:ascii="Arial" w:cs="Arial" w:eastAsia="Arial" w:hAnsi="Arial"/>
                <w:sz w:val="20"/>
                <w:szCs w:val="20"/>
                <w:color w:val="auto"/>
              </w:rPr>
              <w:t>Total costs and expenses</w:t>
            </w:r>
          </w:p>
        </w:tc>
        <w:tc>
          <w:tcPr>
            <w:tcW w:w="20" w:type="dxa"/>
            <w:vAlign w:val="bottom"/>
            <w:tcBorders>
              <w:top w:val="single" w:sz="8" w:color="E5E5E5"/>
            </w:tcBorders>
            <w:shd w:val="clear" w:color="auto" w:fill="E5E5E5"/>
          </w:tcPr>
          <w:p>
            <w:pPr>
              <w:spacing w:after="0"/>
              <w:rPr>
                <w:sz w:val="19"/>
                <w:szCs w:val="19"/>
                <w:color w:val="auto"/>
              </w:rPr>
            </w:pPr>
          </w:p>
        </w:tc>
        <w:tc>
          <w:tcPr>
            <w:tcW w:w="140" w:type="dxa"/>
            <w:vAlign w:val="bottom"/>
            <w:tcBorders>
              <w:top w:val="single" w:sz="8" w:color="auto"/>
              <w:bottom w:val="single" w:sz="8" w:color="auto"/>
            </w:tcBorders>
            <w:shd w:val="clear" w:color="auto" w:fill="E5E5E5"/>
          </w:tcPr>
          <w:p>
            <w:pPr>
              <w:spacing w:after="0"/>
              <w:rPr>
                <w:sz w:val="19"/>
                <w:szCs w:val="19"/>
                <w:color w:val="auto"/>
              </w:rPr>
            </w:pPr>
          </w:p>
        </w:tc>
        <w:tc>
          <w:tcPr>
            <w:tcW w:w="1120" w:type="dxa"/>
            <w:vAlign w:val="bottom"/>
            <w:tcBorders>
              <w:top w:val="single" w:sz="8" w:color="auto"/>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84,201</w:t>
            </w:r>
          </w:p>
        </w:tc>
        <w:tc>
          <w:tcPr>
            <w:tcW w:w="2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60" w:type="dxa"/>
            <w:vAlign w:val="bottom"/>
            <w:tcBorders>
              <w:top w:val="single" w:sz="8" w:color="auto"/>
              <w:bottom w:val="single" w:sz="8" w:color="auto"/>
            </w:tcBorders>
            <w:shd w:val="clear" w:color="auto" w:fill="E5E5E5"/>
          </w:tcPr>
          <w:p>
            <w:pPr>
              <w:spacing w:after="0"/>
              <w:rPr>
                <w:sz w:val="19"/>
                <w:szCs w:val="19"/>
                <w:color w:val="auto"/>
              </w:rPr>
            </w:pPr>
          </w:p>
        </w:tc>
        <w:tc>
          <w:tcPr>
            <w:tcW w:w="1040" w:type="dxa"/>
            <w:vAlign w:val="bottom"/>
            <w:tcBorders>
              <w:top w:val="single" w:sz="8" w:color="auto"/>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160,652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20" w:type="dxa"/>
            <w:vAlign w:val="bottom"/>
          </w:tcPr>
          <w:p>
            <w:pPr>
              <w:spacing w:after="0" w:line="220" w:lineRule="exact"/>
              <w:rPr>
                <w:sz w:val="20"/>
                <w:szCs w:val="20"/>
                <w:color w:val="auto"/>
              </w:rPr>
            </w:pPr>
            <w:r>
              <w:rPr>
                <w:rFonts w:ascii="Arial" w:cs="Arial" w:eastAsia="Arial" w:hAnsi="Arial"/>
                <w:sz w:val="20"/>
                <w:szCs w:val="20"/>
                <w:color w:val="auto"/>
              </w:rPr>
              <w:t>Loss from operations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line="220" w:lineRule="exact"/>
              <w:rPr>
                <w:sz w:val="20"/>
                <w:szCs w:val="20"/>
                <w:color w:val="auto"/>
              </w:rPr>
            </w:pPr>
            <w:r>
              <w:rPr>
                <w:rFonts w:ascii="Arial" w:cs="Arial" w:eastAsia="Arial" w:hAnsi="Arial"/>
                <w:sz w:val="20"/>
                <w:szCs w:val="20"/>
                <w:color w:val="auto"/>
              </w:rPr>
              <w:t>(76,375)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Arial" w:cs="Arial" w:eastAsia="Arial" w:hAnsi="Arial"/>
                <w:sz w:val="20"/>
                <w:szCs w:val="20"/>
                <w:color w:val="auto"/>
              </w:rPr>
              <w:t>(141,932)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20"/>
                <w:szCs w:val="20"/>
                <w:color w:val="auto"/>
              </w:rPr>
              <w:t>Other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ind w:left="240"/>
              <w:spacing w:after="0"/>
              <w:rPr>
                <w:sz w:val="20"/>
                <w:szCs w:val="20"/>
                <w:color w:val="auto"/>
              </w:rPr>
            </w:pPr>
            <w:r>
              <w:rPr>
                <w:rFonts w:ascii="Arial" w:cs="Arial" w:eastAsia="Arial" w:hAnsi="Arial"/>
                <w:sz w:val="20"/>
                <w:szCs w:val="20"/>
                <w:color w:val="auto"/>
              </w:rPr>
              <w:t>Interest income</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7,637</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7,953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E5E5E5"/>
            </w:tcBorders>
          </w:tcPr>
          <w:p>
            <w:pPr>
              <w:ind w:left="240"/>
              <w:spacing w:after="0"/>
              <w:rPr>
                <w:sz w:val="20"/>
                <w:szCs w:val="20"/>
                <w:color w:val="auto"/>
              </w:rPr>
            </w:pPr>
            <w:r>
              <w:rPr>
                <w:rFonts w:ascii="Arial" w:cs="Arial" w:eastAsia="Arial" w:hAnsi="Arial"/>
                <w:sz w:val="20"/>
                <w:szCs w:val="20"/>
                <w:color w:val="auto"/>
              </w:rPr>
              <w:t>Non-cash royalty income</w:t>
            </w:r>
          </w:p>
        </w:tc>
        <w:tc>
          <w:tcPr>
            <w:tcW w:w="20" w:type="dxa"/>
            <w:vAlign w:val="bottom"/>
            <w:tcBorders>
              <w:bottom w:val="single" w:sz="8" w:color="E5E5E5"/>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3,815</w:t>
            </w:r>
          </w:p>
        </w:tc>
        <w:tc>
          <w:tcPr>
            <w:tcW w:w="20" w:type="dxa"/>
            <w:vAlign w:val="bottom"/>
            <w:tcBorders>
              <w:bottom w:val="single" w:sz="8" w:color="E5E5E5"/>
            </w:tcBorders>
          </w:tcPr>
          <w:p>
            <w:pPr>
              <w:spacing w:after="0"/>
              <w:rPr>
                <w:sz w:val="20"/>
                <w:szCs w:val="20"/>
                <w:color w:val="auto"/>
              </w:rPr>
            </w:pPr>
          </w:p>
        </w:tc>
        <w:tc>
          <w:tcPr>
            <w:tcW w:w="20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Total other income</w:t>
            </w:r>
          </w:p>
        </w:tc>
        <w:tc>
          <w:tcPr>
            <w:tcW w:w="20" w:type="dxa"/>
            <w:vAlign w:val="bottom"/>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112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11,452</w:t>
            </w: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104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9,867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20" w:type="dxa"/>
            <w:vAlign w:val="bottom"/>
            <w:tcBorders>
              <w:bottom w:val="single" w:sz="8" w:color="E5E5E5"/>
            </w:tcBorders>
          </w:tcPr>
          <w:p>
            <w:pPr>
              <w:spacing w:after="0" w:line="220" w:lineRule="exact"/>
              <w:rPr>
                <w:sz w:val="20"/>
                <w:szCs w:val="20"/>
                <w:color w:val="auto"/>
              </w:rPr>
            </w:pPr>
            <w:r>
              <w:rPr>
                <w:rFonts w:ascii="Arial" w:cs="Arial" w:eastAsia="Arial" w:hAnsi="Arial"/>
                <w:sz w:val="20"/>
                <w:szCs w:val="20"/>
                <w:color w:val="auto"/>
              </w:rPr>
              <w:t>Net loss</w:t>
            </w:r>
          </w:p>
        </w:tc>
        <w:tc>
          <w:tcPr>
            <w:tcW w:w="2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(64,923)</w:t>
            </w:r>
          </w:p>
        </w:tc>
        <w:tc>
          <w:tcPr>
            <w:tcW w:w="20" w:type="dxa"/>
            <w:vAlign w:val="bottom"/>
            <w:tcBorders>
              <w:bottom w:val="single" w:sz="8" w:color="E5E5E5"/>
            </w:tcBorders>
          </w:tcPr>
          <w:p>
            <w:pPr>
              <w:spacing w:after="0"/>
              <w:rPr>
                <w:sz w:val="19"/>
                <w:szCs w:val="19"/>
                <w:color w:val="auto"/>
              </w:rPr>
            </w:pPr>
          </w:p>
        </w:tc>
        <w:tc>
          <w:tcPr>
            <w:tcW w:w="20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(132,065)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20" w:type="dxa"/>
            <w:vAlign w:val="bottom"/>
          </w:tcPr>
          <w:p>
            <w:pPr>
              <w:spacing w:after="0"/>
              <w:rPr>
                <w:sz w:val="20"/>
                <w:szCs w:val="20"/>
                <w:color w:val="auto"/>
              </w:rPr>
            </w:pPr>
            <w:r>
              <w:rPr>
                <w:rFonts w:ascii="Arial" w:cs="Arial" w:eastAsia="Arial" w:hAnsi="Arial"/>
                <w:sz w:val="20"/>
                <w:szCs w:val="20"/>
                <w:color w:val="auto"/>
              </w:rPr>
              <w:t>Net loss per share, basic and diluted</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340" w:type="dxa"/>
            <w:vAlign w:val="bottom"/>
            <w:gridSpan w:val="3"/>
          </w:tcPr>
          <w:p>
            <w:pPr>
              <w:jc w:val="right"/>
              <w:ind w:right="220"/>
              <w:spacing w:after="0"/>
              <w:rPr>
                <w:sz w:val="20"/>
                <w:szCs w:val="20"/>
                <w:color w:val="auto"/>
              </w:rPr>
            </w:pPr>
            <w:r>
              <w:rPr>
                <w:rFonts w:ascii="Arial" w:cs="Arial" w:eastAsia="Arial" w:hAnsi="Arial"/>
                <w:sz w:val="20"/>
                <w:szCs w:val="20"/>
                <w:color w:val="auto"/>
              </w:rPr>
              <w:t>(0.53)</w:t>
            </w:r>
          </w:p>
        </w:tc>
        <w:tc>
          <w:tcPr>
            <w:tcW w:w="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2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20"/>
                <w:szCs w:val="20"/>
                <w:color w:val="auto"/>
              </w:rPr>
              <w:t>Weighted average common shares outstanding, basic and diluted</w:t>
            </w:r>
          </w:p>
        </w:tc>
        <w:tc>
          <w:tcPr>
            <w:tcW w:w="20" w:type="dxa"/>
            <w:vAlign w:val="bottom"/>
            <w:tcBorders>
              <w:top w:val="single" w:sz="8" w:color="E5E5E5"/>
            </w:tcBorders>
            <w:shd w:val="clear" w:color="auto" w:fill="E5E5E5"/>
          </w:tcPr>
          <w:p>
            <w:pPr>
              <w:spacing w:after="0"/>
              <w:rPr>
                <w:sz w:val="20"/>
                <w:szCs w:val="20"/>
                <w:color w:val="auto"/>
              </w:rPr>
            </w:pPr>
          </w:p>
        </w:tc>
        <w:tc>
          <w:tcPr>
            <w:tcW w:w="140" w:type="dxa"/>
            <w:vAlign w:val="bottom"/>
            <w:tcBorders>
              <w:top w:val="single" w:sz="8" w:color="auto"/>
            </w:tcBorders>
            <w:shd w:val="clear" w:color="auto" w:fill="E5E5E5"/>
          </w:tcPr>
          <w:p>
            <w:pPr>
              <w:spacing w:after="0"/>
              <w:rPr>
                <w:sz w:val="20"/>
                <w:szCs w:val="20"/>
                <w:color w:val="auto"/>
              </w:rPr>
            </w:pPr>
          </w:p>
        </w:tc>
        <w:tc>
          <w:tcPr>
            <w:tcW w:w="11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93"/>
              </w:rPr>
              <w:t>122,564,741</w:t>
            </w:r>
          </w:p>
        </w:tc>
        <w:tc>
          <w:tcPr>
            <w:tcW w:w="20" w:type="dxa"/>
            <w:vAlign w:val="bottom"/>
            <w:tcBorders>
              <w:top w:val="single" w:sz="8" w:color="E5E5E5"/>
            </w:tcBorders>
            <w:shd w:val="clear" w:color="auto" w:fill="E5E5E5"/>
          </w:tcPr>
          <w:p>
            <w:pPr>
              <w:spacing w:after="0"/>
              <w:rPr>
                <w:sz w:val="20"/>
                <w:szCs w:val="20"/>
                <w:color w:val="auto"/>
              </w:rPr>
            </w:pPr>
          </w:p>
        </w:tc>
        <w:tc>
          <w:tcPr>
            <w:tcW w:w="200" w:type="dxa"/>
            <w:vAlign w:val="bottom"/>
            <w:tcBorders>
              <w:top w:val="single" w:sz="8" w:color="E5E5E5"/>
            </w:tcBorders>
            <w:shd w:val="clear" w:color="auto" w:fill="E5E5E5"/>
          </w:tcPr>
          <w:p>
            <w:pPr>
              <w:spacing w:after="0"/>
              <w:rPr>
                <w:sz w:val="20"/>
                <w:szCs w:val="20"/>
                <w:color w:val="auto"/>
              </w:rPr>
            </w:pPr>
          </w:p>
        </w:tc>
        <w:tc>
          <w:tcPr>
            <w:tcW w:w="20" w:type="dxa"/>
            <w:vAlign w:val="bottom"/>
            <w:tcBorders>
              <w:top w:val="single" w:sz="8" w:color="E5E5E5"/>
            </w:tcBorders>
            <w:shd w:val="clear" w:color="auto" w:fill="E5E5E5"/>
          </w:tcPr>
          <w:p>
            <w:pPr>
              <w:spacing w:after="0"/>
              <w:rPr>
                <w:sz w:val="20"/>
                <w:szCs w:val="20"/>
                <w:color w:val="auto"/>
              </w:rPr>
            </w:pPr>
          </w:p>
        </w:tc>
        <w:tc>
          <w:tcPr>
            <w:tcW w:w="160" w:type="dxa"/>
            <w:vAlign w:val="bottom"/>
            <w:tcBorders>
              <w:top w:val="single" w:sz="8" w:color="auto"/>
            </w:tcBorders>
            <w:shd w:val="clear" w:color="auto" w:fill="E5E5E5"/>
          </w:tcPr>
          <w:p>
            <w:pPr>
              <w:spacing w:after="0"/>
              <w:rPr>
                <w:sz w:val="20"/>
                <w:szCs w:val="20"/>
                <w:color w:val="auto"/>
              </w:rPr>
            </w:pPr>
          </w:p>
        </w:tc>
        <w:tc>
          <w:tcPr>
            <w:tcW w:w="10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95"/>
              </w:rPr>
              <w:t>77,296,665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E5E5E5"/>
          </w:tcPr>
          <w:p>
            <w:pPr>
              <w:spacing w:after="0"/>
              <w:rPr>
                <w:sz w:val="20"/>
                <w:szCs w:val="20"/>
                <w:color w:val="auto"/>
              </w:rPr>
            </w:pPr>
            <w:r>
              <w:rPr>
                <w:rFonts w:ascii="Arial" w:cs="Arial" w:eastAsia="Arial" w:hAnsi="Arial"/>
                <w:sz w:val="20"/>
                <w:szCs w:val="20"/>
                <w:color w:val="auto"/>
              </w:rPr>
              <w:t>Other comprehensive income:</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40"/>
              <w:spacing w:after="0"/>
              <w:rPr>
                <w:sz w:val="20"/>
                <w:szCs w:val="20"/>
                <w:color w:val="auto"/>
              </w:rPr>
            </w:pPr>
            <w:r>
              <w:rPr>
                <w:rFonts w:ascii="Arial" w:cs="Arial" w:eastAsia="Arial" w:hAnsi="Arial"/>
                <w:sz w:val="20"/>
                <w:szCs w:val="20"/>
                <w:color w:val="auto"/>
              </w:rPr>
              <w:t>Unrealized gain on marketable securities, net of tax of $0</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120" w:type="dxa"/>
            <w:vAlign w:val="bottom"/>
            <w:tcBorders>
              <w:top w:val="single" w:sz="8" w:color="E5E5E5"/>
            </w:tcBorders>
            <w:shd w:val="clear" w:color="auto" w:fill="E5E5E5"/>
          </w:tcPr>
          <w:p>
            <w:pPr>
              <w:spacing w:after="0" w:line="220" w:lineRule="exact"/>
              <w:rPr>
                <w:sz w:val="20"/>
                <w:szCs w:val="20"/>
                <w:color w:val="auto"/>
              </w:rPr>
            </w:pPr>
            <w:r>
              <w:rPr>
                <w:rFonts w:ascii="Arial" w:cs="Arial" w:eastAsia="Arial" w:hAnsi="Arial"/>
                <w:sz w:val="20"/>
                <w:szCs w:val="20"/>
                <w:color w:val="auto"/>
              </w:rPr>
              <w:t>Total other comprehensive income</w:t>
            </w:r>
          </w:p>
        </w:tc>
        <w:tc>
          <w:tcPr>
            <w:tcW w:w="20" w:type="dxa"/>
            <w:vAlign w:val="bottom"/>
            <w:tcBorders>
              <w:top w:val="single" w:sz="8" w:color="E5E5E5"/>
            </w:tcBorders>
            <w:shd w:val="clear" w:color="auto" w:fill="E5E5E5"/>
          </w:tcPr>
          <w:p>
            <w:pPr>
              <w:spacing w:after="0"/>
              <w:rPr>
                <w:sz w:val="19"/>
                <w:szCs w:val="19"/>
                <w:color w:val="auto"/>
              </w:rPr>
            </w:pPr>
          </w:p>
        </w:tc>
        <w:tc>
          <w:tcPr>
            <w:tcW w:w="140" w:type="dxa"/>
            <w:vAlign w:val="bottom"/>
            <w:tcBorders>
              <w:top w:val="single" w:sz="8" w:color="auto"/>
              <w:bottom w:val="single" w:sz="8" w:color="auto"/>
            </w:tcBorders>
            <w:shd w:val="clear" w:color="auto" w:fill="E5E5E5"/>
          </w:tcPr>
          <w:p>
            <w:pPr>
              <w:spacing w:after="0"/>
              <w:rPr>
                <w:sz w:val="19"/>
                <w:szCs w:val="19"/>
                <w:color w:val="auto"/>
              </w:rPr>
            </w:pPr>
          </w:p>
        </w:tc>
        <w:tc>
          <w:tcPr>
            <w:tcW w:w="1120" w:type="dxa"/>
            <w:vAlign w:val="bottom"/>
            <w:tcBorders>
              <w:top w:val="single" w:sz="8" w:color="auto"/>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513</w:t>
            </w:r>
          </w:p>
        </w:tc>
        <w:tc>
          <w:tcPr>
            <w:tcW w:w="2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60" w:type="dxa"/>
            <w:vAlign w:val="bottom"/>
            <w:tcBorders>
              <w:top w:val="single" w:sz="8" w:color="auto"/>
              <w:bottom w:val="single" w:sz="8" w:color="auto"/>
            </w:tcBorders>
            <w:shd w:val="clear" w:color="auto" w:fill="E5E5E5"/>
          </w:tcPr>
          <w:p>
            <w:pPr>
              <w:spacing w:after="0"/>
              <w:rPr>
                <w:sz w:val="19"/>
                <w:szCs w:val="19"/>
                <w:color w:val="auto"/>
              </w:rPr>
            </w:pPr>
          </w:p>
        </w:tc>
        <w:tc>
          <w:tcPr>
            <w:tcW w:w="1040" w:type="dxa"/>
            <w:vAlign w:val="bottom"/>
            <w:tcBorders>
              <w:top w:val="single" w:sz="8" w:color="auto"/>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line="221" w:lineRule="exact"/>
              <w:rPr>
                <w:sz w:val="20"/>
                <w:szCs w:val="20"/>
                <w:color w:val="auto"/>
              </w:rPr>
            </w:pPr>
            <w:r>
              <w:rPr>
                <w:rFonts w:ascii="Arial" w:cs="Arial" w:eastAsia="Arial" w:hAnsi="Arial"/>
                <w:sz w:val="20"/>
                <w:szCs w:val="20"/>
                <w:color w:val="auto"/>
              </w:rPr>
              <w:t>Comprehensive loss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(64,410)</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(131,862)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840"/>
          </w:cols>
          <w:pgMar w:left="1020" w:top="117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840"/>
          </w:cols>
          <w:pgMar w:left="1020" w:top="1173" w:right="102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ACLARIS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Common Stock</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7"/>
                <w:szCs w:val="17"/>
                <w:color w:val="auto"/>
              </w:rPr>
            </w:pPr>
          </w:p>
        </w:tc>
        <w:tc>
          <w:tcPr>
            <w:tcW w:w="1060" w:type="dxa"/>
            <w:vAlign w:val="bottom"/>
          </w:tcPr>
          <w:p>
            <w:pPr>
              <w:jc w:val="center"/>
              <w:ind w:right="8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b w:val="1"/>
                <w:bCs w:val="1"/>
                <w:color w:val="auto"/>
              </w:rPr>
              <w:t>Total</w:t>
            </w:r>
          </w:p>
        </w:tc>
      </w:tr>
      <w:tr>
        <w:trPr>
          <w:trHeight w:val="155"/>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gridSpan w:val="2"/>
          </w:tcPr>
          <w:p>
            <w:pPr>
              <w:jc w:val="right"/>
              <w:ind w:right="80"/>
              <w:spacing w:after="0" w:line="155" w:lineRule="exact"/>
              <w:rPr>
                <w:sz w:val="20"/>
                <w:szCs w:val="20"/>
                <w:color w:val="auto"/>
              </w:rPr>
            </w:pPr>
            <w:r>
              <w:rPr>
                <w:rFonts w:ascii="Arial" w:cs="Arial" w:eastAsia="Arial" w:hAnsi="Arial"/>
                <w:sz w:val="16"/>
                <w:szCs w:val="16"/>
                <w:b w:val="1"/>
                <w:bCs w:val="1"/>
                <w:color w:val="auto"/>
              </w:rPr>
              <w:t>Par</w:t>
            </w:r>
          </w:p>
        </w:tc>
        <w:tc>
          <w:tcPr>
            <w:tcW w:w="100" w:type="dxa"/>
            <w:vAlign w:val="bottom"/>
          </w:tcPr>
          <w:p>
            <w:pPr>
              <w:spacing w:after="0"/>
              <w:rPr>
                <w:sz w:val="13"/>
                <w:szCs w:val="13"/>
                <w:color w:val="auto"/>
              </w:rPr>
            </w:pPr>
          </w:p>
        </w:tc>
        <w:tc>
          <w:tcPr>
            <w:tcW w:w="800" w:type="dxa"/>
            <w:vAlign w:val="bottom"/>
          </w:tcPr>
          <w:p>
            <w:pPr>
              <w:jc w:val="right"/>
              <w:ind w:right="160"/>
              <w:spacing w:after="0" w:line="155" w:lineRule="exact"/>
              <w:rPr>
                <w:sz w:val="20"/>
                <w:szCs w:val="20"/>
                <w:color w:val="auto"/>
              </w:rPr>
            </w:pPr>
            <w:r>
              <w:rPr>
                <w:rFonts w:ascii="Arial" w:cs="Arial" w:eastAsia="Arial" w:hAnsi="Arial"/>
                <w:sz w:val="16"/>
                <w:szCs w:val="16"/>
                <w:b w:val="1"/>
                <w:bCs w:val="1"/>
                <w:color w:val="auto"/>
              </w:rPr>
              <w:t>Paid in</w:t>
            </w:r>
          </w:p>
        </w:tc>
        <w:tc>
          <w:tcPr>
            <w:tcW w:w="3080" w:type="dxa"/>
            <w:vAlign w:val="bottom"/>
            <w:gridSpan w:val="6"/>
          </w:tcPr>
          <w:p>
            <w:pPr>
              <w:spacing w:after="0" w:line="155" w:lineRule="exact"/>
              <w:rPr>
                <w:sz w:val="20"/>
                <w:szCs w:val="20"/>
                <w:color w:val="auto"/>
              </w:rPr>
            </w:pPr>
            <w:r>
              <w:rPr>
                <w:rFonts w:ascii="Arial" w:cs="Arial" w:eastAsia="Arial" w:hAnsi="Arial"/>
                <w:sz w:val="16"/>
                <w:szCs w:val="16"/>
                <w:b w:val="1"/>
                <w:bCs w:val="1"/>
                <w:color w:val="auto"/>
                <w:w w:val="91"/>
              </w:rPr>
              <w:t>Comprehensive Accumulated Stockholders’</w:t>
            </w:r>
          </w:p>
        </w:tc>
      </w:tr>
      <w:tr>
        <w:trPr>
          <w:trHeight w:val="203"/>
        </w:trPr>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200"/>
              <w:spacing w:after="0"/>
              <w:rPr>
                <w:sz w:val="20"/>
                <w:szCs w:val="20"/>
                <w:color w:val="auto"/>
              </w:rPr>
            </w:pPr>
            <w:r>
              <w:rPr>
                <w:rFonts w:ascii="Arial" w:cs="Arial" w:eastAsia="Arial" w:hAnsi="Arial"/>
                <w:sz w:val="16"/>
                <w:szCs w:val="16"/>
                <w:b w:val="1"/>
                <w:bCs w:val="1"/>
                <w:color w:val="auto"/>
              </w:rPr>
              <w:t>Shares</w:t>
            </w:r>
          </w:p>
        </w:tc>
        <w:tc>
          <w:tcPr>
            <w:tcW w:w="480" w:type="dxa"/>
            <w:vAlign w:val="bottom"/>
            <w:gridSpan w:val="2"/>
          </w:tcPr>
          <w:p>
            <w:pPr>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7"/>
                <w:szCs w:val="17"/>
                <w:color w:val="auto"/>
              </w:rPr>
            </w:pPr>
          </w:p>
        </w:tc>
        <w:tc>
          <w:tcPr>
            <w:tcW w:w="800" w:type="dxa"/>
            <w:vAlign w:val="bottom"/>
          </w:tcPr>
          <w:p>
            <w:pPr>
              <w:jc w:val="right"/>
              <w:ind w:right="160"/>
              <w:spacing w:after="0"/>
              <w:rPr>
                <w:sz w:val="20"/>
                <w:szCs w:val="20"/>
                <w:color w:val="auto"/>
              </w:rPr>
            </w:pPr>
            <w:r>
              <w:rPr>
                <w:rFonts w:ascii="Arial" w:cs="Arial" w:eastAsia="Arial" w:hAnsi="Arial"/>
                <w:sz w:val="16"/>
                <w:szCs w:val="16"/>
                <w:b w:val="1"/>
                <w:bCs w:val="1"/>
                <w:color w:val="auto"/>
              </w:rPr>
              <w:t>Capital</w:t>
            </w:r>
          </w:p>
        </w:tc>
        <w:tc>
          <w:tcPr>
            <w:tcW w:w="11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Income (Loss)</w:t>
            </w:r>
          </w:p>
        </w:tc>
        <w:tc>
          <w:tcPr>
            <w:tcW w:w="160" w:type="dxa"/>
            <w:vAlign w:val="bottom"/>
          </w:tcPr>
          <w:p>
            <w:pPr>
              <w:spacing w:after="0"/>
              <w:rPr>
                <w:sz w:val="17"/>
                <w:szCs w:val="17"/>
                <w:color w:val="auto"/>
              </w:rPr>
            </w:pPr>
          </w:p>
        </w:tc>
        <w:tc>
          <w:tcPr>
            <w:tcW w:w="840" w:type="dxa"/>
            <w:vAlign w:val="bottom"/>
          </w:tcPr>
          <w:p>
            <w:pPr>
              <w:jc w:val="right"/>
              <w:ind w:right="24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7"/>
                <w:szCs w:val="17"/>
                <w:color w:val="auto"/>
              </w:rPr>
            </w:pPr>
          </w:p>
        </w:tc>
        <w:tc>
          <w:tcPr>
            <w:tcW w:w="800" w:type="dxa"/>
            <w:vAlign w:val="bottom"/>
          </w:tcPr>
          <w:p>
            <w:pPr>
              <w:jc w:val="right"/>
              <w:ind w:right="180"/>
              <w:spacing w:after="0"/>
              <w:rPr>
                <w:sz w:val="20"/>
                <w:szCs w:val="20"/>
                <w:color w:val="auto"/>
              </w:rPr>
            </w:pPr>
            <w:r>
              <w:rPr>
                <w:rFonts w:ascii="Arial" w:cs="Arial" w:eastAsia="Arial" w:hAnsi="Arial"/>
                <w:sz w:val="16"/>
                <w:szCs w:val="16"/>
                <w:b w:val="1"/>
                <w:bCs w:val="1"/>
                <w:color w:val="auto"/>
              </w:rPr>
              <w:t>Equity</w:t>
            </w:r>
          </w:p>
        </w:tc>
      </w:tr>
      <w:tr>
        <w:trPr>
          <w:trHeight w:val="20"/>
        </w:trPr>
        <w:tc>
          <w:tcPr>
            <w:tcW w:w="4200" w:type="dxa"/>
            <w:vAlign w:val="bottom"/>
            <w:shd w:val="clear" w:color="auto" w:fill="E5E5E5"/>
          </w:tcPr>
          <w:p>
            <w:pPr>
              <w:spacing w:after="0" w:line="20" w:lineRule="exact"/>
              <w:rPr>
                <w:sz w:val="1"/>
                <w:szCs w:val="1"/>
                <w:color w:val="auto"/>
              </w:rPr>
            </w:pPr>
          </w:p>
        </w:tc>
        <w:tc>
          <w:tcPr>
            <w:tcW w:w="80" w:type="dxa"/>
            <w:vAlign w:val="bottom"/>
            <w:tcBorders>
              <w:right w:val="single" w:sz="8" w:color="E5E5E5"/>
            </w:tcBorders>
            <w:shd w:val="clear" w:color="auto" w:fill="E5E5E5"/>
          </w:tcPr>
          <w:p>
            <w:pPr>
              <w:spacing w:after="0" w:line="20" w:lineRule="exact"/>
              <w:rPr>
                <w:sz w:val="1"/>
                <w:szCs w:val="1"/>
                <w:color w:val="auto"/>
              </w:rPr>
            </w:pPr>
          </w:p>
        </w:tc>
        <w:tc>
          <w:tcPr>
            <w:tcW w:w="980" w:type="dxa"/>
            <w:vAlign w:val="bottom"/>
            <w:tcBorders>
              <w:right w:val="single" w:sz="8" w:color="E5E5E5"/>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E5E5E5"/>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E5E5E5"/>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E5E5E5"/>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E5E5E5"/>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74"/>
        </w:trPr>
        <w:tc>
          <w:tcPr>
            <w:tcW w:w="4280" w:type="dxa"/>
            <w:vAlign w:val="bottom"/>
            <w:tcBorders>
              <w:right w:val="single" w:sz="8" w:color="E5E5E5"/>
            </w:tcBorders>
            <w:gridSpan w:val="2"/>
            <w:shd w:val="clear" w:color="auto" w:fill="E5E5E5"/>
          </w:tcPr>
          <w:p>
            <w:pPr>
              <w:spacing w:after="0" w:line="175" w:lineRule="exact"/>
              <w:rPr>
                <w:sz w:val="20"/>
                <w:szCs w:val="20"/>
                <w:color w:val="auto"/>
              </w:rPr>
            </w:pPr>
            <w:r>
              <w:rPr>
                <w:rFonts w:ascii="Arial" w:cs="Arial" w:eastAsia="Arial" w:hAnsi="Arial"/>
                <w:sz w:val="16"/>
                <w:szCs w:val="16"/>
                <w:b w:val="1"/>
                <w:bCs w:val="1"/>
                <w:color w:val="auto"/>
              </w:rPr>
              <w:t>Balance at December 31, 2023</w:t>
            </w:r>
          </w:p>
        </w:tc>
        <w:tc>
          <w:tcPr>
            <w:tcW w:w="980" w:type="dxa"/>
            <w:vAlign w:val="bottom"/>
            <w:tcBorders>
              <w:right w:val="single" w:sz="8" w:color="E5E5E5"/>
            </w:tcBorders>
            <w:shd w:val="clear" w:color="auto" w:fill="E5E5E5"/>
          </w:tcPr>
          <w:p>
            <w:pPr>
              <w:jc w:val="right"/>
              <w:ind w:right="60"/>
              <w:spacing w:after="0" w:line="175" w:lineRule="exact"/>
              <w:rPr>
                <w:sz w:val="20"/>
                <w:szCs w:val="20"/>
                <w:color w:val="auto"/>
              </w:rPr>
            </w:pPr>
            <w:r>
              <w:rPr>
                <w:rFonts w:ascii="Arial" w:cs="Arial" w:eastAsia="Arial" w:hAnsi="Arial"/>
                <w:sz w:val="16"/>
                <w:szCs w:val="16"/>
                <w:color w:val="auto"/>
              </w:rPr>
              <w:t>70,894,889</w:t>
            </w:r>
          </w:p>
        </w:tc>
        <w:tc>
          <w:tcPr>
            <w:tcW w:w="120" w:type="dxa"/>
            <w:vAlign w:val="bottom"/>
            <w:shd w:val="clear" w:color="auto" w:fill="E5E5E5"/>
          </w:tcPr>
          <w:p>
            <w:pPr>
              <w:spacing w:after="0" w:line="175"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E5E5E5"/>
            </w:tcBorders>
            <w:shd w:val="clear" w:color="auto" w:fill="E5E5E5"/>
          </w:tcPr>
          <w:p>
            <w:pPr>
              <w:jc w:val="right"/>
              <w:ind w:right="60"/>
              <w:spacing w:after="0" w:line="175" w:lineRule="exact"/>
              <w:rPr>
                <w:sz w:val="20"/>
                <w:szCs w:val="20"/>
                <w:color w:val="auto"/>
              </w:rPr>
            </w:pPr>
            <w:r>
              <w:rPr>
                <w:rFonts w:ascii="Arial" w:cs="Arial" w:eastAsia="Arial" w:hAnsi="Arial"/>
                <w:sz w:val="16"/>
                <w:szCs w:val="16"/>
                <w:color w:val="auto"/>
              </w:rPr>
              <w:t>1</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E5E5E5"/>
            </w:tcBorders>
            <w:shd w:val="clear" w:color="auto" w:fill="E5E5E5"/>
          </w:tcPr>
          <w:p>
            <w:pPr>
              <w:jc w:val="right"/>
              <w:ind w:right="60"/>
              <w:spacing w:after="0" w:line="175" w:lineRule="exact"/>
              <w:rPr>
                <w:sz w:val="20"/>
                <w:szCs w:val="20"/>
                <w:color w:val="auto"/>
              </w:rPr>
            </w:pPr>
            <w:r>
              <w:rPr>
                <w:rFonts w:ascii="Arial" w:cs="Arial" w:eastAsia="Arial" w:hAnsi="Arial"/>
                <w:sz w:val="16"/>
                <w:szCs w:val="16"/>
                <w:color w:val="auto"/>
              </w:rPr>
              <w:t>928,080</w:t>
            </w:r>
          </w:p>
        </w:tc>
        <w:tc>
          <w:tcPr>
            <w:tcW w:w="80" w:type="dxa"/>
            <w:vAlign w:val="bottom"/>
            <w:shd w:val="clear" w:color="auto" w:fill="E5E5E5"/>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E5E5E5"/>
            </w:tcBorders>
            <w:shd w:val="clear" w:color="auto" w:fill="E5E5E5"/>
          </w:tcPr>
          <w:p>
            <w:pPr>
              <w:jc w:val="right"/>
              <w:spacing w:after="0" w:line="175" w:lineRule="exact"/>
              <w:rPr>
                <w:sz w:val="20"/>
                <w:szCs w:val="20"/>
                <w:color w:val="auto"/>
              </w:rPr>
            </w:pPr>
            <w:r>
              <w:rPr>
                <w:rFonts w:ascii="Arial" w:cs="Arial" w:eastAsia="Arial" w:hAnsi="Arial"/>
                <w:sz w:val="16"/>
                <w:szCs w:val="16"/>
                <w:color w:val="auto"/>
              </w:rPr>
              <w:t>(106)</w:t>
            </w:r>
          </w:p>
        </w:tc>
        <w:tc>
          <w:tcPr>
            <w:tcW w:w="160" w:type="dxa"/>
            <w:vAlign w:val="bottom"/>
            <w:shd w:val="clear" w:color="auto" w:fill="E5E5E5"/>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E5E5E5"/>
            </w:tcBorders>
            <w:shd w:val="clear" w:color="auto" w:fill="E5E5E5"/>
          </w:tcPr>
          <w:p>
            <w:pPr>
              <w:jc w:val="right"/>
              <w:spacing w:after="0" w:line="175" w:lineRule="exact"/>
              <w:rPr>
                <w:sz w:val="20"/>
                <w:szCs w:val="20"/>
                <w:color w:val="auto"/>
              </w:rPr>
            </w:pPr>
            <w:r>
              <w:rPr>
                <w:rFonts w:ascii="Arial" w:cs="Arial" w:eastAsia="Arial" w:hAnsi="Arial"/>
                <w:sz w:val="16"/>
                <w:szCs w:val="16"/>
                <w:color w:val="auto"/>
              </w:rPr>
              <w:t>(770,796)</w:t>
            </w:r>
          </w:p>
        </w:tc>
        <w:tc>
          <w:tcPr>
            <w:tcW w:w="140" w:type="dxa"/>
            <w:vAlign w:val="bottom"/>
            <w:shd w:val="clear" w:color="auto" w:fill="E5E5E5"/>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E5E5E5"/>
          </w:tcPr>
          <w:p>
            <w:pPr>
              <w:jc w:val="right"/>
              <w:spacing w:after="0" w:line="175" w:lineRule="exact"/>
              <w:rPr>
                <w:sz w:val="20"/>
                <w:szCs w:val="20"/>
                <w:color w:val="auto"/>
              </w:rPr>
            </w:pPr>
            <w:r>
              <w:rPr>
                <w:rFonts w:ascii="Arial" w:cs="Arial" w:eastAsia="Arial" w:hAnsi="Arial"/>
                <w:sz w:val="16"/>
                <w:szCs w:val="16"/>
                <w:color w:val="auto"/>
              </w:rPr>
              <w:t>157,179</w:t>
            </w:r>
          </w:p>
        </w:tc>
      </w:tr>
      <w:tr>
        <w:trPr>
          <w:trHeight w:val="168"/>
        </w:trPr>
        <w:tc>
          <w:tcPr>
            <w:tcW w:w="4280" w:type="dxa"/>
            <w:vAlign w:val="bottom"/>
            <w:gridSpan w:val="2"/>
          </w:tcPr>
          <w:p>
            <w:pPr>
              <w:ind w:left="240"/>
              <w:spacing w:after="0" w:line="168" w:lineRule="exact"/>
              <w:rPr>
                <w:sz w:val="20"/>
                <w:szCs w:val="20"/>
                <w:color w:val="auto"/>
              </w:rPr>
            </w:pPr>
            <w:r>
              <w:rPr>
                <w:rFonts w:ascii="Arial" w:cs="Arial" w:eastAsia="Arial" w:hAnsi="Arial"/>
                <w:sz w:val="16"/>
                <w:szCs w:val="16"/>
                <w:color w:val="auto"/>
                <w:w w:val="99"/>
              </w:rPr>
              <w:t>Issuance of common stock in connection with exercise of</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0"/>
        </w:trPr>
        <w:tc>
          <w:tcPr>
            <w:tcW w:w="4280" w:type="dxa"/>
            <w:vAlign w:val="bottom"/>
            <w:gridSpan w:val="2"/>
          </w:tcPr>
          <w:p>
            <w:pPr>
              <w:ind w:left="240"/>
              <w:spacing w:after="0"/>
              <w:rPr>
                <w:sz w:val="20"/>
                <w:szCs w:val="20"/>
                <w:color w:val="auto"/>
              </w:rPr>
            </w:pPr>
            <w:r>
              <w:rPr>
                <w:rFonts w:ascii="Arial" w:cs="Arial" w:eastAsia="Arial" w:hAnsi="Arial"/>
                <w:sz w:val="16"/>
                <w:szCs w:val="16"/>
                <w:color w:val="auto"/>
              </w:rPr>
              <w:t>stock options and vesting of restricted stock units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1,399,680</w:t>
            </w:r>
          </w:p>
        </w:tc>
        <w:tc>
          <w:tcPr>
            <w:tcW w:w="120" w:type="dxa"/>
            <w:vAlign w:val="bottom"/>
          </w:tcPr>
          <w:p>
            <w:pPr>
              <w:spacing w:after="0"/>
              <w:rPr>
                <w:sz w:val="17"/>
                <w:szCs w:val="17"/>
                <w:color w:val="auto"/>
              </w:rPr>
            </w:pP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184"/>
        </w:trPr>
        <w:tc>
          <w:tcPr>
            <w:tcW w:w="42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Issuance of common stock under securities purchase</w:t>
            </w:r>
          </w:p>
        </w:tc>
        <w:tc>
          <w:tcPr>
            <w:tcW w:w="80" w:type="dxa"/>
            <w:vAlign w:val="bottom"/>
            <w:tcBorders>
              <w:right w:val="single" w:sz="8" w:color="E5E5E5"/>
            </w:tcBorders>
            <w:shd w:val="clear" w:color="auto" w:fill="E5E5E5"/>
          </w:tcPr>
          <w:p>
            <w:pPr>
              <w:spacing w:after="0"/>
              <w:rPr>
                <w:sz w:val="15"/>
                <w:szCs w:val="15"/>
                <w:color w:val="auto"/>
              </w:rPr>
            </w:pPr>
          </w:p>
        </w:tc>
        <w:tc>
          <w:tcPr>
            <w:tcW w:w="980" w:type="dxa"/>
            <w:vAlign w:val="bottom"/>
            <w:tcBorders>
              <w:right w:val="single" w:sz="8" w:color="E5E5E5"/>
            </w:tcBorders>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60" w:type="dxa"/>
            <w:vAlign w:val="bottom"/>
            <w:tcBorders>
              <w:right w:val="single" w:sz="8" w:color="E5E5E5"/>
            </w:tcBorders>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800" w:type="dxa"/>
            <w:vAlign w:val="bottom"/>
            <w:tcBorders>
              <w:right w:val="single" w:sz="8" w:color="E5E5E5"/>
            </w:tcBorders>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60" w:type="dxa"/>
            <w:vAlign w:val="bottom"/>
            <w:tcBorders>
              <w:right w:val="single" w:sz="8" w:color="E5E5E5"/>
            </w:tcBorders>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tcBorders>
              <w:right w:val="single" w:sz="8" w:color="E5E5E5"/>
            </w:tcBorders>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r>
      <w:tr>
        <w:trPr>
          <w:trHeight w:val="184"/>
        </w:trPr>
        <w:tc>
          <w:tcPr>
            <w:tcW w:w="42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agreement, net of offering costs of $5,087</w:t>
            </w:r>
          </w:p>
        </w:tc>
        <w:tc>
          <w:tcPr>
            <w:tcW w:w="80" w:type="dxa"/>
            <w:vAlign w:val="bottom"/>
            <w:tcBorders>
              <w:right w:val="single" w:sz="8" w:color="E5E5E5"/>
            </w:tcBorders>
            <w:shd w:val="clear" w:color="auto" w:fill="E5E5E5"/>
          </w:tcPr>
          <w:p>
            <w:pPr>
              <w:spacing w:after="0"/>
              <w:rPr>
                <w:sz w:val="15"/>
                <w:szCs w:val="15"/>
                <w:color w:val="auto"/>
              </w:rPr>
            </w:pPr>
          </w:p>
        </w:tc>
        <w:tc>
          <w:tcPr>
            <w:tcW w:w="98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35,555,555</w:t>
            </w:r>
          </w:p>
        </w:tc>
        <w:tc>
          <w:tcPr>
            <w:tcW w:w="120" w:type="dxa"/>
            <w:vAlign w:val="bottom"/>
            <w:shd w:val="clear" w:color="auto" w:fill="E5E5E5"/>
          </w:tcPr>
          <w:p>
            <w:pPr>
              <w:spacing w:after="0"/>
              <w:rPr>
                <w:sz w:val="15"/>
                <w:szCs w:val="15"/>
                <w:color w:val="auto"/>
              </w:rPr>
            </w:pPr>
          </w:p>
        </w:tc>
        <w:tc>
          <w:tcPr>
            <w:tcW w:w="3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5"/>
                <w:szCs w:val="15"/>
                <w:color w:val="auto"/>
              </w:rPr>
            </w:pPr>
          </w:p>
        </w:tc>
        <w:tc>
          <w:tcPr>
            <w:tcW w:w="80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74,913</w:t>
            </w:r>
          </w:p>
        </w:tc>
        <w:tc>
          <w:tcPr>
            <w:tcW w:w="80" w:type="dxa"/>
            <w:vAlign w:val="bottom"/>
            <w:shd w:val="clear" w:color="auto" w:fill="E5E5E5"/>
          </w:tcPr>
          <w:p>
            <w:pPr>
              <w:spacing w:after="0"/>
              <w:rPr>
                <w:sz w:val="15"/>
                <w:szCs w:val="15"/>
                <w:color w:val="auto"/>
              </w:rPr>
            </w:pPr>
          </w:p>
        </w:tc>
        <w:tc>
          <w:tcPr>
            <w:tcW w:w="10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5"/>
                <w:szCs w:val="15"/>
                <w:color w:val="auto"/>
              </w:rPr>
            </w:pPr>
          </w:p>
        </w:tc>
        <w:tc>
          <w:tcPr>
            <w:tcW w:w="840" w:type="dxa"/>
            <w:vAlign w:val="bottom"/>
            <w:tcBorders>
              <w:right w:val="single" w:sz="8" w:color="E5E5E5"/>
            </w:tcBorders>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74,913</w:t>
            </w:r>
          </w:p>
        </w:tc>
      </w:tr>
      <w:tr>
        <w:trPr>
          <w:trHeight w:val="185"/>
        </w:trPr>
        <w:tc>
          <w:tcPr>
            <w:tcW w:w="4280" w:type="dxa"/>
            <w:vAlign w:val="bottom"/>
            <w:gridSpan w:val="2"/>
          </w:tcPr>
          <w:p>
            <w:pPr>
              <w:ind w:left="240"/>
              <w:spacing w:after="0"/>
              <w:rPr>
                <w:sz w:val="20"/>
                <w:szCs w:val="20"/>
                <w:color w:val="auto"/>
              </w:rPr>
            </w:pPr>
            <w:r>
              <w:rPr>
                <w:rFonts w:ascii="Arial" w:cs="Arial" w:eastAsia="Arial" w:hAnsi="Arial"/>
                <w:sz w:val="16"/>
                <w:szCs w:val="16"/>
                <w:color w:val="auto"/>
              </w:rPr>
              <w:t>Issuance of common stock purchase warrants</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44,845</w:t>
            </w:r>
          </w:p>
        </w:tc>
        <w:tc>
          <w:tcPr>
            <w:tcW w:w="8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44,845</w:t>
            </w:r>
          </w:p>
        </w:tc>
      </w:tr>
      <w:tr>
        <w:trPr>
          <w:trHeight w:val="184"/>
        </w:trPr>
        <w:tc>
          <w:tcPr>
            <w:tcW w:w="4280" w:type="dxa"/>
            <w:vAlign w:val="bottom"/>
            <w:tcBorders>
              <w:right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Unrealized gain on marketable securities</w:t>
            </w:r>
          </w:p>
        </w:tc>
        <w:tc>
          <w:tcPr>
            <w:tcW w:w="98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rPr>
                <w:sz w:val="15"/>
                <w:szCs w:val="15"/>
                <w:color w:val="auto"/>
              </w:rPr>
            </w:pPr>
          </w:p>
        </w:tc>
        <w:tc>
          <w:tcPr>
            <w:tcW w:w="3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5"/>
                <w:szCs w:val="15"/>
                <w:color w:val="auto"/>
              </w:rPr>
            </w:pPr>
          </w:p>
        </w:tc>
        <w:tc>
          <w:tcPr>
            <w:tcW w:w="80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5"/>
                <w:szCs w:val="15"/>
                <w:color w:val="auto"/>
              </w:rPr>
            </w:pPr>
          </w:p>
        </w:tc>
        <w:tc>
          <w:tcPr>
            <w:tcW w:w="10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E5E5E5"/>
          </w:tcPr>
          <w:p>
            <w:pPr>
              <w:spacing w:after="0"/>
              <w:rPr>
                <w:sz w:val="15"/>
                <w:szCs w:val="15"/>
                <w:color w:val="auto"/>
              </w:rPr>
            </w:pPr>
          </w:p>
        </w:tc>
        <w:tc>
          <w:tcPr>
            <w:tcW w:w="840" w:type="dxa"/>
            <w:vAlign w:val="bottom"/>
            <w:tcBorders>
              <w:right w:val="single" w:sz="8" w:color="E5E5E5"/>
            </w:tcBorders>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203</w:t>
            </w:r>
          </w:p>
        </w:tc>
      </w:tr>
      <w:tr>
        <w:trPr>
          <w:trHeight w:val="184"/>
        </w:trPr>
        <w:tc>
          <w:tcPr>
            <w:tcW w:w="428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10,856</w:t>
            </w:r>
          </w:p>
        </w:tc>
        <w:tc>
          <w:tcPr>
            <w:tcW w:w="8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10,856</w:t>
            </w:r>
          </w:p>
        </w:tc>
      </w:tr>
      <w:tr>
        <w:trPr>
          <w:trHeight w:val="185"/>
        </w:trPr>
        <w:tc>
          <w:tcPr>
            <w:tcW w:w="4280" w:type="dxa"/>
            <w:vAlign w:val="bottom"/>
            <w:tcBorders>
              <w:right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Net loss</w:t>
            </w:r>
          </w:p>
        </w:tc>
        <w:tc>
          <w:tcPr>
            <w:tcW w:w="98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rPr>
                <w:sz w:val="16"/>
                <w:szCs w:val="16"/>
                <w:color w:val="auto"/>
              </w:rPr>
            </w:pPr>
          </w:p>
        </w:tc>
        <w:tc>
          <w:tcPr>
            <w:tcW w:w="3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6"/>
                <w:szCs w:val="16"/>
                <w:color w:val="auto"/>
              </w:rPr>
            </w:pPr>
          </w:p>
        </w:tc>
        <w:tc>
          <w:tcPr>
            <w:tcW w:w="80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6"/>
                <w:szCs w:val="16"/>
                <w:color w:val="auto"/>
              </w:rPr>
            </w:pPr>
          </w:p>
        </w:tc>
        <w:tc>
          <w:tcPr>
            <w:tcW w:w="10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6"/>
                <w:szCs w:val="16"/>
                <w:color w:val="auto"/>
              </w:rPr>
            </w:pPr>
          </w:p>
        </w:tc>
        <w:tc>
          <w:tcPr>
            <w:tcW w:w="8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(132,065)</w:t>
            </w: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(132,065)</w:t>
            </w:r>
          </w:p>
        </w:tc>
      </w:tr>
      <w:tr>
        <w:trPr>
          <w:trHeight w:val="207"/>
        </w:trPr>
        <w:tc>
          <w:tcPr>
            <w:tcW w:w="4280" w:type="dxa"/>
            <w:vAlign w:val="bottom"/>
            <w:tcBorders>
              <w:bottom w:val="single" w:sz="8" w:color="E5E5E5"/>
            </w:tcBorders>
            <w:gridSpan w:val="2"/>
          </w:tcPr>
          <w:p>
            <w:pPr>
              <w:spacing w:after="0" w:line="173" w:lineRule="exact"/>
              <w:rPr>
                <w:sz w:val="20"/>
                <w:szCs w:val="20"/>
                <w:color w:val="auto"/>
              </w:rPr>
            </w:pPr>
            <w:r>
              <w:rPr>
                <w:rFonts w:ascii="Arial" w:cs="Arial" w:eastAsia="Arial" w:hAnsi="Arial"/>
                <w:sz w:val="16"/>
                <w:szCs w:val="16"/>
                <w:b w:val="1"/>
                <w:bCs w:val="1"/>
                <w:color w:val="auto"/>
              </w:rPr>
              <w:t>Balance at December 31, 2024</w:t>
            </w:r>
          </w:p>
        </w:tc>
        <w:tc>
          <w:tcPr>
            <w:tcW w:w="98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color w:val="auto"/>
                <w:w w:val="92"/>
              </w:rPr>
              <w:t>107,850,124</w:t>
            </w:r>
          </w:p>
        </w:tc>
        <w:tc>
          <w:tcPr>
            <w:tcW w:w="120" w:type="dxa"/>
            <w:vAlign w:val="bottom"/>
            <w:tcBorders>
              <w:top w:val="single" w:sz="8" w:color="auto"/>
              <w:bottom w:val="single" w:sz="8" w:color="auto"/>
            </w:tcBorders>
          </w:tcPr>
          <w:p>
            <w:pPr>
              <w:spacing w:after="0" w:line="173"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color w:val="auto"/>
                <w:w w:val="89"/>
              </w:rPr>
              <w:t>1,058,317</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60"/>
              <w:spacing w:after="0" w:line="173" w:lineRule="exact"/>
              <w:rPr>
                <w:sz w:val="20"/>
                <w:szCs w:val="20"/>
                <w:color w:val="auto"/>
              </w:rPr>
            </w:pPr>
            <w:r>
              <w:rPr>
                <w:rFonts w:ascii="Arial" w:cs="Arial" w:eastAsia="Arial" w:hAnsi="Arial"/>
                <w:sz w:val="16"/>
                <w:szCs w:val="16"/>
                <w:color w:val="auto"/>
              </w:rPr>
              <w:t>97</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(902,861)</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155,554</w:t>
            </w:r>
          </w:p>
        </w:tc>
      </w:tr>
      <w:tr>
        <w:trPr>
          <w:trHeight w:val="166"/>
        </w:trPr>
        <w:tc>
          <w:tcPr>
            <w:tcW w:w="4200" w:type="dxa"/>
            <w:vAlign w:val="bottom"/>
            <w:tcBorders>
              <w:top w:val="single" w:sz="8" w:color="E5E5E5"/>
            </w:tcBorders>
            <w:shd w:val="clear" w:color="auto" w:fill="E5E5E5"/>
          </w:tcPr>
          <w:p>
            <w:pPr>
              <w:ind w:left="240"/>
              <w:spacing w:after="0" w:line="166" w:lineRule="exact"/>
              <w:rPr>
                <w:sz w:val="20"/>
                <w:szCs w:val="20"/>
                <w:color w:val="auto"/>
              </w:rPr>
            </w:pPr>
            <w:r>
              <w:rPr>
                <w:rFonts w:ascii="Arial" w:cs="Arial" w:eastAsia="Arial" w:hAnsi="Arial"/>
                <w:sz w:val="16"/>
                <w:szCs w:val="16"/>
                <w:color w:val="auto"/>
                <w:w w:val="99"/>
              </w:rPr>
              <w:t>Issuance of common stock in connection with vesting of</w:t>
            </w:r>
          </w:p>
        </w:tc>
        <w:tc>
          <w:tcPr>
            <w:tcW w:w="80" w:type="dxa"/>
            <w:vAlign w:val="bottom"/>
            <w:tcBorders>
              <w:top w:val="single" w:sz="8" w:color="E5E5E5"/>
              <w:right w:val="single" w:sz="8" w:color="E5E5E5"/>
            </w:tcBorders>
            <w:shd w:val="clear" w:color="auto" w:fill="E5E5E5"/>
          </w:tcPr>
          <w:p>
            <w:pPr>
              <w:spacing w:after="0"/>
              <w:rPr>
                <w:sz w:val="14"/>
                <w:szCs w:val="14"/>
                <w:color w:val="auto"/>
              </w:rPr>
            </w:pPr>
          </w:p>
        </w:tc>
        <w:tc>
          <w:tcPr>
            <w:tcW w:w="980" w:type="dxa"/>
            <w:vAlign w:val="bottom"/>
            <w:tcBorders>
              <w:top w:val="single" w:sz="8" w:color="E5E5E5"/>
              <w:right w:val="single" w:sz="8" w:color="E5E5E5"/>
            </w:tcBorders>
            <w:shd w:val="clear" w:color="auto" w:fill="E5E5E5"/>
          </w:tcPr>
          <w:p>
            <w:pPr>
              <w:spacing w:after="0"/>
              <w:rPr>
                <w:sz w:val="14"/>
                <w:szCs w:val="14"/>
                <w:color w:val="auto"/>
              </w:rPr>
            </w:pPr>
          </w:p>
        </w:tc>
        <w:tc>
          <w:tcPr>
            <w:tcW w:w="120" w:type="dxa"/>
            <w:vAlign w:val="bottom"/>
            <w:tcBorders>
              <w:top w:val="single" w:sz="8" w:color="E5E5E5"/>
            </w:tcBorders>
            <w:shd w:val="clear" w:color="auto" w:fill="E5E5E5"/>
          </w:tcPr>
          <w:p>
            <w:pPr>
              <w:spacing w:after="0"/>
              <w:rPr>
                <w:sz w:val="14"/>
                <w:szCs w:val="14"/>
                <w:color w:val="auto"/>
              </w:rPr>
            </w:pPr>
          </w:p>
        </w:tc>
        <w:tc>
          <w:tcPr>
            <w:tcW w:w="360" w:type="dxa"/>
            <w:vAlign w:val="bottom"/>
            <w:tcBorders>
              <w:top w:val="single" w:sz="8" w:color="E5E5E5"/>
              <w:right w:val="single" w:sz="8" w:color="E5E5E5"/>
            </w:tcBorders>
            <w:shd w:val="clear" w:color="auto" w:fill="E5E5E5"/>
          </w:tcPr>
          <w:p>
            <w:pPr>
              <w:spacing w:after="0"/>
              <w:rPr>
                <w:sz w:val="14"/>
                <w:szCs w:val="14"/>
                <w:color w:val="auto"/>
              </w:rPr>
            </w:pPr>
          </w:p>
        </w:tc>
        <w:tc>
          <w:tcPr>
            <w:tcW w:w="100" w:type="dxa"/>
            <w:vAlign w:val="bottom"/>
            <w:tcBorders>
              <w:top w:val="single" w:sz="8" w:color="E5E5E5"/>
            </w:tcBorders>
            <w:shd w:val="clear" w:color="auto" w:fill="E5E5E5"/>
          </w:tcPr>
          <w:p>
            <w:pPr>
              <w:spacing w:after="0"/>
              <w:rPr>
                <w:sz w:val="14"/>
                <w:szCs w:val="14"/>
                <w:color w:val="auto"/>
              </w:rPr>
            </w:pPr>
          </w:p>
        </w:tc>
        <w:tc>
          <w:tcPr>
            <w:tcW w:w="800" w:type="dxa"/>
            <w:vAlign w:val="bottom"/>
            <w:tcBorders>
              <w:top w:val="single" w:sz="8" w:color="E5E5E5"/>
              <w:right w:val="single" w:sz="8" w:color="E5E5E5"/>
            </w:tcBorders>
            <w:shd w:val="clear" w:color="auto" w:fill="E5E5E5"/>
          </w:tcPr>
          <w:p>
            <w:pPr>
              <w:spacing w:after="0"/>
              <w:rPr>
                <w:sz w:val="14"/>
                <w:szCs w:val="14"/>
                <w:color w:val="auto"/>
              </w:rPr>
            </w:pPr>
          </w:p>
        </w:tc>
        <w:tc>
          <w:tcPr>
            <w:tcW w:w="80" w:type="dxa"/>
            <w:vAlign w:val="bottom"/>
            <w:tcBorders>
              <w:top w:val="single" w:sz="8" w:color="E5E5E5"/>
            </w:tcBorders>
            <w:shd w:val="clear" w:color="auto" w:fill="E5E5E5"/>
          </w:tcPr>
          <w:p>
            <w:pPr>
              <w:spacing w:after="0"/>
              <w:rPr>
                <w:sz w:val="14"/>
                <w:szCs w:val="14"/>
                <w:color w:val="auto"/>
              </w:rPr>
            </w:pPr>
          </w:p>
        </w:tc>
        <w:tc>
          <w:tcPr>
            <w:tcW w:w="1060" w:type="dxa"/>
            <w:vAlign w:val="bottom"/>
            <w:tcBorders>
              <w:top w:val="single" w:sz="8" w:color="E5E5E5"/>
              <w:right w:val="single" w:sz="8" w:color="E5E5E5"/>
            </w:tcBorders>
            <w:shd w:val="clear" w:color="auto" w:fill="E5E5E5"/>
          </w:tcPr>
          <w:p>
            <w:pPr>
              <w:spacing w:after="0"/>
              <w:rPr>
                <w:sz w:val="14"/>
                <w:szCs w:val="14"/>
                <w:color w:val="auto"/>
              </w:rPr>
            </w:pPr>
          </w:p>
        </w:tc>
        <w:tc>
          <w:tcPr>
            <w:tcW w:w="160" w:type="dxa"/>
            <w:vAlign w:val="bottom"/>
            <w:tcBorders>
              <w:top w:val="single" w:sz="8" w:color="E5E5E5"/>
            </w:tcBorders>
            <w:shd w:val="clear" w:color="auto" w:fill="E5E5E5"/>
          </w:tcPr>
          <w:p>
            <w:pPr>
              <w:spacing w:after="0"/>
              <w:rPr>
                <w:sz w:val="14"/>
                <w:szCs w:val="14"/>
                <w:color w:val="auto"/>
              </w:rPr>
            </w:pPr>
          </w:p>
        </w:tc>
        <w:tc>
          <w:tcPr>
            <w:tcW w:w="840" w:type="dxa"/>
            <w:vAlign w:val="bottom"/>
            <w:tcBorders>
              <w:top w:val="single" w:sz="8" w:color="E5E5E5"/>
              <w:right w:val="single" w:sz="8" w:color="E5E5E5"/>
            </w:tcBorders>
            <w:shd w:val="clear" w:color="auto" w:fill="E5E5E5"/>
          </w:tcPr>
          <w:p>
            <w:pPr>
              <w:spacing w:after="0"/>
              <w:rPr>
                <w:sz w:val="14"/>
                <w:szCs w:val="14"/>
                <w:color w:val="auto"/>
              </w:rPr>
            </w:pPr>
          </w:p>
        </w:tc>
        <w:tc>
          <w:tcPr>
            <w:tcW w:w="140" w:type="dxa"/>
            <w:vAlign w:val="bottom"/>
            <w:tcBorders>
              <w:top w:val="single" w:sz="8" w:color="E5E5E5"/>
            </w:tcBorders>
            <w:shd w:val="clear" w:color="auto" w:fill="E5E5E5"/>
          </w:tcPr>
          <w:p>
            <w:pPr>
              <w:spacing w:after="0"/>
              <w:rPr>
                <w:sz w:val="14"/>
                <w:szCs w:val="14"/>
                <w:color w:val="auto"/>
              </w:rPr>
            </w:pPr>
          </w:p>
        </w:tc>
        <w:tc>
          <w:tcPr>
            <w:tcW w:w="800" w:type="dxa"/>
            <w:vAlign w:val="bottom"/>
            <w:tcBorders>
              <w:top w:val="single" w:sz="8" w:color="E5E5E5"/>
            </w:tcBorders>
            <w:shd w:val="clear" w:color="auto" w:fill="E5E5E5"/>
          </w:tcPr>
          <w:p>
            <w:pPr>
              <w:spacing w:after="0"/>
              <w:rPr>
                <w:sz w:val="14"/>
                <w:szCs w:val="14"/>
                <w:color w:val="auto"/>
              </w:rPr>
            </w:pPr>
          </w:p>
        </w:tc>
      </w:tr>
      <w:tr>
        <w:trPr>
          <w:trHeight w:val="184"/>
        </w:trPr>
        <w:tc>
          <w:tcPr>
            <w:tcW w:w="4200" w:type="dxa"/>
            <w:vAlign w:val="bottom"/>
            <w:shd w:val="clear" w:color="auto" w:fill="E5E5E5"/>
          </w:tcPr>
          <w:p>
            <w:pPr>
              <w:ind w:left="240"/>
              <w:spacing w:after="0"/>
              <w:rPr>
                <w:sz w:val="20"/>
                <w:szCs w:val="20"/>
                <w:color w:val="auto"/>
              </w:rPr>
            </w:pPr>
            <w:r>
              <w:rPr>
                <w:rFonts w:ascii="Arial" w:cs="Arial" w:eastAsia="Arial" w:hAnsi="Arial"/>
                <w:sz w:val="16"/>
                <w:szCs w:val="16"/>
                <w:color w:val="auto"/>
              </w:rPr>
              <w:t>restricted stock units</w:t>
            </w:r>
          </w:p>
        </w:tc>
        <w:tc>
          <w:tcPr>
            <w:tcW w:w="80" w:type="dxa"/>
            <w:vAlign w:val="bottom"/>
            <w:tcBorders>
              <w:right w:val="single" w:sz="8" w:color="E5E5E5"/>
            </w:tcBorders>
            <w:shd w:val="clear" w:color="auto" w:fill="E5E5E5"/>
          </w:tcPr>
          <w:p>
            <w:pPr>
              <w:spacing w:after="0"/>
              <w:rPr>
                <w:sz w:val="15"/>
                <w:szCs w:val="15"/>
                <w:color w:val="auto"/>
              </w:rPr>
            </w:pPr>
          </w:p>
        </w:tc>
        <w:tc>
          <w:tcPr>
            <w:tcW w:w="98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1,367,359</w:t>
            </w:r>
          </w:p>
        </w:tc>
        <w:tc>
          <w:tcPr>
            <w:tcW w:w="120" w:type="dxa"/>
            <w:vAlign w:val="bottom"/>
            <w:shd w:val="clear" w:color="auto" w:fill="E5E5E5"/>
          </w:tcPr>
          <w:p>
            <w:pPr>
              <w:spacing w:after="0"/>
              <w:rPr>
                <w:sz w:val="15"/>
                <w:szCs w:val="15"/>
                <w:color w:val="auto"/>
              </w:rPr>
            </w:pPr>
          </w:p>
        </w:tc>
        <w:tc>
          <w:tcPr>
            <w:tcW w:w="3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5"/>
                <w:szCs w:val="15"/>
                <w:color w:val="auto"/>
              </w:rPr>
            </w:pPr>
          </w:p>
        </w:tc>
        <w:tc>
          <w:tcPr>
            <w:tcW w:w="80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E5E5E5"/>
          </w:tcPr>
          <w:p>
            <w:pPr>
              <w:spacing w:after="0"/>
              <w:rPr>
                <w:sz w:val="15"/>
                <w:szCs w:val="15"/>
                <w:color w:val="auto"/>
              </w:rPr>
            </w:pPr>
          </w:p>
        </w:tc>
        <w:tc>
          <w:tcPr>
            <w:tcW w:w="10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5"/>
                <w:szCs w:val="15"/>
                <w:color w:val="auto"/>
              </w:rPr>
            </w:pPr>
          </w:p>
        </w:tc>
        <w:tc>
          <w:tcPr>
            <w:tcW w:w="840" w:type="dxa"/>
            <w:vAlign w:val="bottom"/>
            <w:tcBorders>
              <w:right w:val="single" w:sz="8" w:color="E5E5E5"/>
            </w:tcBorders>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(446)</w:t>
            </w:r>
          </w:p>
        </w:tc>
      </w:tr>
      <w:tr>
        <w:trPr>
          <w:trHeight w:val="184"/>
        </w:trPr>
        <w:tc>
          <w:tcPr>
            <w:tcW w:w="4200" w:type="dxa"/>
            <w:vAlign w:val="bottom"/>
          </w:tcPr>
          <w:p>
            <w:pPr>
              <w:ind w:left="240"/>
              <w:spacing w:after="0"/>
              <w:rPr>
                <w:sz w:val="20"/>
                <w:szCs w:val="20"/>
                <w:color w:val="auto"/>
              </w:rPr>
            </w:pPr>
            <w:r>
              <w:rPr>
                <w:rFonts w:ascii="Arial" w:cs="Arial" w:eastAsia="Arial" w:hAnsi="Arial"/>
                <w:sz w:val="16"/>
                <w:szCs w:val="16"/>
                <w:color w:val="auto"/>
              </w:rPr>
              <w:t>Exercise of common stock purchase warrants</w:t>
            </w:r>
          </w:p>
        </w:tc>
        <w:tc>
          <w:tcPr>
            <w:tcW w:w="8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11,281,950</w:t>
            </w:r>
          </w:p>
        </w:tc>
        <w:tc>
          <w:tcPr>
            <w:tcW w:w="120" w:type="dxa"/>
            <w:vAlign w:val="bottom"/>
          </w:tcPr>
          <w:p>
            <w:pPr>
              <w:spacing w:after="0"/>
              <w:rPr>
                <w:sz w:val="15"/>
                <w:szCs w:val="15"/>
                <w:color w:val="auto"/>
              </w:rPr>
            </w:pP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280" w:type="dxa"/>
            <w:vAlign w:val="bottom"/>
            <w:tcBorders>
              <w:right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Unrealized gain on marketable securities</w:t>
            </w:r>
          </w:p>
        </w:tc>
        <w:tc>
          <w:tcPr>
            <w:tcW w:w="98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rPr>
                <w:sz w:val="16"/>
                <w:szCs w:val="16"/>
                <w:color w:val="auto"/>
              </w:rPr>
            </w:pPr>
          </w:p>
        </w:tc>
        <w:tc>
          <w:tcPr>
            <w:tcW w:w="3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6"/>
                <w:szCs w:val="16"/>
                <w:color w:val="auto"/>
              </w:rPr>
            </w:pPr>
          </w:p>
        </w:tc>
        <w:tc>
          <w:tcPr>
            <w:tcW w:w="80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6"/>
                <w:szCs w:val="16"/>
                <w:color w:val="auto"/>
              </w:rPr>
            </w:pPr>
          </w:p>
        </w:tc>
        <w:tc>
          <w:tcPr>
            <w:tcW w:w="10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513</w:t>
            </w:r>
          </w:p>
        </w:tc>
        <w:tc>
          <w:tcPr>
            <w:tcW w:w="160" w:type="dxa"/>
            <w:vAlign w:val="bottom"/>
            <w:shd w:val="clear" w:color="auto" w:fill="E5E5E5"/>
          </w:tcPr>
          <w:p>
            <w:pPr>
              <w:spacing w:after="0"/>
              <w:rPr>
                <w:sz w:val="16"/>
                <w:szCs w:val="16"/>
                <w:color w:val="auto"/>
              </w:rPr>
            </w:pPr>
          </w:p>
        </w:tc>
        <w:tc>
          <w:tcPr>
            <w:tcW w:w="840" w:type="dxa"/>
            <w:vAlign w:val="bottom"/>
            <w:tcBorders>
              <w:right w:val="single" w:sz="8" w:color="E5E5E5"/>
            </w:tcBorders>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513</w:t>
            </w:r>
          </w:p>
        </w:tc>
      </w:tr>
      <w:tr>
        <w:trPr>
          <w:trHeight w:val="184"/>
        </w:trPr>
        <w:tc>
          <w:tcPr>
            <w:tcW w:w="4280" w:type="dxa"/>
            <w:vAlign w:val="bottom"/>
            <w:gridSpan w:val="2"/>
          </w:tcPr>
          <w:p>
            <w:pPr>
              <w:ind w:left="24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12,384</w:t>
            </w:r>
          </w:p>
        </w:tc>
        <w:tc>
          <w:tcPr>
            <w:tcW w:w="8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12,384</w:t>
            </w:r>
          </w:p>
        </w:tc>
      </w:tr>
      <w:tr>
        <w:trPr>
          <w:trHeight w:val="184"/>
        </w:trPr>
        <w:tc>
          <w:tcPr>
            <w:tcW w:w="4280" w:type="dxa"/>
            <w:vAlign w:val="bottom"/>
            <w:tcBorders>
              <w:right w:val="single" w:sz="8" w:color="E5E5E5"/>
            </w:tcBorders>
            <w:gridSpan w:val="2"/>
            <w:shd w:val="clear" w:color="auto" w:fill="E5E5E5"/>
          </w:tcPr>
          <w:p>
            <w:pPr>
              <w:ind w:left="240"/>
              <w:spacing w:after="0"/>
              <w:rPr>
                <w:sz w:val="20"/>
                <w:szCs w:val="20"/>
                <w:color w:val="auto"/>
              </w:rPr>
            </w:pPr>
            <w:r>
              <w:rPr>
                <w:rFonts w:ascii="Arial" w:cs="Arial" w:eastAsia="Arial" w:hAnsi="Arial"/>
                <w:sz w:val="16"/>
                <w:szCs w:val="16"/>
                <w:color w:val="auto"/>
              </w:rPr>
              <w:t>Net loss</w:t>
            </w:r>
          </w:p>
        </w:tc>
        <w:tc>
          <w:tcPr>
            <w:tcW w:w="98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5E5E5"/>
          </w:tcPr>
          <w:p>
            <w:pPr>
              <w:spacing w:after="0"/>
              <w:rPr>
                <w:sz w:val="15"/>
                <w:szCs w:val="15"/>
                <w:color w:val="auto"/>
              </w:rPr>
            </w:pPr>
          </w:p>
        </w:tc>
        <w:tc>
          <w:tcPr>
            <w:tcW w:w="3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5"/>
                <w:szCs w:val="15"/>
                <w:color w:val="auto"/>
              </w:rPr>
            </w:pPr>
          </w:p>
        </w:tc>
        <w:tc>
          <w:tcPr>
            <w:tcW w:w="80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5"/>
                <w:szCs w:val="15"/>
                <w:color w:val="auto"/>
              </w:rPr>
            </w:pPr>
          </w:p>
        </w:tc>
        <w:tc>
          <w:tcPr>
            <w:tcW w:w="1060" w:type="dxa"/>
            <w:vAlign w:val="bottom"/>
            <w:tcBorders>
              <w:right w:val="single" w:sz="8" w:color="E5E5E5"/>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5"/>
                <w:szCs w:val="15"/>
                <w:color w:val="auto"/>
              </w:rPr>
            </w:pPr>
          </w:p>
        </w:tc>
        <w:tc>
          <w:tcPr>
            <w:tcW w:w="8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(64,923)</w:t>
            </w:r>
          </w:p>
        </w:tc>
        <w:tc>
          <w:tcPr>
            <w:tcW w:w="14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(64,923)</w:t>
            </w:r>
          </w:p>
        </w:tc>
      </w:tr>
      <w:tr>
        <w:trPr>
          <w:trHeight w:val="184"/>
        </w:trPr>
        <w:tc>
          <w:tcPr>
            <w:tcW w:w="42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Balance at December 31, 2025</w:t>
            </w:r>
          </w:p>
        </w:tc>
        <w:tc>
          <w:tcPr>
            <w:tcW w:w="980" w:type="dxa"/>
            <w:vAlign w:val="bottom"/>
            <w:tcBorders>
              <w:top w:val="single" w:sz="8" w:color="auto"/>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w w:val="92"/>
              </w:rPr>
              <w:t>120,499,433</w:t>
            </w:r>
          </w:p>
        </w:tc>
        <w:tc>
          <w:tcPr>
            <w:tcW w:w="1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w w:val="89"/>
              </w:rPr>
              <w:t>1,070,255</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60"/>
              <w:spacing w:after="0" w:line="176" w:lineRule="exact"/>
              <w:rPr>
                <w:sz w:val="20"/>
                <w:szCs w:val="20"/>
                <w:color w:val="auto"/>
              </w:rPr>
            </w:pPr>
            <w:r>
              <w:rPr>
                <w:rFonts w:ascii="Arial" w:cs="Arial" w:eastAsia="Arial" w:hAnsi="Arial"/>
                <w:sz w:val="16"/>
                <w:szCs w:val="16"/>
                <w:color w:val="auto"/>
              </w:rPr>
              <w:t>610</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(967,784)</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103,082</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720"/>
          </w:cols>
          <w:pgMar w:left="1080" w:top="1173" w:right="1080" w:bottom="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20"/>
          <w:szCs w:val="20"/>
          <w:b w:val="1"/>
          <w:bCs w:val="1"/>
          <w:color w:val="auto"/>
        </w:rPr>
        <w:t>ACLARIS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03"/>
        </w:trPr>
        <w:tc>
          <w:tcPr>
            <w:tcW w:w="7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174"/>
        </w:trPr>
        <w:tc>
          <w:tcPr>
            <w:tcW w:w="7280" w:type="dxa"/>
            <w:vAlign w:val="bottom"/>
            <w:tcBorders>
              <w:bottom w:val="single" w:sz="8" w:color="E5E5E5"/>
            </w:tcBorders>
          </w:tcPr>
          <w:p>
            <w:pPr>
              <w:spacing w:after="0"/>
              <w:rPr>
                <w:sz w:val="15"/>
                <w:szCs w:val="15"/>
                <w:color w:val="auto"/>
              </w:rPr>
            </w:pPr>
          </w:p>
        </w:tc>
        <w:tc>
          <w:tcPr>
            <w:tcW w:w="260" w:type="dxa"/>
            <w:vAlign w:val="bottom"/>
            <w:tcBorders>
              <w:bottom w:val="single" w:sz="8" w:color="E5E5E5"/>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2"/>
              <w:spacing w:after="0" w:line="175"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E5E5E5"/>
            </w:tcBorders>
          </w:tcPr>
          <w:p>
            <w:pPr>
              <w:spacing w:after="0"/>
              <w:rPr>
                <w:sz w:val="15"/>
                <w:szCs w:val="15"/>
                <w:color w:val="auto"/>
              </w:rPr>
            </w:pPr>
          </w:p>
        </w:tc>
        <w:tc>
          <w:tcPr>
            <w:tcW w:w="120" w:type="dxa"/>
            <w:vAlign w:val="bottom"/>
            <w:tcBorders>
              <w:top w:val="single" w:sz="8" w:color="auto"/>
              <w:bottom w:val="single" w:sz="8" w:color="E5E5E5"/>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1"/>
              <w:spacing w:after="0" w:line="175"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5E5"/>
          </w:tcPr>
          <w:p>
            <w:pPr>
              <w:spacing w:after="0" w:line="220" w:lineRule="exact"/>
              <w:rPr>
                <w:sz w:val="20"/>
                <w:szCs w:val="20"/>
                <w:color w:val="auto"/>
              </w:rPr>
            </w:pPr>
            <w:r>
              <w:rPr>
                <w:rFonts w:ascii="Arial" w:cs="Arial" w:eastAsia="Arial" w:hAnsi="Arial"/>
                <w:sz w:val="20"/>
                <w:szCs w:val="20"/>
                <w:b w:val="1"/>
                <w:bCs w:val="1"/>
                <w:color w:val="auto"/>
              </w:rPr>
              <w:t>Cash flows from operating activities</w:t>
            </w:r>
            <w:r>
              <w:rPr>
                <w:rFonts w:ascii="Arial" w:cs="Arial" w:eastAsia="Arial" w:hAnsi="Arial"/>
                <w:sz w:val="20"/>
                <w:szCs w:val="20"/>
                <w:color w:val="auto"/>
              </w:rPr>
              <w:t>:</w:t>
            </w:r>
          </w:p>
        </w:tc>
        <w:tc>
          <w:tcPr>
            <w:tcW w:w="2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20"/>
                <w:szCs w:val="20"/>
                <w:color w:val="auto"/>
              </w:rPr>
              <w:t>Net loss</w:t>
            </w:r>
          </w:p>
        </w:tc>
        <w:tc>
          <w:tcPr>
            <w:tcW w:w="4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(64,923)</w:t>
            </w:r>
          </w:p>
        </w:tc>
        <w:tc>
          <w:tcPr>
            <w:tcW w:w="12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w w:val="95"/>
              </w:rPr>
              <w:t>(132,065)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E5E5E5"/>
          </w:tcPr>
          <w:p>
            <w:pPr>
              <w:ind w:left="120"/>
              <w:spacing w:after="0"/>
              <w:rPr>
                <w:sz w:val="20"/>
                <w:szCs w:val="20"/>
                <w:color w:val="auto"/>
              </w:rPr>
            </w:pPr>
            <w:r>
              <w:rPr>
                <w:rFonts w:ascii="Arial" w:cs="Arial" w:eastAsia="Arial" w:hAnsi="Arial"/>
                <w:sz w:val="20"/>
                <w:szCs w:val="20"/>
                <w:color w:val="auto"/>
              </w:rPr>
              <w:t>Adjustments to reconcile net loss to net cash used in operating activities:</w:t>
            </w:r>
          </w:p>
        </w:tc>
        <w:tc>
          <w:tcPr>
            <w:tcW w:w="2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Arial" w:cs="Arial" w:eastAsia="Arial" w:hAnsi="Arial"/>
                <w:sz w:val="20"/>
                <w:szCs w:val="20"/>
                <w:color w:val="auto"/>
              </w:rPr>
              <w:t>Depreciation and amortization</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ind w:left="360"/>
              <w:spacing w:after="0"/>
              <w:rPr>
                <w:sz w:val="20"/>
                <w:szCs w:val="20"/>
                <w:color w:val="auto"/>
              </w:rPr>
            </w:pPr>
            <w:r>
              <w:rPr>
                <w:rFonts w:ascii="Arial" w:cs="Arial" w:eastAsia="Arial" w:hAnsi="Arial"/>
                <w:sz w:val="20"/>
                <w:szCs w:val="20"/>
                <w:color w:val="auto"/>
              </w:rPr>
              <w:t>Stock-based compensation expense</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12,384</w:t>
            </w:r>
          </w:p>
        </w:tc>
        <w:tc>
          <w:tcPr>
            <w:tcW w:w="1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10,856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360"/>
              <w:spacing w:after="0"/>
              <w:rPr>
                <w:sz w:val="20"/>
                <w:szCs w:val="20"/>
                <w:color w:val="auto"/>
              </w:rPr>
            </w:pPr>
            <w:r>
              <w:rPr>
                <w:rFonts w:ascii="Arial" w:cs="Arial" w:eastAsia="Arial" w:hAnsi="Arial"/>
                <w:sz w:val="20"/>
                <w:szCs w:val="20"/>
                <w:color w:val="auto"/>
              </w:rPr>
              <w:t>Revaluation of contingent consideration</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ind w:left="360"/>
              <w:spacing w:after="0"/>
              <w:rPr>
                <w:sz w:val="20"/>
                <w:szCs w:val="20"/>
                <w:color w:val="auto"/>
              </w:rPr>
            </w:pPr>
            <w:r>
              <w:rPr>
                <w:rFonts w:ascii="Arial" w:cs="Arial" w:eastAsia="Arial" w:hAnsi="Arial"/>
                <w:sz w:val="20"/>
                <w:szCs w:val="20"/>
                <w:color w:val="auto"/>
              </w:rPr>
              <w:t>In-process research and development expense</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gridSpan w:val="2"/>
            <w:shd w:val="clear" w:color="auto" w:fill="E5E5E5"/>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86,905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20"/>
                <w:szCs w:val="20"/>
                <w:color w:val="auto"/>
              </w:rPr>
              <w:t>Changes in operating assets and liabilities: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E5E5E5"/>
          </w:tcPr>
          <w:p>
            <w:pPr>
              <w:ind w:left="360"/>
              <w:spacing w:after="0"/>
              <w:rPr>
                <w:sz w:val="20"/>
                <w:szCs w:val="20"/>
                <w:color w:val="auto"/>
              </w:rPr>
            </w:pPr>
            <w:r>
              <w:rPr>
                <w:rFonts w:ascii="Arial" w:cs="Arial" w:eastAsia="Arial" w:hAnsi="Arial"/>
                <w:sz w:val="20"/>
                <w:szCs w:val="20"/>
                <w:color w:val="auto"/>
              </w:rPr>
              <w:t>Accounts receivable, prepaid expenses and other assets</w:t>
            </w:r>
          </w:p>
        </w:tc>
        <w:tc>
          <w:tcPr>
            <w:tcW w:w="2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6,138</w:t>
            </w: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Arial" w:cs="Arial" w:eastAsia="Arial" w:hAnsi="Arial"/>
                <w:sz w:val="20"/>
                <w:szCs w:val="20"/>
                <w:color w:val="auto"/>
              </w:rPr>
              <w:t>Accounts payable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8,447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ind w:left="360"/>
              <w:spacing w:after="0"/>
              <w:rPr>
                <w:sz w:val="20"/>
                <w:szCs w:val="20"/>
                <w:color w:val="auto"/>
              </w:rPr>
            </w:pPr>
            <w:r>
              <w:rPr>
                <w:rFonts w:ascii="Arial" w:cs="Arial" w:eastAsia="Arial" w:hAnsi="Arial"/>
                <w:sz w:val="20"/>
                <w:szCs w:val="20"/>
                <w:color w:val="auto"/>
              </w:rPr>
              <w:t>Accrued expenses and other liabilities</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(8,097)</w:t>
            </w:r>
          </w:p>
        </w:tc>
        <w:tc>
          <w:tcPr>
            <w:tcW w:w="1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E5E5E5"/>
            </w:tcBorders>
          </w:tcPr>
          <w:p>
            <w:pPr>
              <w:ind w:left="360"/>
              <w:spacing w:after="0"/>
              <w:rPr>
                <w:sz w:val="20"/>
                <w:szCs w:val="20"/>
                <w:color w:val="auto"/>
              </w:rPr>
            </w:pPr>
            <w:r>
              <w:rPr>
                <w:rFonts w:ascii="Arial" w:cs="Arial" w:eastAsia="Arial" w:hAnsi="Arial"/>
                <w:sz w:val="20"/>
                <w:szCs w:val="20"/>
                <w:color w:val="auto"/>
              </w:rPr>
              <w:t>Deferred income</w:t>
            </w:r>
          </w:p>
        </w:tc>
        <w:tc>
          <w:tcPr>
            <w:tcW w:w="2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(3,816)</w:t>
            </w:r>
          </w:p>
        </w:tc>
        <w:tc>
          <w:tcPr>
            <w:tcW w:w="120" w:type="dxa"/>
            <w:vAlign w:val="bottom"/>
            <w:tcBorders>
              <w:bottom w:val="single" w:sz="8" w:color="E5E5E5"/>
            </w:tcBorders>
          </w:tcPr>
          <w:p>
            <w:pPr>
              <w:spacing w:after="0"/>
              <w:rPr>
                <w:sz w:val="19"/>
                <w:szCs w:val="19"/>
                <w:color w:val="auto"/>
              </w:rPr>
            </w:pPr>
          </w:p>
        </w:tc>
        <w:tc>
          <w:tcPr>
            <w:tcW w:w="12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5E5"/>
          </w:tcPr>
          <w:p>
            <w:pPr>
              <w:ind w:left="240"/>
              <w:spacing w:after="0" w:line="220" w:lineRule="exact"/>
              <w:rPr>
                <w:sz w:val="20"/>
                <w:szCs w:val="20"/>
                <w:color w:val="auto"/>
              </w:rPr>
            </w:pPr>
            <w:r>
              <w:rPr>
                <w:rFonts w:ascii="Arial" w:cs="Arial" w:eastAsia="Arial" w:hAnsi="Arial"/>
                <w:sz w:val="20"/>
                <w:szCs w:val="20"/>
                <w:color w:val="auto"/>
              </w:rPr>
              <w:t>Net cash used in operating activities</w:t>
            </w:r>
          </w:p>
        </w:tc>
        <w:tc>
          <w:tcPr>
            <w:tcW w:w="260" w:type="dxa"/>
            <w:vAlign w:val="bottom"/>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(47,113)</w:t>
            </w: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(20,075)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tcPr>
          <w:p>
            <w:pPr>
              <w:spacing w:after="0" w:line="220" w:lineRule="exact"/>
              <w:rPr>
                <w:sz w:val="20"/>
                <w:szCs w:val="20"/>
                <w:color w:val="auto"/>
              </w:rPr>
            </w:pPr>
            <w:r>
              <w:rPr>
                <w:rFonts w:ascii="Arial" w:cs="Arial" w:eastAsia="Arial" w:hAnsi="Arial"/>
                <w:sz w:val="20"/>
                <w:szCs w:val="20"/>
                <w:b w:val="1"/>
                <w:bCs w:val="1"/>
                <w:color w:val="auto"/>
              </w:rPr>
              <w:t>Cash flows from investing activities: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ind w:left="120"/>
              <w:spacing w:after="0"/>
              <w:rPr>
                <w:sz w:val="20"/>
                <w:szCs w:val="20"/>
                <w:color w:val="auto"/>
              </w:rPr>
            </w:pPr>
            <w:r>
              <w:rPr>
                <w:rFonts w:ascii="Arial" w:cs="Arial" w:eastAsia="Arial" w:hAnsi="Arial"/>
                <w:sz w:val="20"/>
                <w:szCs w:val="20"/>
                <w:color w:val="auto"/>
              </w:rPr>
              <w:t>Purchases of property and equipment</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(111)</w:t>
            </w:r>
          </w:p>
        </w:tc>
        <w:tc>
          <w:tcPr>
            <w:tcW w:w="1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20"/>
                <w:szCs w:val="20"/>
                <w:color w:val="auto"/>
              </w:rPr>
              <w:t>Purchases of marketable securities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(39,732)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w w:val="95"/>
              </w:rPr>
              <w:t>(119,982)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ind w:left="120"/>
              <w:spacing w:after="0"/>
              <w:rPr>
                <w:sz w:val="20"/>
                <w:szCs w:val="20"/>
                <w:color w:val="auto"/>
              </w:rPr>
            </w:pPr>
            <w:r>
              <w:rPr>
                <w:rFonts w:ascii="Arial" w:cs="Arial" w:eastAsia="Arial" w:hAnsi="Arial"/>
                <w:sz w:val="20"/>
                <w:szCs w:val="20"/>
                <w:color w:val="auto"/>
              </w:rPr>
              <w:t>Proceeds from sales and maturities of marketable securities</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89,041</w:t>
            </w:r>
          </w:p>
        </w:tc>
        <w:tc>
          <w:tcPr>
            <w:tcW w:w="1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86,144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20"/>
                <w:szCs w:val="20"/>
                <w:color w:val="auto"/>
              </w:rPr>
              <w:t>Payments of deferred transaction consideration for in-licensed assets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0"/>
                <w:szCs w:val="20"/>
                <w:color w:val="auto"/>
              </w:rPr>
              <w:t>(833)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E5E5E5"/>
          </w:tcPr>
          <w:p>
            <w:pPr>
              <w:ind w:left="120"/>
              <w:spacing w:after="0"/>
              <w:rPr>
                <w:sz w:val="20"/>
                <w:szCs w:val="20"/>
                <w:color w:val="auto"/>
              </w:rPr>
            </w:pPr>
            <w:r>
              <w:rPr>
                <w:rFonts w:ascii="Arial" w:cs="Arial" w:eastAsia="Arial" w:hAnsi="Arial"/>
                <w:sz w:val="20"/>
                <w:szCs w:val="20"/>
                <w:color w:val="auto"/>
              </w:rPr>
              <w:t>Acquisition of in-licensed assets, including transaction costs</w:t>
            </w:r>
          </w:p>
        </w:tc>
        <w:tc>
          <w:tcPr>
            <w:tcW w:w="2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(35,810)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tcBorders>
              <w:bottom w:val="single" w:sz="8" w:color="E5E5E5"/>
            </w:tcBorders>
          </w:tcPr>
          <w:p>
            <w:pPr>
              <w:ind w:left="240"/>
              <w:spacing w:after="0" w:line="220" w:lineRule="exact"/>
              <w:rPr>
                <w:sz w:val="20"/>
                <w:szCs w:val="20"/>
                <w:color w:val="auto"/>
              </w:rPr>
            </w:pPr>
            <w:r>
              <w:rPr>
                <w:rFonts w:ascii="Arial" w:cs="Arial" w:eastAsia="Arial" w:hAnsi="Arial"/>
                <w:sz w:val="20"/>
                <w:szCs w:val="20"/>
                <w:color w:val="auto"/>
              </w:rPr>
              <w:t>Net cash provided by (used in) investing activities</w:t>
            </w:r>
          </w:p>
        </w:tc>
        <w:tc>
          <w:tcPr>
            <w:tcW w:w="260" w:type="dxa"/>
            <w:vAlign w:val="bottom"/>
            <w:tcBorders>
              <w:bottom w:val="single" w:sz="8" w:color="E5E5E5"/>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48,365</w:t>
            </w:r>
          </w:p>
        </w:tc>
        <w:tc>
          <w:tcPr>
            <w:tcW w:w="120" w:type="dxa"/>
            <w:vAlign w:val="bottom"/>
            <w:tcBorders>
              <w:bottom w:val="single" w:sz="8" w:color="E5E5E5"/>
            </w:tcBorders>
          </w:tcPr>
          <w:p>
            <w:pPr>
              <w:spacing w:after="0"/>
              <w:rPr>
                <w:sz w:val="19"/>
                <w:szCs w:val="19"/>
                <w:color w:val="auto"/>
              </w:rPr>
            </w:pPr>
          </w:p>
        </w:tc>
        <w:tc>
          <w:tcPr>
            <w:tcW w:w="120" w:type="dxa"/>
            <w:vAlign w:val="bottom"/>
            <w:tcBorders>
              <w:bottom w:val="single" w:sz="8" w:color="E5E5E5"/>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(69,769)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5E5"/>
          </w:tcPr>
          <w:p>
            <w:pPr>
              <w:spacing w:after="0" w:line="220" w:lineRule="exact"/>
              <w:rPr>
                <w:sz w:val="20"/>
                <w:szCs w:val="20"/>
                <w:color w:val="auto"/>
              </w:rPr>
            </w:pPr>
            <w:r>
              <w:rPr>
                <w:rFonts w:ascii="Arial" w:cs="Arial" w:eastAsia="Arial" w:hAnsi="Arial"/>
                <w:sz w:val="20"/>
                <w:szCs w:val="20"/>
                <w:b w:val="1"/>
                <w:bCs w:val="1"/>
                <w:color w:val="auto"/>
              </w:rPr>
              <w:t>Cash flows from financing activities:</w:t>
            </w:r>
          </w:p>
        </w:tc>
        <w:tc>
          <w:tcPr>
            <w:tcW w:w="2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80" w:type="dxa"/>
            <w:vAlign w:val="bottom"/>
          </w:tcPr>
          <w:p>
            <w:pPr>
              <w:ind w:left="120"/>
              <w:spacing w:after="0" w:line="211" w:lineRule="exact"/>
              <w:rPr>
                <w:sz w:val="20"/>
                <w:szCs w:val="20"/>
                <w:color w:val="auto"/>
              </w:rPr>
            </w:pPr>
            <w:r>
              <w:rPr>
                <w:rFonts w:ascii="Arial" w:cs="Arial" w:eastAsia="Arial" w:hAnsi="Arial"/>
                <w:sz w:val="20"/>
                <w:szCs w:val="20"/>
                <w:color w:val="auto"/>
                <w:w w:val="92"/>
              </w:rPr>
              <w:t>Proceeds from issuance of common stock under securities purchase agreement, net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74,913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20"/>
                <w:szCs w:val="20"/>
                <w:color w:val="auto"/>
              </w:rPr>
              <w:t>issuance costs</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E5E5E5"/>
          </w:tcPr>
          <w:p>
            <w:pPr>
              <w:ind w:left="120"/>
              <w:spacing w:after="0"/>
              <w:rPr>
                <w:sz w:val="20"/>
                <w:szCs w:val="20"/>
                <w:color w:val="auto"/>
              </w:rPr>
            </w:pPr>
            <w:r>
              <w:rPr>
                <w:rFonts w:ascii="Arial" w:cs="Arial" w:eastAsia="Arial" w:hAnsi="Arial"/>
                <w:sz w:val="20"/>
                <w:szCs w:val="20"/>
                <w:color w:val="auto"/>
              </w:rPr>
              <w:t>Payments of deferred transaction consideration for in-licensed assets</w:t>
            </w:r>
          </w:p>
        </w:tc>
        <w:tc>
          <w:tcPr>
            <w:tcW w:w="2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(5,416)</w:t>
            </w: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20"/>
                <w:szCs w:val="20"/>
                <w:color w:val="auto"/>
                <w:w w:val="94"/>
              </w:rPr>
              <w:t>Payments of employee withholding taxes related to restricted stock unit award vesting</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ind w:left="120"/>
              <w:spacing w:after="0"/>
              <w:rPr>
                <w:sz w:val="20"/>
                <w:szCs w:val="20"/>
                <w:color w:val="auto"/>
              </w:rPr>
            </w:pPr>
            <w:r>
              <w:rPr>
                <w:rFonts w:ascii="Arial" w:cs="Arial" w:eastAsia="Arial" w:hAnsi="Arial"/>
                <w:sz w:val="20"/>
                <w:szCs w:val="20"/>
                <w:color w:val="auto"/>
              </w:rPr>
              <w:t>Proceeds from exercise of employee stock options and the issuance of stock</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gridSpan w:val="2"/>
            <w:shd w:val="clear" w:color="auto" w:fill="E5E5E5"/>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80" w:type="dxa"/>
            <w:vAlign w:val="bottom"/>
            <w:tcBorders>
              <w:bottom w:val="single" w:sz="8" w:color="E5E5E5"/>
            </w:tcBorders>
          </w:tcPr>
          <w:p>
            <w:pPr>
              <w:ind w:left="240"/>
              <w:spacing w:after="0" w:line="220" w:lineRule="exact"/>
              <w:rPr>
                <w:sz w:val="20"/>
                <w:szCs w:val="20"/>
                <w:color w:val="auto"/>
              </w:rPr>
            </w:pPr>
            <w:r>
              <w:rPr>
                <w:rFonts w:ascii="Arial" w:cs="Arial" w:eastAsia="Arial" w:hAnsi="Arial"/>
                <w:sz w:val="20"/>
                <w:szCs w:val="20"/>
                <w:color w:val="auto"/>
              </w:rPr>
              <w:t>Net cash (used in) provided by financing activities</w:t>
            </w:r>
          </w:p>
        </w:tc>
        <w:tc>
          <w:tcPr>
            <w:tcW w:w="260" w:type="dxa"/>
            <w:vAlign w:val="bottom"/>
            <w:tcBorders>
              <w:bottom w:val="single" w:sz="8" w:color="E5E5E5"/>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(5,862)</w:t>
            </w:r>
          </w:p>
        </w:tc>
        <w:tc>
          <w:tcPr>
            <w:tcW w:w="120" w:type="dxa"/>
            <w:vAlign w:val="bottom"/>
            <w:tcBorders>
              <w:bottom w:val="single" w:sz="8" w:color="E5E5E5"/>
            </w:tcBorders>
          </w:tcPr>
          <w:p>
            <w:pPr>
              <w:spacing w:after="0"/>
              <w:rPr>
                <w:sz w:val="19"/>
                <w:szCs w:val="19"/>
                <w:color w:val="auto"/>
              </w:rPr>
            </w:pPr>
          </w:p>
        </w:tc>
        <w:tc>
          <w:tcPr>
            <w:tcW w:w="120" w:type="dxa"/>
            <w:vAlign w:val="bottom"/>
            <w:tcBorders>
              <w:bottom w:val="single" w:sz="8" w:color="E5E5E5"/>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74,536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80" w:type="dxa"/>
            <w:vAlign w:val="bottom"/>
            <w:shd w:val="clear" w:color="auto" w:fill="E5E5E5"/>
          </w:tcPr>
          <w:p>
            <w:pPr>
              <w:spacing w:after="0" w:line="220" w:lineRule="exact"/>
              <w:rPr>
                <w:sz w:val="20"/>
                <w:szCs w:val="20"/>
                <w:color w:val="auto"/>
              </w:rPr>
            </w:pPr>
            <w:r>
              <w:rPr>
                <w:rFonts w:ascii="Arial" w:cs="Arial" w:eastAsia="Arial" w:hAnsi="Arial"/>
                <w:sz w:val="20"/>
                <w:szCs w:val="20"/>
                <w:b w:val="1"/>
                <w:bCs w:val="1"/>
                <w:color w:val="auto"/>
              </w:rPr>
              <w:t>Net decrease in cash and cash equivalents</w:t>
            </w:r>
          </w:p>
        </w:tc>
        <w:tc>
          <w:tcPr>
            <w:tcW w:w="2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(4,610)</w:t>
            </w: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(15,308)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E5E5E5"/>
            </w:tcBorders>
          </w:tcPr>
          <w:p>
            <w:pPr>
              <w:spacing w:after="0"/>
              <w:rPr>
                <w:sz w:val="20"/>
                <w:szCs w:val="20"/>
                <w:color w:val="auto"/>
              </w:rPr>
            </w:pPr>
            <w:r>
              <w:rPr>
                <w:rFonts w:ascii="Arial" w:cs="Arial" w:eastAsia="Arial" w:hAnsi="Arial"/>
                <w:sz w:val="20"/>
                <w:szCs w:val="20"/>
                <w:b w:val="1"/>
                <w:bCs w:val="1"/>
                <w:color w:val="auto"/>
              </w:rPr>
              <w:t>Cash and cash equivalents at beginning of period</w:t>
            </w:r>
          </w:p>
        </w:tc>
        <w:tc>
          <w:tcPr>
            <w:tcW w:w="26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24,570</w:t>
            </w:r>
          </w:p>
        </w:tc>
        <w:tc>
          <w:tcPr>
            <w:tcW w:w="120" w:type="dxa"/>
            <w:vAlign w:val="bottom"/>
            <w:tcBorders>
              <w:bottom w:val="single" w:sz="8" w:color="E5E5E5"/>
            </w:tcBorders>
          </w:tcPr>
          <w:p>
            <w:pPr>
              <w:spacing w:after="0"/>
              <w:rPr>
                <w:sz w:val="19"/>
                <w:szCs w:val="19"/>
                <w:color w:val="auto"/>
              </w:rPr>
            </w:pPr>
          </w:p>
        </w:tc>
        <w:tc>
          <w:tcPr>
            <w:tcW w:w="120" w:type="dxa"/>
            <w:vAlign w:val="bottom"/>
            <w:tcBorders>
              <w:bottom w:val="single" w:sz="8" w:color="E5E5E5"/>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E5E5E5"/>
          </w:tcPr>
          <w:p>
            <w:pPr>
              <w:spacing w:after="0" w:line="220" w:lineRule="exact"/>
              <w:rPr>
                <w:sz w:val="20"/>
                <w:szCs w:val="20"/>
                <w:color w:val="auto"/>
              </w:rPr>
            </w:pPr>
            <w:r>
              <w:rPr>
                <w:rFonts w:ascii="Arial" w:cs="Arial" w:eastAsia="Arial" w:hAnsi="Arial"/>
                <w:sz w:val="20"/>
                <w:szCs w:val="20"/>
                <w:b w:val="1"/>
                <w:bCs w:val="1"/>
                <w:color w:val="auto"/>
              </w:rPr>
              <w:t>Cash and cash equivalents at end of period</w:t>
            </w:r>
          </w:p>
        </w:tc>
        <w:tc>
          <w:tcPr>
            <w:tcW w:w="440" w:type="dxa"/>
            <w:vAlign w:val="bottom"/>
            <w:gridSpan w:val="2"/>
            <w:shd w:val="clear" w:color="auto" w:fill="E5E5E5"/>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7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19,960</w:t>
            </w:r>
          </w:p>
        </w:tc>
        <w:tc>
          <w:tcPr>
            <w:tcW w:w="120" w:type="dxa"/>
            <w:vAlign w:val="bottom"/>
            <w:shd w:val="clear" w:color="auto" w:fill="E5E5E5"/>
          </w:tcPr>
          <w:p>
            <w:pPr>
              <w:spacing w:after="0"/>
              <w:rPr>
                <w:sz w:val="19"/>
                <w:szCs w:val="19"/>
                <w:color w:val="auto"/>
              </w:rPr>
            </w:pPr>
          </w:p>
        </w:tc>
        <w:tc>
          <w:tcPr>
            <w:tcW w:w="260" w:type="dxa"/>
            <w:vAlign w:val="bottom"/>
            <w:gridSpan w:val="2"/>
            <w:shd w:val="clear" w:color="auto" w:fill="E5E5E5"/>
          </w:tcPr>
          <w:p>
            <w:pPr>
              <w:jc w:val="right"/>
              <w:ind w:right="40"/>
              <w:spacing w:after="0" w:line="220" w:lineRule="exact"/>
              <w:rPr>
                <w:sz w:val="20"/>
                <w:szCs w:val="20"/>
                <w:color w:val="auto"/>
              </w:rPr>
            </w:pPr>
            <w:r>
              <w:rPr>
                <w:rFonts w:ascii="Arial" w:cs="Arial" w:eastAsia="Arial" w:hAnsi="Arial"/>
                <w:sz w:val="20"/>
                <w:szCs w:val="20"/>
                <w:color w:val="auto"/>
              </w:rPr>
              <w:t>$</w:t>
            </w:r>
          </w:p>
        </w:tc>
        <w:tc>
          <w:tcPr>
            <w:tcW w:w="84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24,570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spacing w:after="0"/>
              <w:rPr>
                <w:sz w:val="20"/>
                <w:szCs w:val="20"/>
                <w:color w:val="auto"/>
              </w:rPr>
            </w:pPr>
            <w:r>
              <w:rPr>
                <w:rFonts w:ascii="Arial" w:cs="Arial" w:eastAsia="Arial" w:hAnsi="Arial"/>
                <w:sz w:val="20"/>
                <w:szCs w:val="20"/>
                <w:b w:val="1"/>
                <w:bCs w:val="1"/>
                <w:color w:val="auto"/>
              </w:rPr>
              <w:t>Supplemental disclosure of non-cash investing and financing activities:</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20"/>
                <w:szCs w:val="20"/>
                <w:color w:val="auto"/>
              </w:rPr>
              <w:t>Additions to property and equipment included in accounts payable</w:t>
            </w:r>
          </w:p>
        </w:tc>
        <w:tc>
          <w:tcPr>
            <w:tcW w:w="4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E5E5"/>
          </w:tcPr>
          <w:p>
            <w:pPr>
              <w:ind w:left="120"/>
              <w:spacing w:after="0"/>
              <w:rPr>
                <w:sz w:val="20"/>
                <w:szCs w:val="20"/>
                <w:color w:val="auto"/>
              </w:rPr>
            </w:pPr>
            <w:r>
              <w:rPr>
                <w:rFonts w:ascii="Arial" w:cs="Arial" w:eastAsia="Arial" w:hAnsi="Arial"/>
                <w:sz w:val="20"/>
                <w:szCs w:val="20"/>
                <w:color w:val="auto"/>
              </w:rPr>
              <w:t>Fair value of warrants issued in connection with in-license agreement</w:t>
            </w:r>
          </w:p>
        </w:tc>
        <w:tc>
          <w:tcPr>
            <w:tcW w:w="26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gridSpan w:val="2"/>
            <w:shd w:val="clear" w:color="auto" w:fill="E5E5E5"/>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44,845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280" w:type="dxa"/>
            <w:vAlign w:val="bottom"/>
          </w:tcPr>
          <w:p>
            <w:pPr>
              <w:ind w:left="120"/>
              <w:spacing w:after="0"/>
              <w:rPr>
                <w:sz w:val="20"/>
                <w:szCs w:val="20"/>
                <w:color w:val="auto"/>
              </w:rPr>
            </w:pPr>
            <w:r>
              <w:rPr>
                <w:rFonts w:ascii="Arial" w:cs="Arial" w:eastAsia="Arial" w:hAnsi="Arial"/>
                <w:sz w:val="20"/>
                <w:szCs w:val="20"/>
                <w:color w:val="auto"/>
              </w:rPr>
              <w:t>Deferred transaction consideration in connection with in-license agreement</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6,249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720"/>
          </w:cols>
          <w:pgMar w:left="1080" w:top="1173" w:right="1080" w:bottom="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ACLARIS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98" w:lineRule="exact"/>
        <w:rPr>
          <w:sz w:val="20"/>
          <w:szCs w:val="20"/>
          <w:color w:val="auto"/>
        </w:rPr>
      </w:pPr>
    </w:p>
    <w:p>
      <w:pPr>
        <w:ind w:left="720" w:right="6360" w:hanging="713"/>
        <w:spacing w:after="0" w:line="482" w:lineRule="auto"/>
        <w:tabs>
          <w:tab w:leader="none" w:pos="20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Nature of Business Overview</w:t>
      </w:r>
    </w:p>
    <w:p>
      <w:pPr>
        <w:spacing w:after="0" w:line="1"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Aclaris Therapeutics, Inc. was incorporated under the laws of the State of Delaware in 2012. Aclaris Therapeutics, Inc. and its wholly owned subsidiaries are referred to collectively as the “Company.”</w:t>
      </w:r>
    </w:p>
    <w:p>
      <w:pPr>
        <w:spacing w:after="0" w:line="159"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The Company is a clinical-stage biopharmaceutical company focused on discovering and developing novel small and large molecule product candidates for immuno-inflammatory diseases. The Company’s proprietary KINect drug discovery platform coupled with its integrated discovery approach to small and large molecules enables the Company to identify and advance product candidates designed to have superior target affinity, specificity and potency. The Company is seeking to identify and consummate transactions with third-party partners to further develop, obtain marketing approval for and/or commercialize its novel product candidates.</w:t>
      </w:r>
    </w:p>
    <w:p>
      <w:pPr>
        <w:spacing w:after="0" w:line="16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Liquidity</w:t>
      </w:r>
    </w:p>
    <w:p>
      <w:pPr>
        <w:spacing w:after="0" w:line="234"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8"/>
          <w:szCs w:val="18"/>
          <w:color w:val="auto"/>
        </w:rPr>
        <w:t>The Company’s consolidated financial statements have been prepared on the basis of continuity of operations, realization of assets and the satisfaction of liabilities in the ordinary course of business. As of December 31, 2025, the Company had cash, cash equivalents and marketable securities of $151.4 million and an accumulated deficit of $967.8 million. Since inception, the Company has incurred net losses and negative cash flows from its operations. There can be no assurance that profitable operations will ever be achieved, and, if achieved, will be sustained on a continuing basis. In addition, development activities, including clinical and preclinical testing of the Company’s product candidates, will require significant additional financing. The future viability of the Company is dependent on its ability to successfully develop its product candidates and to generate revenue from identifying and consummating transactions with third-party partners to further develop, obtain marketing approval for and/or commercialize its development assets or to raise additional capital to finance its operations. The Company will require additional capital to develop its product candidates and to support its discovery efforts.</w:t>
      </w:r>
    </w:p>
    <w:p>
      <w:pPr>
        <w:spacing w:after="0" w:line="171"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Additional funds may not be available on a timely basis, on commercially acceptable terms, or at all, and such funds, if raised, may not be sufficient to enable the Company to continue to implement its long-term business strategy. The Company’s ability to raise additional capital may be adversely impacted by potentially worsening global economic conditions caused by a variety of factors including geopolitical tensions, tariff policies, and inflationary pressures. If the Company is unable to raise sufficient additional capital or generate revenue from transactions with potential third-party partners for the development and/or commercialization of its product candidates, it may need to substantially curtail planned operations. The Company’s failure to raise capital as and when needed could have a negative impact on its financial condition and ability to pursue its business strategies.</w:t>
      </w:r>
    </w:p>
    <w:p>
      <w:pPr>
        <w:spacing w:after="0" w:line="177"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7"/>
          <w:szCs w:val="17"/>
          <w:color w:val="auto"/>
        </w:rPr>
        <w:t>In accordance with Accounting Standards Codification (“ASC”) Subtopic 205-40, Disclosure of Uncertainties about an Entity’s Ability to Continue as a Going Concern, the Company evaluated whether there are conditions and events, considered in the aggregate, that raise substantial doubt about the Company’s ability to continue as a going concern within one year after the date that its consolidated financial statements are issued. As of the report date, the Company does not believe that substantial doubt exists about its ability to continue as a going concern. The Company believes its existing cash, cash equivalents and marketable securities are sufficient to fund its operating and capital expenditure requirements for a period greater than 12 months from the date of issuance of these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Basis of Presentation</w:t>
      </w:r>
    </w:p>
    <w:p>
      <w:pPr>
        <w:spacing w:after="0" w:line="234" w:lineRule="exact"/>
        <w:rPr>
          <w:sz w:val="20"/>
          <w:szCs w:val="20"/>
          <w:color w:val="auto"/>
        </w:rPr>
      </w:pPr>
    </w:p>
    <w:p>
      <w:pPr>
        <w:jc w:val="both"/>
        <w:ind w:firstLine="720"/>
        <w:spacing w:after="0" w:line="311"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(“GAAP”). The consolidated financial statements of the Company include the accounts of the operating parent company, Aclaris Therapeutics, Inc., and its wholly owned subsidiaries. All intercompany transactions have been eliminated. Based upon the nature and size of the Company’s revenue, the Company believes that</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720"/>
          </w:cols>
          <w:pgMar w:left="1080" w:top="1173" w:right="1080" w:bottom="0" w:gutter="0" w:footer="0" w:header="0"/>
          <w:type w:val="continuous"/>
        </w:sectPr>
      </w:pPr>
    </w:p>
    <w:bookmarkStart w:id="91" w:name="page92"/>
    <w:bookmarkEnd w:id="91"/>
    <w:p>
      <w:pPr>
        <w:jc w:val="both"/>
        <w:spacing w:after="0" w:line="278" w:lineRule="auto"/>
        <w:rPr>
          <w:sz w:val="20"/>
          <w:szCs w:val="20"/>
          <w:color w:val="auto"/>
        </w:rPr>
      </w:pPr>
      <w:r>
        <w:rPr>
          <w:rFonts w:ascii="Arial" w:cs="Arial" w:eastAsia="Arial" w:hAnsi="Arial"/>
          <w:sz w:val="20"/>
          <w:szCs w:val="20"/>
          <w:color w:val="auto"/>
        </w:rPr>
        <w:t>gross profit does not provide a meaningful measure of profitability and, therefore, has not included a line item for gross profit on the consolidated statement of operations and comprehensive loss.</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Reclassifications</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Certain prior year amounts have been reclassified to conform to the current year financial statement presentation.</w:t>
      </w:r>
    </w:p>
    <w:p>
      <w:pPr>
        <w:spacing w:after="0" w:line="26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Use of Estimates</w:t>
      </w:r>
    </w:p>
    <w:p>
      <w:pPr>
        <w:spacing w:after="0" w:line="234"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contingent consideration and the valuation of stock-based awards. Estimates are periodically reviewed in light of changes in circumstances, facts and experience. Actual results could differ from the Company’s estimates.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Revenue Recognition</w:t>
      </w:r>
    </w:p>
    <w:p>
      <w:pPr>
        <w:spacing w:after="0" w:line="234" w:lineRule="exact"/>
        <w:rPr>
          <w:sz w:val="20"/>
          <w:szCs w:val="20"/>
          <w:color w:val="auto"/>
        </w:rPr>
      </w:pPr>
    </w:p>
    <w:p>
      <w:pPr>
        <w:jc w:val="both"/>
        <w:ind w:firstLine="720"/>
        <w:spacing w:after="0" w:line="325" w:lineRule="auto"/>
        <w:rPr>
          <w:sz w:val="20"/>
          <w:szCs w:val="20"/>
          <w:color w:val="auto"/>
        </w:rPr>
      </w:pPr>
      <w:r>
        <w:rPr>
          <w:rFonts w:ascii="Arial" w:cs="Arial" w:eastAsia="Arial" w:hAnsi="Arial"/>
          <w:sz w:val="17"/>
          <w:szCs w:val="17"/>
          <w:color w:val="auto"/>
        </w:rPr>
        <w:t>The Company accounts for revenue in accordance with ASC Topic 606, Revenue from Contracts with Customers. Under ASC Topic 606, revenue is recognized when a customer obtains control of promised goods or services in an amount that reflects the consideration to which the Company expects to be entitled in exchange for those goods or services.</w:t>
      </w:r>
    </w:p>
    <w:p>
      <w:pPr>
        <w:spacing w:after="0" w:line="125"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To determine revenue recognition in accordance with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At contract inception, the Company assesses the goods or services promised within a contract with a customer to identify the performance obligations, and to determine if they are distinct. The Company recognizes the revenue that is allocated to each distinct performance obligation when (or as) that performance obligation is satisfied. The Company only recognizes revenue when collection of the consideration it is entitled to under a contract with a customer is probable.</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Licensing Revenue</w:t>
      </w:r>
    </w:p>
    <w:p>
      <w:pPr>
        <w:spacing w:after="0" w:line="225" w:lineRule="exact"/>
        <w:rPr>
          <w:sz w:val="20"/>
          <w:szCs w:val="20"/>
          <w:color w:val="auto"/>
        </w:rPr>
      </w:pPr>
    </w:p>
    <w:p>
      <w:pPr>
        <w:jc w:val="both"/>
        <w:ind w:firstLine="1440"/>
        <w:spacing w:after="0" w:line="254" w:lineRule="auto"/>
        <w:rPr>
          <w:sz w:val="20"/>
          <w:szCs w:val="20"/>
          <w:color w:val="auto"/>
        </w:rPr>
      </w:pPr>
      <w:r>
        <w:rPr>
          <w:rFonts w:ascii="Arial" w:cs="Arial" w:eastAsia="Arial" w:hAnsi="Arial"/>
          <w:sz w:val="20"/>
          <w:szCs w:val="20"/>
          <w:b w:val="1"/>
          <w:bCs w:val="1"/>
          <w:color w:val="auto"/>
        </w:rPr>
        <w:t xml:space="preserve">Licenses of Intellectual Property </w:t>
      </w:r>
      <w:r>
        <w:rPr>
          <w:rFonts w:ascii="Arial" w:cs="Arial" w:eastAsia="Arial" w:hAnsi="Arial"/>
          <w:sz w:val="20"/>
          <w:szCs w:val="20"/>
          <w:color w:val="auto"/>
        </w:rPr>
        <w:t>– The Company recognizes revenue received from non-refundable,</w:t>
      </w:r>
      <w:r>
        <w:rPr>
          <w:rFonts w:ascii="Arial" w:cs="Arial" w:eastAsia="Arial" w:hAnsi="Arial"/>
          <w:sz w:val="20"/>
          <w:szCs w:val="20"/>
          <w:b w:val="1"/>
          <w:bCs w:val="1"/>
          <w:color w:val="auto"/>
        </w:rPr>
        <w:t xml:space="preserve"> </w:t>
      </w:r>
      <w:r>
        <w:rPr>
          <w:rFonts w:ascii="Arial" w:cs="Arial" w:eastAsia="Arial" w:hAnsi="Arial"/>
          <w:sz w:val="20"/>
          <w:szCs w:val="20"/>
          <w:color w:val="auto"/>
        </w:rPr>
        <w:t>upfront fees related to the licensing of intellectual property when the intellectual property is determined to be distinct from the other performance obligations identified in the arrangement, the license has been transferred to the customer, and the customer is able to use and benefit from the license.</w:t>
      </w:r>
    </w:p>
    <w:p>
      <w:pPr>
        <w:spacing w:after="0" w:line="176" w:lineRule="exact"/>
        <w:rPr>
          <w:sz w:val="20"/>
          <w:szCs w:val="20"/>
          <w:color w:val="auto"/>
        </w:rPr>
      </w:pPr>
    </w:p>
    <w:p>
      <w:pPr>
        <w:jc w:val="both"/>
        <w:ind w:firstLine="1440"/>
        <w:spacing w:after="0" w:line="254" w:lineRule="auto"/>
        <w:rPr>
          <w:sz w:val="20"/>
          <w:szCs w:val="20"/>
          <w:color w:val="auto"/>
        </w:rPr>
      </w:pPr>
      <w:r>
        <w:rPr>
          <w:rFonts w:ascii="Arial" w:cs="Arial" w:eastAsia="Arial" w:hAnsi="Arial"/>
          <w:sz w:val="20"/>
          <w:szCs w:val="20"/>
          <w:b w:val="1"/>
          <w:bCs w:val="1"/>
          <w:color w:val="auto"/>
        </w:rPr>
        <w:t xml:space="preserve">Milestone and Royalty Payments </w:t>
      </w:r>
      <w:r>
        <w:rPr>
          <w:rFonts w:ascii="Arial" w:cs="Arial" w:eastAsia="Arial" w:hAnsi="Arial"/>
          <w:sz w:val="20"/>
          <w:szCs w:val="20"/>
          <w:color w:val="auto"/>
        </w:rPr>
        <w:t>– The Company considers any future potential milestones and sales-based royalties to be variable consideration. The Company recognizes revenue from development, regulatory and anniversary milestone payments as they are achieved. The Company recognizes revenue from commercial milestones and royalty payments as the sales occur.</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Deferred Income Related to the Sale of Future Royalties</w:t>
      </w:r>
    </w:p>
    <w:p>
      <w:pPr>
        <w:spacing w:after="0" w:line="234"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Company amortizes its deferred income liability related to the sale of future OLUMIANT® (baricitinib) royalties under the units-of-revenue method by computing a ratio of the proceeds received to the total expected payments over the term of the royalty purchase agreement and then applying that ratio to the period’s estimated cash payment (see Note 12). The amortization is based on the Company’s current estimate of future royalty payments.</w:t>
      </w:r>
    </w:p>
    <w:p>
      <w:pPr>
        <w:spacing w:after="0" w:line="15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Cash Equivalents</w:t>
      </w:r>
    </w:p>
    <w:p>
      <w:pPr>
        <w:spacing w:after="0" w:line="234"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Company considers all short-term, highly liquid investments with original maturities of three months or less at acquisition date to be cash equivalents. Cash equivalents, which have consisted of money market funds and commercial paper, are stated at fair value.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720"/>
          </w:cols>
          <w:pgMar w:left="1080" w:top="1177" w:right="1080" w:bottom="0" w:gutter="0" w:footer="0" w:header="0"/>
          <w:type w:val="continuous"/>
        </w:sectPr>
      </w:pPr>
    </w:p>
    <w:bookmarkStart w:id="92" w:name="page93"/>
    <w:bookmarkEnd w:id="92"/>
    <w:p>
      <w:pPr>
        <w:ind w:left="720"/>
        <w:spacing w:after="0"/>
        <w:rPr>
          <w:sz w:val="20"/>
          <w:szCs w:val="20"/>
          <w:color w:val="auto"/>
        </w:rPr>
      </w:pPr>
      <w:r>
        <w:rPr>
          <w:rFonts w:ascii="Arial" w:cs="Arial" w:eastAsia="Arial" w:hAnsi="Arial"/>
          <w:sz w:val="20"/>
          <w:szCs w:val="20"/>
          <w:b w:val="1"/>
          <w:bCs w:val="1"/>
          <w:color w:val="auto"/>
        </w:rPr>
        <w:t>Marketable Securities</w:t>
      </w:r>
    </w:p>
    <w:p>
      <w:pPr>
        <w:spacing w:after="0" w:line="23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Marketable securities with original maturities of greater than three months and remaining maturities of less than one year from the balance sheet date are classified as short-term. Marketable securities with remaining maturities of greater than one year from the balance sheet date are classified as long-term.</w:t>
      </w:r>
    </w:p>
    <w:p>
      <w:pPr>
        <w:spacing w:after="0" w:line="176"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The Company classifies all marketable securities as available-for-sale securities. The Company’s marketable securities are measured and reported at fair value using either quoted prices in active markets for identical securities or quoted prices in markets that are not active for identical or similar securities. Unrealized gains and losses are reported as a separate component of stockholders’ equity. The cost of securities sold is determined on a specific identification basis, and realized gains and losses, if any, are included in other income within the consolidated statement of operations and comprehensive loss. If any adjustment to fair value reflects a decline in the value of the investment, the Company considers available evidence to evaluate the extent to which the decline is “other than temporary” and reduces the investment to fair value through a charge to the statement of operations and comprehensive loss.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Discontinued Operations</w:t>
      </w:r>
    </w:p>
    <w:p>
      <w:pPr>
        <w:spacing w:after="0" w:line="234" w:lineRule="exact"/>
        <w:rPr>
          <w:sz w:val="20"/>
          <w:szCs w:val="20"/>
          <w:color w:val="auto"/>
        </w:rPr>
      </w:pPr>
    </w:p>
    <w:p>
      <w:pPr>
        <w:jc w:val="both"/>
        <w:ind w:firstLine="720"/>
        <w:spacing w:after="0" w:line="305" w:lineRule="auto"/>
        <w:rPr>
          <w:sz w:val="20"/>
          <w:szCs w:val="20"/>
          <w:color w:val="auto"/>
        </w:rPr>
      </w:pPr>
      <w:r>
        <w:rPr>
          <w:rFonts w:ascii="Arial" w:cs="Arial" w:eastAsia="Arial" w:hAnsi="Arial"/>
          <w:sz w:val="19"/>
          <w:szCs w:val="19"/>
          <w:color w:val="auto"/>
        </w:rPr>
        <w:t>As of December 31, 2025 and 2024, the Company had $2.2 million in discontinued operations reported as other current liabilities in the Company’s consolidated balance sheet, related to discontinued commercial products.</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Leases</w:t>
      </w:r>
    </w:p>
    <w:p>
      <w:pPr>
        <w:spacing w:after="0" w:line="234"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Leases represent a company’s right to use an underlying asset and a corresponding obligation to make payments to a lessor for the right to use those assets. The Company evaluates leases at their inception to determine if they are an operating lease or a finance lease. A lease is accounted for as a finance lease if it meets one of the following five criteria: the lease has a purchase option that is reasonably certain of being exercised, the present value of the future cash flows are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w:t>
      </w:r>
    </w:p>
    <w:p>
      <w:pPr>
        <w:spacing w:after="0" w:line="166"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The Company recognizes assets and liabilities for leases at their inception based upon the present value of all payments due under the lease. The Company uses an incremental borrowing rate to determine the present value of operating leases. The Company determines incremental borrowing rates by referencing collateralized borrowing rates for debt instruments with terms similar to the respective lease. The Company recognizes expense for operating leases on a straight-line basis over the term of each lease. The Company includes estimates for any residual value guarantee obligations under its leases in lease liabilities recorded on its consolidated balance sheet.</w:t>
      </w:r>
    </w:p>
    <w:p>
      <w:pPr>
        <w:spacing w:after="0" w:line="174"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Right-of-use assets are included in other assets on the Company’s consolidated balance sheet for operating leases. Obligations for lease payments are included in other current liabilities and other liabilities on the Company’s consolidated balance sheet for operating leases.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Contingent Consideration</w:t>
      </w:r>
    </w:p>
    <w:p>
      <w:pPr>
        <w:spacing w:after="0" w:line="235" w:lineRule="exact"/>
        <w:rPr>
          <w:sz w:val="20"/>
          <w:szCs w:val="20"/>
          <w:color w:val="auto"/>
        </w:rPr>
      </w:pPr>
    </w:p>
    <w:p>
      <w:pPr>
        <w:jc w:val="both"/>
        <w:ind w:firstLine="720"/>
        <w:spacing w:after="0" w:line="294" w:lineRule="auto"/>
        <w:rPr>
          <w:sz w:val="20"/>
          <w:szCs w:val="20"/>
          <w:color w:val="auto"/>
        </w:rPr>
      </w:pPr>
      <w:r>
        <w:rPr>
          <w:rFonts w:ascii="Arial" w:cs="Arial" w:eastAsia="Arial" w:hAnsi="Arial"/>
          <w:sz w:val="17"/>
          <w:szCs w:val="17"/>
          <w:color w:val="auto"/>
        </w:rPr>
        <w:t>The Company records a contingent consideration liability related to future potential payments resulting from the acquisition of Confluence Life Sciences, Inc. (now known as Aclaris Life Sciences, Inc.) (“Confluence”) based upon significant unobservable inputs including the achievement of regulatory and commercial milestones, as well as estimated future sales levels and the discount rates applied to calculate the present value of the potential payments. Significant judgment is involved in determining the appropriateness of these assumptions. These assumptions are considered Level 3 inputs. Revaluation of the contingent consideration liability can result from changes to one or more of these assumptions. The Company evaluates the fair value estimate of the contingent consideration liability on a quarterly basis with changes, if any, recorded as income or expense in the consolidated statement of operations and comprehensive loss.</w:t>
      </w:r>
    </w:p>
    <w:p>
      <w:pPr>
        <w:spacing w:after="0" w:line="152"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The fair value of contingent consideration is estimated using a probability-weighted expected payment model for regulatory milestone payments and a Monte Carlo simulation model for commercial milestone and royalty payments and then applying a risk-adjusted discount rate to calculate the present value of the potential payments. Significant assumptions used in the Company’s estimates include the probability of achieving regulatory milestones and commencing</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720"/>
          </w:cols>
          <w:pgMar w:left="1080" w:top="1173" w:right="1080" w:bottom="0" w:gutter="0" w:footer="0" w:header="0"/>
          <w:type w:val="continuous"/>
        </w:sectPr>
      </w:pPr>
    </w:p>
    <w:bookmarkStart w:id="93" w:name="page94"/>
    <w:bookmarkEnd w:id="93"/>
    <w:p>
      <w:pPr>
        <w:jc w:val="both"/>
        <w:spacing w:after="0" w:line="265" w:lineRule="auto"/>
        <w:rPr>
          <w:sz w:val="20"/>
          <w:szCs w:val="20"/>
          <w:color w:val="auto"/>
        </w:rPr>
      </w:pPr>
      <w:r>
        <w:rPr>
          <w:rFonts w:ascii="Arial" w:cs="Arial" w:eastAsia="Arial" w:hAnsi="Arial"/>
          <w:sz w:val="19"/>
          <w:szCs w:val="19"/>
          <w:color w:val="auto"/>
        </w:rPr>
        <w:t>commercialization (collectively referred to as “probability of success”), which are based on an asset’s current stage of development and a review of existing clinical data. Probability of success assumptions ranged between 21% and 40% at December 31, 2025. Additionally, estimated future sales levels and the risk-adjusted discount rate applied to the potential payments are also significant assumptions used in calculating the fair value. As of December 31, 2025, the discount rate ranged between 6.7% and 8.7% depending on the year of each potential payment.</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Research and Development Costs</w:t>
      </w:r>
    </w:p>
    <w:p>
      <w:pPr>
        <w:spacing w:after="0" w:line="23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Research and development costs are expensed as incurred. Research and development expenses include salaries, stock-based compensation and benefits of employees, and other operational costs related to the Company’s research and development activities, including depreciation expenses and the cost of research and development contracts which the Company has entered into with outside vendors to conduct both preclinical studies and clinical trials. Significant judgment and estimates are made in determining the amount of research and development costs recognized in each reporting period. The Company analyzes the progress of its preclinical studies and clinical trials, completion of milestone events, invoices received and contracted costs when estimating research and development costs. Actual results could differ from the Company’s estimates. The Company’s historical estimates for research and development costs have not been materially different from the actual costs.</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Acquisitions</w:t>
      </w:r>
    </w:p>
    <w:p>
      <w:pPr>
        <w:spacing w:after="0" w:line="234"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In November 2024, the Company entered into an exclusive license agreement with Biosion, Inc. (“Biosion”) (as described in Note 11). This transaction has been accounted for as an asset acquisition in accordance with the Financial Accounting Standards Board (“FASB”) ASC 805-50, rather than a business combination. Cash payments and issuances of equity instruments for in-process research and development (“IPR&amp;D”), as well as future payments, are initially treated as the acquisition of an asset but then immediately expensed as there is no future alternative use under the accounting guidance for the asset. These payments are reflected as IPR&amp;D expense on the Company’s consolidated statements of operations and comprehensive loss.</w:t>
      </w:r>
    </w:p>
    <w:p>
      <w:pPr>
        <w:spacing w:after="0" w:line="177"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The Company accounted for the transaction as an asset acquisition because substantially all of the fair value of the assets acquired is concentrated in a single asset. ASC 805-10-55-5A, which sets forth a screen test, provides that if substantially all of the fair value of assets acquired is concentrated in a single identifiable asset or group of similar identifiable assets, the assets acquired are not a business.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Stock-Based Compensation</w:t>
      </w:r>
    </w:p>
    <w:p>
      <w:pPr>
        <w:spacing w:after="0" w:line="234"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The Company measures the compensation expense of stock-based awards granted to employees and directors using the grant date fair value of the award. The Company has issued stock options and restricted stock unit (“RSU”) awards with service- based vesting conditions. For service- based awards, the Company recognizes stock-based compensation expense on a straight-line basis over the requisite service period, which is typically four years. The impact of forfeitures is recognized in the period in which they occur.</w:t>
      </w:r>
    </w:p>
    <w:p>
      <w:pPr>
        <w:spacing w:after="0" w:line="18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Company measures the compensation expense of stock-based awards granted to consultants using the grant date fair value of the award. The Company recognizes compensation expense over the period during which services are rendered by the consultant.</w:t>
      </w:r>
    </w:p>
    <w:p>
      <w:pPr>
        <w:spacing w:after="0" w:line="178"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Company classifies stock-based compensation expense in its statement of operations and comprehensive loss in the same manner in which the award recipient’s payroll costs are classified or in which the award recipients’ service payments are classified.</w:t>
      </w:r>
    </w:p>
    <w:p>
      <w:pPr>
        <w:spacing w:after="0" w:line="176"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The Company estimates expected volatility based on its stock price’s historical volatility, as the Company has determined that it has adequate historical data regarding the volatility of its own publicly-traded stock price. The expected term of the Company’s stock options has been determined using the “simplified” method for awards that qualify as “plain 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Company uses an</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720"/>
          </w:cols>
          <w:pgMar w:left="1080" w:top="1177" w:right="1080" w:bottom="0" w:gutter="0" w:footer="0" w:header="0"/>
          <w:type w:val="continuous"/>
        </w:sectPr>
      </w:pPr>
    </w:p>
    <w:bookmarkStart w:id="94" w:name="page95"/>
    <w:bookmarkEnd w:id="94"/>
    <w:p>
      <w:pPr>
        <w:jc w:val="both"/>
        <w:spacing w:after="0" w:line="278" w:lineRule="auto"/>
        <w:rPr>
          <w:sz w:val="20"/>
          <w:szCs w:val="20"/>
          <w:color w:val="auto"/>
        </w:rPr>
      </w:pPr>
      <w:r>
        <w:rPr>
          <w:rFonts w:ascii="Arial" w:cs="Arial" w:eastAsia="Arial" w:hAnsi="Arial"/>
          <w:sz w:val="20"/>
          <w:szCs w:val="20"/>
          <w:color w:val="auto"/>
        </w:rPr>
        <w:t>expected dividend yield of zero because the Company has never paid cash dividends and does not expect to pay cash dividends in the future.</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fair value of each RSU is measured using the closing price of the Company’s common stock on the date of</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grant.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Patent Costs</w:t>
      </w:r>
    </w:p>
    <w:p>
      <w:pPr>
        <w:spacing w:after="0" w:line="23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All patent 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Income Taxes</w:t>
      </w:r>
    </w:p>
    <w:p>
      <w:pPr>
        <w:spacing w:after="0" w:line="234"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19"/>
          <w:szCs w:val="19"/>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2"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and unrecognized tax benefits that are considered appropriate, as well as the related net interest and penalties.</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Comprehensive Loss</w:t>
      </w:r>
    </w:p>
    <w:p>
      <w:pPr>
        <w:spacing w:after="0" w:line="235"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Comprehensive loss includes net loss as well as other changes in stockholders’ equity that result from transactions and economic events other than those with stockholders. Comprehensive loss is primarily composed of net loss and unrealized gains (losses) on marketable securities.</w:t>
      </w:r>
    </w:p>
    <w:p>
      <w:pPr>
        <w:spacing w:after="0" w:line="17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Net Loss per Share</w:t>
      </w:r>
    </w:p>
    <w:p>
      <w:pPr>
        <w:spacing w:after="0" w:line="234"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9"/>
          <w:szCs w:val="19"/>
          <w:color w:val="auto"/>
        </w:rPr>
        <w:t>Basic net loss per share is computed using the weighted average number of common shares outstanding during the period. Diluted net loss per share is computed using the sum of the weighted average number of common shares outstanding during the period, plus the weighted average number of potential shares of common stock from the assumed exercise of stock options and the assumed vesting of RSUs, if dilutive. Since the Company was in a net loss position, basic and diluted net loss per share were the same for each of the periods presented.</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Fair Value Measurements</w:t>
      </w:r>
    </w:p>
    <w:p>
      <w:pPr>
        <w:spacing w:after="0" w:line="235"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720"/>
          </w:cols>
          <w:pgMar w:left="1080" w:top="1177" w:right="1080" w:bottom="0" w:gutter="0" w:footer="0" w:header="0"/>
          <w:type w:val="continuous"/>
        </w:sectPr>
      </w:pPr>
    </w:p>
    <w:bookmarkStart w:id="95" w:name="page96"/>
    <w:bookmarkEnd w:id="95"/>
    <w:p>
      <w:pPr>
        <w:spacing w:after="0" w:line="305" w:lineRule="auto"/>
        <w:rPr>
          <w:sz w:val="20"/>
          <w:szCs w:val="20"/>
          <w:color w:val="auto"/>
        </w:rPr>
      </w:pPr>
      <w:r>
        <w:rPr>
          <w:rFonts w:ascii="Arial" w:cs="Arial" w:eastAsia="Arial" w:hAnsi="Arial"/>
          <w:sz w:val="19"/>
          <w:szCs w:val="19"/>
          <w:color w:val="auto"/>
        </w:rPr>
        <w:t>assets and liabilities carried at fair value are to be classified and disclosed in one of the following three levels of the fair value hierarchy, of which the first two are considered observable and the last is considered unobservable:</w:t>
      </w:r>
    </w:p>
    <w:p>
      <w:pPr>
        <w:spacing w:after="0" w:line="149" w:lineRule="exact"/>
        <w:rPr>
          <w:sz w:val="20"/>
          <w:szCs w:val="20"/>
          <w:color w:val="auto"/>
        </w:rPr>
      </w:pPr>
    </w:p>
    <w:p>
      <w:pPr>
        <w:ind w:left="1080" w:hanging="353"/>
        <w:spacing w:after="0"/>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Level 1 — Quoted prices in active markets for identical assets or liabilities.</w:t>
      </w:r>
    </w:p>
    <w:p>
      <w:pPr>
        <w:spacing w:after="0" w:line="244" w:lineRule="exact"/>
        <w:rPr>
          <w:rFonts w:ascii="Arial" w:cs="Arial" w:eastAsia="Arial" w:hAnsi="Arial"/>
          <w:sz w:val="20"/>
          <w:szCs w:val="20"/>
          <w:color w:val="auto"/>
        </w:rPr>
      </w:pPr>
    </w:p>
    <w:p>
      <w:pPr>
        <w:jc w:val="both"/>
        <w:ind w:left="1080" w:hanging="353"/>
        <w:spacing w:after="0" w:line="301"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56" w:lineRule="exact"/>
        <w:rPr>
          <w:rFonts w:ascii="Arial" w:cs="Arial" w:eastAsia="Arial" w:hAnsi="Arial"/>
          <w:sz w:val="18"/>
          <w:szCs w:val="18"/>
          <w:color w:val="auto"/>
        </w:rPr>
      </w:pPr>
    </w:p>
    <w:p>
      <w:pPr>
        <w:jc w:val="both"/>
        <w:ind w:left="1080" w:hanging="352"/>
        <w:spacing w:after="0" w:line="258"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8"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9"/>
          <w:szCs w:val="19"/>
          <w:color w:val="auto"/>
        </w:rPr>
        <w:t>The Company’s cash equivalents, marketable securities and contingent consideration are carried at fair value, determined according to the fair value hierarchy described above. The carrying value of the Company’s accounts payable and accrued expenses approximate fair value due to the short-term nature of these liabilities.</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Concentration of Credit Risk and of Significant Suppliers</w:t>
      </w:r>
    </w:p>
    <w:p>
      <w:pPr>
        <w:spacing w:after="0" w:line="234"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Financial instruments that potentially expose the Company to concentrations of credit risk consist primarily of cash, cash equivalents and marketable securities. The Company holds all cash, cash equivalents and marketable securities balances at three accredited financial institutions, the majority of which are in amounts that exceed or are not subject to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The Company is dependent on third-party manufacturers to supply drug product, including all underlying components, for its research and development activities, including preclinical and clinical testing. These activities could be adversely affected by a significant interruption in the supply of active pharmaceutical ingredients or other components.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Segment Reporting</w:t>
      </w:r>
    </w:p>
    <w:p>
      <w:pPr>
        <w:spacing w:after="0" w:line="234"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Operating segments are components of a company for which separate financial information is available and evaluated regularly by the chief operating decision maker (“CODM”) in assessing performance and deciding how to allocate resources. The Company considers its Chief Executive Officer to be its CODM.</w:t>
      </w:r>
    </w:p>
    <w:p>
      <w:pPr>
        <w:spacing w:after="0" w:line="179"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Historically, the Company had concluded it operated as two reportable segments, therapeutics and contract research. In December 2025, the Company reevaluated its operating segments and concluded it operates and reports as one reportable segment. The Company’s conclusion is based on changes to the discrete financial reporting information regularly provided to the CODM for the purpose of making operating decisions, assessing financial performance, and allocating resources. Certain prior year amounts have been reclassified to conform to the current year presentation. Such reclassifications had no effect on the previously reported results of operations or financial position.</w:t>
      </w:r>
    </w:p>
    <w:p>
      <w:pPr>
        <w:spacing w:after="0" w:line="161"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The Company’s reportable segment focuses on identifying and developing innovative therapies to address significant unmet needs for immuno- inflammatory diseases. The segment earns revenue through the licensing of its intellectual property and the provision of laboratory services. As of December 31, 2025 and 2024, all of the Company’s assets were held in the United States.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23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In December 2025, the FASB issued Accounting Standards Update (“ASU”) No. 2025-12, “Interim Reporting (Topic 270): Narrow-Scope Improvements.” This standard clarifies interim disclosure requirements and the applicability of Topic 270. The ASU becomes effective for interim reporting periods within annual reporting periods beginning after December 15, 2027. The Company is currently assessing the impact of this ASU.</w:t>
      </w:r>
    </w:p>
    <w:p>
      <w:pPr>
        <w:spacing w:after="0" w:line="167" w:lineRule="exact"/>
        <w:rPr>
          <w:sz w:val="20"/>
          <w:szCs w:val="20"/>
          <w:color w:val="auto"/>
        </w:rPr>
      </w:pPr>
    </w:p>
    <w:p>
      <w:pPr>
        <w:jc w:val="both"/>
        <w:ind w:firstLine="720"/>
        <w:spacing w:after="0" w:line="325" w:lineRule="auto"/>
        <w:rPr>
          <w:sz w:val="20"/>
          <w:szCs w:val="20"/>
          <w:color w:val="auto"/>
        </w:rPr>
      </w:pPr>
      <w:r>
        <w:rPr>
          <w:rFonts w:ascii="Arial" w:cs="Arial" w:eastAsia="Arial" w:hAnsi="Arial"/>
          <w:sz w:val="17"/>
          <w:szCs w:val="17"/>
          <w:color w:val="auto"/>
        </w:rPr>
        <w:t>In November 2024, the FASB issued ASU No. 2024-03, “Income Statement—Reporting Comprehensive Income—Expense Disaggregation Disclosures (Subtopic 220-40): Disaggregation of Income Statement Expenses.” This standard requires disclosure of additional information about specific expense categories in the notes to financial statements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720"/>
          </w:cols>
          <w:pgMar w:left="1080" w:top="1177" w:right="1080" w:bottom="0" w:gutter="0" w:footer="0" w:header="0"/>
          <w:type w:val="continuous"/>
        </w:sectPr>
      </w:pPr>
    </w:p>
    <w:bookmarkStart w:id="96" w:name="page97"/>
    <w:bookmarkEnd w:id="96"/>
    <w:p>
      <w:pPr>
        <w:jc w:val="both"/>
        <w:spacing w:after="0" w:line="258" w:lineRule="auto"/>
        <w:rPr>
          <w:sz w:val="20"/>
          <w:szCs w:val="20"/>
          <w:color w:val="auto"/>
        </w:rPr>
      </w:pPr>
      <w:r>
        <w:rPr>
          <w:rFonts w:ascii="Arial" w:cs="Arial" w:eastAsia="Arial" w:hAnsi="Arial"/>
          <w:sz w:val="20"/>
          <w:szCs w:val="20"/>
          <w:color w:val="auto"/>
        </w:rPr>
        <w:t>on an annual and interim basis. This ASU becomes effective for annual periods beginning after December 15, 2026 and interim periods within annual reporting periods beginning after December 15, 2027. The Company is currently assessing the impact of this ASU.</w:t>
      </w:r>
    </w:p>
    <w:p>
      <w:pPr>
        <w:spacing w:after="0" w:line="179"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In December 2023, the FASB issued ASU No. 2023-09, “Income Taxes (Topic 740): Improvements to Income Tax Disclosures.” This standard enhances disclosures related to income taxes, including the rate reconciliation and information on income taxes paid. The Company adopted ASU No. 2023-09 effective December 31, 2025, on a prospective basis, the impact of which is limited to additional income tax disclosures in the notes to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of Financial Assets and Liabilities</w:t>
      </w:r>
    </w:p>
    <w:p>
      <w:pPr>
        <w:spacing w:after="0" w:line="234"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following tables present information about the fair value measurements of the Company’s financial assets and liabilities which are measured at fair value on a recurring and non-recurring basis, and indicate the level of the fair value hierarchy utilized to determine such fair values: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6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6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3"/>
              <w:spacing w:after="0" w:line="175" w:lineRule="exact"/>
              <w:rPr>
                <w:sz w:val="20"/>
                <w:szCs w:val="20"/>
                <w:color w:val="auto"/>
              </w:rPr>
            </w:pPr>
            <w:r>
              <w:rPr>
                <w:rFonts w:ascii="Arial" w:cs="Arial" w:eastAsia="Arial" w:hAnsi="Arial"/>
                <w:sz w:val="16"/>
                <w:szCs w:val="16"/>
                <w:b w:val="1"/>
                <w:bCs w:val="1"/>
                <w:color w:val="auto"/>
                <w:w w:val="88"/>
              </w:rPr>
              <w:t>Level 1</w:t>
            </w:r>
          </w:p>
        </w:tc>
        <w:tc>
          <w:tcPr>
            <w:tcW w:w="20" w:type="dxa"/>
            <w:vAlign w:val="bottom"/>
            <w:tcBorders>
              <w:bottom w:val="single" w:sz="8" w:color="E5E5E5"/>
            </w:tcBorders>
          </w:tcPr>
          <w:p>
            <w:pPr>
              <w:spacing w:after="0"/>
              <w:rPr>
                <w:sz w:val="15"/>
                <w:szCs w:val="15"/>
                <w:color w:val="auto"/>
              </w:rPr>
            </w:pPr>
          </w:p>
        </w:tc>
        <w:tc>
          <w:tcPr>
            <w:tcW w:w="16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6"/>
              <w:spacing w:after="0" w:line="175" w:lineRule="exact"/>
              <w:rPr>
                <w:sz w:val="20"/>
                <w:szCs w:val="20"/>
                <w:color w:val="auto"/>
              </w:rPr>
            </w:pPr>
            <w:r>
              <w:rPr>
                <w:rFonts w:ascii="Arial" w:cs="Arial" w:eastAsia="Arial" w:hAnsi="Arial"/>
                <w:sz w:val="16"/>
                <w:szCs w:val="16"/>
                <w:b w:val="1"/>
                <w:bCs w:val="1"/>
                <w:color w:val="auto"/>
                <w:w w:val="95"/>
              </w:rPr>
              <w:t>Level 2</w:t>
            </w:r>
          </w:p>
        </w:tc>
        <w:tc>
          <w:tcPr>
            <w:tcW w:w="20" w:type="dxa"/>
            <w:vAlign w:val="bottom"/>
            <w:tcBorders>
              <w:bottom w:val="single" w:sz="8" w:color="E5E5E5"/>
            </w:tcBorders>
          </w:tcPr>
          <w:p>
            <w:pPr>
              <w:spacing w:after="0"/>
              <w:rPr>
                <w:sz w:val="15"/>
                <w:szCs w:val="15"/>
                <w:color w:val="auto"/>
              </w:rPr>
            </w:pPr>
          </w:p>
        </w:tc>
        <w:tc>
          <w:tcPr>
            <w:tcW w:w="16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line="175" w:lineRule="exact"/>
              <w:rPr>
                <w:sz w:val="20"/>
                <w:szCs w:val="20"/>
                <w:color w:val="auto"/>
              </w:rPr>
            </w:pPr>
            <w:r>
              <w:rPr>
                <w:rFonts w:ascii="Arial" w:cs="Arial" w:eastAsia="Arial" w:hAnsi="Arial"/>
                <w:sz w:val="16"/>
                <w:szCs w:val="16"/>
                <w:b w:val="1"/>
                <w:bCs w:val="1"/>
                <w:color w:val="auto"/>
              </w:rPr>
              <w:t>Level 3</w:t>
            </w:r>
          </w:p>
        </w:tc>
        <w:tc>
          <w:tcPr>
            <w:tcW w:w="16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3"/>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568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Assets:</w:t>
            </w: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40"/>
              <w:spacing w:after="0"/>
              <w:rPr>
                <w:sz w:val="20"/>
                <w:szCs w:val="20"/>
                <w:color w:val="auto"/>
              </w:rPr>
            </w:pPr>
            <w:r>
              <w:rPr>
                <w:rFonts w:ascii="Arial" w:cs="Arial" w:eastAsia="Arial" w:hAnsi="Arial"/>
                <w:sz w:val="20"/>
                <w:szCs w:val="20"/>
                <w:color w:val="auto"/>
              </w:rPr>
              <w:t>Cash equivalents</w:t>
            </w:r>
          </w:p>
        </w:tc>
        <w:tc>
          <w:tcPr>
            <w:tcW w:w="3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w w:val="91"/>
              </w:rPr>
              <w:t>16,302</w:t>
            </w:r>
          </w:p>
        </w:tc>
        <w:tc>
          <w:tcPr>
            <w:tcW w:w="3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30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16,302</w:t>
            </w:r>
          </w:p>
        </w:tc>
        <w:tc>
          <w:tcPr>
            <w:tcW w:w="0" w:type="dxa"/>
            <w:vAlign w:val="bottom"/>
          </w:tcPr>
          <w:p>
            <w:pPr>
              <w:spacing w:after="0"/>
              <w:rPr>
                <w:sz w:val="1"/>
                <w:szCs w:val="1"/>
                <w:color w:val="auto"/>
              </w:rPr>
            </w:pPr>
          </w:p>
        </w:tc>
      </w:tr>
      <w:tr>
        <w:trPr>
          <w:trHeight w:val="230"/>
        </w:trPr>
        <w:tc>
          <w:tcPr>
            <w:tcW w:w="5680" w:type="dxa"/>
            <w:vAlign w:val="bottom"/>
            <w:shd w:val="clear" w:color="auto" w:fill="E5E5E5"/>
          </w:tcPr>
          <w:p>
            <w:pPr>
              <w:ind w:left="240"/>
              <w:spacing w:after="0"/>
              <w:rPr>
                <w:sz w:val="20"/>
                <w:szCs w:val="20"/>
                <w:color w:val="auto"/>
              </w:rPr>
            </w:pPr>
            <w:r>
              <w:rPr>
                <w:rFonts w:ascii="Arial" w:cs="Arial" w:eastAsia="Arial" w:hAnsi="Arial"/>
                <w:sz w:val="20"/>
                <w:szCs w:val="20"/>
                <w:color w:val="auto"/>
              </w:rPr>
              <w:t>Marketable securities</w:t>
            </w: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tcBorders>
              <w:bottom w:val="single" w:sz="8" w:color="auto"/>
            </w:tcBorders>
            <w:shd w:val="clear" w:color="auto" w:fill="E5E5E5"/>
          </w:tcPr>
          <w:p>
            <w:pPr>
              <w:spacing w:after="0"/>
              <w:rPr>
                <w:sz w:val="20"/>
                <w:szCs w:val="20"/>
                <w:color w:val="auto"/>
              </w:rPr>
            </w:pPr>
          </w:p>
        </w:tc>
        <w:tc>
          <w:tcPr>
            <w:tcW w:w="10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tcBorders>
              <w:bottom w:val="single" w:sz="8" w:color="auto"/>
            </w:tcBorders>
            <w:shd w:val="clear" w:color="auto" w:fill="E5E5E5"/>
          </w:tcPr>
          <w:p>
            <w:pPr>
              <w:spacing w:after="0"/>
              <w:rPr>
                <w:sz w:val="20"/>
                <w:szCs w:val="20"/>
                <w:color w:val="auto"/>
              </w:rPr>
            </w:pPr>
          </w:p>
        </w:tc>
        <w:tc>
          <w:tcPr>
            <w:tcW w:w="100" w:type="dxa"/>
            <w:vAlign w:val="bottom"/>
            <w:tcBorders>
              <w:bottom w:val="single" w:sz="8" w:color="auto"/>
            </w:tcBorders>
            <w:shd w:val="clear" w:color="auto" w:fill="E5E5E5"/>
          </w:tcPr>
          <w:p>
            <w:pPr>
              <w:spacing w:after="0"/>
              <w:rPr>
                <w:sz w:val="20"/>
                <w:szCs w:val="20"/>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91"/>
              </w:rPr>
              <w:t>131,403</w:t>
            </w: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tcBorders>
              <w:bottom w:val="single" w:sz="8" w:color="auto"/>
            </w:tcBorders>
            <w:shd w:val="clear" w:color="auto" w:fill="E5E5E5"/>
          </w:tcPr>
          <w:p>
            <w:pPr>
              <w:spacing w:after="0"/>
              <w:rPr>
                <w:sz w:val="20"/>
                <w:szCs w:val="20"/>
                <w:color w:val="auto"/>
              </w:rPr>
            </w:pPr>
          </w:p>
        </w:tc>
        <w:tc>
          <w:tcPr>
            <w:tcW w:w="100" w:type="dxa"/>
            <w:vAlign w:val="bottom"/>
            <w:tcBorders>
              <w:bottom w:val="single" w:sz="8" w:color="auto"/>
            </w:tcBorders>
            <w:shd w:val="clear" w:color="auto" w:fill="E5E5E5"/>
          </w:tcPr>
          <w:p>
            <w:pPr>
              <w:spacing w:after="0"/>
              <w:rPr>
                <w:sz w:val="20"/>
                <w:szCs w:val="20"/>
                <w:color w:val="auto"/>
              </w:rPr>
            </w:pPr>
          </w:p>
        </w:tc>
        <w:tc>
          <w:tcPr>
            <w:tcW w:w="660" w:type="dxa"/>
            <w:vAlign w:val="bottom"/>
            <w:tcBorders>
              <w:bottom w:val="single" w:sz="8" w:color="auto"/>
            </w:tcBorders>
            <w:gridSpan w:val="2"/>
            <w:shd w:val="clear" w:color="auto" w:fill="E5E5E5"/>
          </w:tcPr>
          <w:p>
            <w:pPr>
              <w:jc w:val="right"/>
              <w:ind w:right="80"/>
              <w:spacing w:after="0"/>
              <w:rPr>
                <w:sz w:val="20"/>
                <w:szCs w:val="20"/>
                <w:color w:val="auto"/>
              </w:rPr>
            </w:pPr>
            <w:r>
              <w:rPr>
                <w:rFonts w:ascii="Arial" w:cs="Arial" w:eastAsia="Arial" w:hAnsi="Arial"/>
                <w:sz w:val="20"/>
                <w:szCs w:val="20"/>
                <w:color w:val="auto"/>
              </w:rPr>
              <w:t>—</w:t>
            </w: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tcBorders>
              <w:bottom w:val="single" w:sz="8" w:color="auto"/>
            </w:tcBorders>
            <w:shd w:val="clear" w:color="auto" w:fill="E5E5E5"/>
          </w:tcPr>
          <w:p>
            <w:pPr>
              <w:spacing w:after="0"/>
              <w:rPr>
                <w:sz w:val="20"/>
                <w:szCs w:val="20"/>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91"/>
              </w:rPr>
              <w:t>131,403</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E5E5E5"/>
            </w:tcBorders>
          </w:tcPr>
          <w:p>
            <w:pPr>
              <w:spacing w:after="0" w:line="220" w:lineRule="exact"/>
              <w:rPr>
                <w:sz w:val="20"/>
                <w:szCs w:val="20"/>
                <w:color w:val="auto"/>
              </w:rPr>
            </w:pPr>
            <w:r>
              <w:rPr>
                <w:rFonts w:ascii="Arial" w:cs="Arial" w:eastAsia="Arial" w:hAnsi="Arial"/>
                <w:sz w:val="20"/>
                <w:szCs w:val="20"/>
                <w:color w:val="auto"/>
              </w:rPr>
              <w:t>Total assets</w:t>
            </w:r>
          </w:p>
        </w:tc>
        <w:tc>
          <w:tcPr>
            <w:tcW w:w="20" w:type="dxa"/>
            <w:vAlign w:val="bottom"/>
            <w:tcBorders>
              <w:bottom w:val="single" w:sz="8" w:color="E5E5E5"/>
            </w:tcBorders>
          </w:tcPr>
          <w:p>
            <w:pPr>
              <w:spacing w:after="0"/>
              <w:rPr>
                <w:sz w:val="19"/>
                <w:szCs w:val="19"/>
                <w:color w:val="auto"/>
              </w:rPr>
            </w:pPr>
          </w:p>
        </w:tc>
        <w:tc>
          <w:tcPr>
            <w:tcW w:w="16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2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71"/>
              </w:rPr>
              <w:t>$</w:t>
            </w:r>
          </w:p>
        </w:tc>
        <w:tc>
          <w:tcPr>
            <w:tcW w:w="6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1"/>
              </w:rPr>
              <w:t>16,302</w:t>
            </w:r>
          </w:p>
        </w:tc>
        <w:tc>
          <w:tcPr>
            <w:tcW w:w="20" w:type="dxa"/>
            <w:vAlign w:val="bottom"/>
            <w:tcBorders>
              <w:bottom w:val="single" w:sz="8" w:color="E5E5E5"/>
            </w:tcBorders>
          </w:tcPr>
          <w:p>
            <w:pPr>
              <w:spacing w:after="0"/>
              <w:rPr>
                <w:sz w:val="19"/>
                <w:szCs w:val="19"/>
                <w:color w:val="auto"/>
              </w:rPr>
            </w:pPr>
          </w:p>
        </w:tc>
        <w:tc>
          <w:tcPr>
            <w:tcW w:w="16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2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1"/>
              </w:rPr>
              <w:t>131,403</w:t>
            </w:r>
          </w:p>
        </w:tc>
        <w:tc>
          <w:tcPr>
            <w:tcW w:w="20" w:type="dxa"/>
            <w:vAlign w:val="bottom"/>
            <w:tcBorders>
              <w:bottom w:val="single" w:sz="8" w:color="E5E5E5"/>
            </w:tcBorders>
          </w:tcPr>
          <w:p>
            <w:pPr>
              <w:spacing w:after="0"/>
              <w:rPr>
                <w:sz w:val="19"/>
                <w:szCs w:val="19"/>
                <w:color w:val="auto"/>
              </w:rPr>
            </w:pPr>
          </w:p>
        </w:tc>
        <w:tc>
          <w:tcPr>
            <w:tcW w:w="16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2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gridSpan w:val="2"/>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16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1"/>
              </w:rPr>
              <w:t>147,705</w:t>
            </w:r>
          </w:p>
        </w:tc>
        <w:tc>
          <w:tcPr>
            <w:tcW w:w="0" w:type="dxa"/>
            <w:vAlign w:val="bottom"/>
          </w:tcPr>
          <w:p>
            <w:pPr>
              <w:spacing w:after="0"/>
              <w:rPr>
                <w:sz w:val="1"/>
                <w:szCs w:val="1"/>
                <w:color w:val="auto"/>
              </w:rPr>
            </w:pPr>
          </w:p>
        </w:tc>
      </w:tr>
      <w:tr>
        <w:trPr>
          <w:trHeight w:val="231"/>
        </w:trPr>
        <w:tc>
          <w:tcPr>
            <w:tcW w:w="56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20"/>
                <w:szCs w:val="20"/>
                <w:color w:val="auto"/>
              </w:rPr>
              <w:t>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E5E5E5"/>
          </w:tcPr>
          <w:p>
            <w:pPr>
              <w:ind w:left="240"/>
              <w:spacing w:after="0"/>
              <w:rPr>
                <w:sz w:val="20"/>
                <w:szCs w:val="20"/>
                <w:color w:val="auto"/>
              </w:rPr>
            </w:pPr>
            <w:r>
              <w:rPr>
                <w:rFonts w:ascii="Arial" w:cs="Arial" w:eastAsia="Arial" w:hAnsi="Arial"/>
                <w:sz w:val="20"/>
                <w:szCs w:val="20"/>
                <w:color w:val="auto"/>
              </w:rPr>
              <w:t>Contingent consideration</w:t>
            </w:r>
          </w:p>
        </w:tc>
        <w:tc>
          <w:tcPr>
            <w:tcW w:w="320" w:type="dxa"/>
            <w:vAlign w:val="bottom"/>
            <w:gridSpan w:val="5"/>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5"/>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5"/>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20"/>
                <w:szCs w:val="20"/>
                <w:color w:val="auto"/>
                <w:w w:val="91"/>
              </w:rPr>
              <w:t>11,000</w:t>
            </w:r>
          </w:p>
        </w:tc>
        <w:tc>
          <w:tcPr>
            <w:tcW w:w="20" w:type="dxa"/>
            <w:vAlign w:val="bottom"/>
            <w:shd w:val="clear" w:color="auto" w:fill="E5E5E5"/>
          </w:tcPr>
          <w:p>
            <w:pPr>
              <w:spacing w:after="0"/>
              <w:rPr>
                <w:sz w:val="20"/>
                <w:szCs w:val="20"/>
                <w:color w:val="auto"/>
              </w:rPr>
            </w:pPr>
          </w:p>
        </w:tc>
        <w:tc>
          <w:tcPr>
            <w:tcW w:w="300" w:type="dxa"/>
            <w:vAlign w:val="bottom"/>
            <w:gridSpan w:val="4"/>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11,000</w:t>
            </w:r>
          </w:p>
        </w:tc>
        <w:tc>
          <w:tcPr>
            <w:tcW w:w="0" w:type="dxa"/>
            <w:vAlign w:val="bottom"/>
          </w:tcPr>
          <w:p>
            <w:pPr>
              <w:spacing w:after="0"/>
              <w:rPr>
                <w:sz w:val="1"/>
                <w:szCs w:val="1"/>
                <w:color w:val="auto"/>
              </w:rPr>
            </w:pPr>
          </w:p>
        </w:tc>
      </w:tr>
      <w:tr>
        <w:trPr>
          <w:trHeight w:val="230"/>
        </w:trPr>
        <w:tc>
          <w:tcPr>
            <w:tcW w:w="5680" w:type="dxa"/>
            <w:vAlign w:val="bottom"/>
          </w:tcPr>
          <w:p>
            <w:pPr>
              <w:spacing w:after="0" w:line="221" w:lineRule="exact"/>
              <w:rPr>
                <w:sz w:val="20"/>
                <w:szCs w:val="20"/>
                <w:color w:val="auto"/>
              </w:rPr>
            </w:pPr>
            <w:r>
              <w:rPr>
                <w:rFonts w:ascii="Arial" w:cs="Arial" w:eastAsia="Arial" w:hAnsi="Arial"/>
                <w:sz w:val="20"/>
                <w:szCs w:val="20"/>
                <w:color w:val="auto"/>
              </w:rPr>
              <w:t>Total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11,000</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11,000</w:t>
            </w:r>
          </w:p>
        </w:tc>
        <w:tc>
          <w:tcPr>
            <w:tcW w:w="0" w:type="dxa"/>
            <w:vAlign w:val="bottom"/>
          </w:tcPr>
          <w:p>
            <w:pPr>
              <w:spacing w:after="0"/>
              <w:rPr>
                <w:sz w:val="1"/>
                <w:szCs w:val="1"/>
                <w:color w:val="auto"/>
              </w:rPr>
            </w:pPr>
          </w:p>
        </w:tc>
      </w:tr>
      <w:tr>
        <w:trPr>
          <w:trHeight w:val="433"/>
        </w:trPr>
        <w:tc>
          <w:tcPr>
            <w:tcW w:w="56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ind w:left="20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3"/>
              <w:spacing w:after="0" w:line="175" w:lineRule="exact"/>
              <w:rPr>
                <w:sz w:val="20"/>
                <w:szCs w:val="20"/>
                <w:color w:val="auto"/>
              </w:rPr>
            </w:pPr>
            <w:r>
              <w:rPr>
                <w:rFonts w:ascii="Arial" w:cs="Arial" w:eastAsia="Arial" w:hAnsi="Arial"/>
                <w:sz w:val="16"/>
                <w:szCs w:val="16"/>
                <w:b w:val="1"/>
                <w:bCs w:val="1"/>
                <w:color w:val="auto"/>
                <w:w w:val="92"/>
              </w:rPr>
              <w:t>Level 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6"/>
              <w:spacing w:after="0" w:line="175" w:lineRule="exact"/>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63"/>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5680" w:type="dxa"/>
            <w:vAlign w:val="bottom"/>
            <w:tcBorders>
              <w:top w:val="single" w:sz="8" w:color="auto"/>
            </w:tcBorders>
            <w:shd w:val="clear" w:color="auto" w:fill="E5E5E5"/>
          </w:tcPr>
          <w:p>
            <w:pPr>
              <w:spacing w:after="0" w:line="220" w:lineRule="exact"/>
              <w:rPr>
                <w:sz w:val="20"/>
                <w:szCs w:val="20"/>
                <w:color w:val="auto"/>
              </w:rPr>
            </w:pPr>
            <w:r>
              <w:rPr>
                <w:rFonts w:ascii="Arial" w:cs="Arial" w:eastAsia="Arial" w:hAnsi="Arial"/>
                <w:sz w:val="20"/>
                <w:szCs w:val="20"/>
                <w:color w:val="auto"/>
              </w:rPr>
              <w:t>Assets:</w:t>
            </w:r>
          </w:p>
        </w:tc>
        <w:tc>
          <w:tcPr>
            <w:tcW w:w="20" w:type="dxa"/>
            <w:vAlign w:val="bottom"/>
            <w:tcBorders>
              <w:top w:val="single" w:sz="8" w:color="auto"/>
            </w:tcBorders>
            <w:shd w:val="clear" w:color="auto" w:fill="E5E5E5"/>
          </w:tcPr>
          <w:p>
            <w:pPr>
              <w:spacing w:after="0"/>
              <w:rPr>
                <w:sz w:val="19"/>
                <w:szCs w:val="19"/>
                <w:color w:val="auto"/>
              </w:rPr>
            </w:pPr>
          </w:p>
        </w:tc>
        <w:tc>
          <w:tcPr>
            <w:tcW w:w="16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00" w:type="dxa"/>
            <w:vAlign w:val="bottom"/>
            <w:tcBorders>
              <w:top w:val="single" w:sz="8" w:color="auto"/>
            </w:tcBorders>
            <w:shd w:val="clear" w:color="auto" w:fill="E5E5E5"/>
          </w:tcPr>
          <w:p>
            <w:pPr>
              <w:spacing w:after="0"/>
              <w:rPr>
                <w:sz w:val="19"/>
                <w:szCs w:val="19"/>
                <w:color w:val="auto"/>
              </w:rPr>
            </w:pPr>
          </w:p>
        </w:tc>
        <w:tc>
          <w:tcPr>
            <w:tcW w:w="640" w:type="dxa"/>
            <w:vAlign w:val="bottom"/>
            <w:tcBorders>
              <w:top w:val="single" w:sz="8" w:color="auto"/>
            </w:tcBorders>
            <w:shd w:val="clear" w:color="auto" w:fill="E5E5E5"/>
          </w:tcPr>
          <w:p>
            <w:pPr>
              <w:spacing w:after="0"/>
              <w:rPr>
                <w:sz w:val="19"/>
                <w:szCs w:val="19"/>
                <w:color w:val="auto"/>
              </w:rPr>
            </w:pPr>
          </w:p>
        </w:tc>
        <w:tc>
          <w:tcPr>
            <w:tcW w:w="20" w:type="dxa"/>
            <w:vAlign w:val="bottom"/>
            <w:tcBorders>
              <w:top w:val="single" w:sz="8" w:color="auto"/>
            </w:tcBorders>
            <w:shd w:val="clear" w:color="auto" w:fill="E5E5E5"/>
          </w:tcPr>
          <w:p>
            <w:pPr>
              <w:spacing w:after="0"/>
              <w:rPr>
                <w:sz w:val="19"/>
                <w:szCs w:val="19"/>
                <w:color w:val="auto"/>
              </w:rPr>
            </w:pPr>
          </w:p>
        </w:tc>
        <w:tc>
          <w:tcPr>
            <w:tcW w:w="16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00" w:type="dxa"/>
            <w:vAlign w:val="bottom"/>
            <w:tcBorders>
              <w:top w:val="single" w:sz="8" w:color="auto"/>
            </w:tcBorders>
            <w:shd w:val="clear" w:color="auto" w:fill="E5E5E5"/>
          </w:tcPr>
          <w:p>
            <w:pPr>
              <w:spacing w:after="0"/>
              <w:rPr>
                <w:sz w:val="19"/>
                <w:szCs w:val="19"/>
                <w:color w:val="auto"/>
              </w:rPr>
            </w:pPr>
          </w:p>
        </w:tc>
        <w:tc>
          <w:tcPr>
            <w:tcW w:w="740" w:type="dxa"/>
            <w:vAlign w:val="bottom"/>
            <w:tcBorders>
              <w:top w:val="single" w:sz="8" w:color="auto"/>
            </w:tcBorders>
            <w:shd w:val="clear" w:color="auto" w:fill="E5E5E5"/>
          </w:tcPr>
          <w:p>
            <w:pPr>
              <w:spacing w:after="0"/>
              <w:rPr>
                <w:sz w:val="19"/>
                <w:szCs w:val="19"/>
                <w:color w:val="auto"/>
              </w:rPr>
            </w:pPr>
          </w:p>
        </w:tc>
        <w:tc>
          <w:tcPr>
            <w:tcW w:w="20" w:type="dxa"/>
            <w:vAlign w:val="bottom"/>
            <w:tcBorders>
              <w:top w:val="single" w:sz="8" w:color="auto"/>
            </w:tcBorders>
            <w:shd w:val="clear" w:color="auto" w:fill="E5E5E5"/>
          </w:tcPr>
          <w:p>
            <w:pPr>
              <w:spacing w:after="0"/>
              <w:rPr>
                <w:sz w:val="19"/>
                <w:szCs w:val="19"/>
                <w:color w:val="auto"/>
              </w:rPr>
            </w:pPr>
          </w:p>
        </w:tc>
        <w:tc>
          <w:tcPr>
            <w:tcW w:w="16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00" w:type="dxa"/>
            <w:vAlign w:val="bottom"/>
            <w:tcBorders>
              <w:top w:val="single" w:sz="8" w:color="auto"/>
            </w:tcBorders>
            <w:shd w:val="clear" w:color="auto" w:fill="E5E5E5"/>
          </w:tcPr>
          <w:p>
            <w:pPr>
              <w:spacing w:after="0"/>
              <w:rPr>
                <w:sz w:val="19"/>
                <w:szCs w:val="19"/>
                <w:color w:val="auto"/>
              </w:rPr>
            </w:pPr>
          </w:p>
        </w:tc>
        <w:tc>
          <w:tcPr>
            <w:tcW w:w="640" w:type="dxa"/>
            <w:vAlign w:val="bottom"/>
            <w:tcBorders>
              <w:top w:val="single" w:sz="8" w:color="auto"/>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6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auto"/>
            </w:tcBorders>
            <w:shd w:val="clear" w:color="auto" w:fill="E5E5E5"/>
          </w:tcPr>
          <w:p>
            <w:pPr>
              <w:spacing w:after="0"/>
              <w:rPr>
                <w:sz w:val="19"/>
                <w:szCs w:val="19"/>
                <w:color w:val="auto"/>
              </w:rPr>
            </w:pPr>
          </w:p>
        </w:tc>
        <w:tc>
          <w:tcPr>
            <w:tcW w:w="100" w:type="dxa"/>
            <w:vAlign w:val="bottom"/>
            <w:tcBorders>
              <w:top w:val="single" w:sz="8" w:color="auto"/>
            </w:tcBorders>
            <w:shd w:val="clear" w:color="auto" w:fill="E5E5E5"/>
          </w:tcPr>
          <w:p>
            <w:pPr>
              <w:spacing w:after="0"/>
              <w:rPr>
                <w:sz w:val="19"/>
                <w:szCs w:val="19"/>
                <w:color w:val="auto"/>
              </w:rPr>
            </w:pPr>
          </w:p>
        </w:tc>
        <w:tc>
          <w:tcPr>
            <w:tcW w:w="74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40"/>
              <w:spacing w:after="0"/>
              <w:rPr>
                <w:sz w:val="20"/>
                <w:szCs w:val="20"/>
                <w:color w:val="auto"/>
              </w:rPr>
            </w:pPr>
            <w:r>
              <w:rPr>
                <w:rFonts w:ascii="Arial" w:cs="Arial" w:eastAsia="Arial" w:hAnsi="Arial"/>
                <w:sz w:val="20"/>
                <w:szCs w:val="20"/>
                <w:color w:val="auto"/>
              </w:rPr>
              <w:t>Cash equivalents</w:t>
            </w:r>
          </w:p>
        </w:tc>
        <w:tc>
          <w:tcPr>
            <w:tcW w:w="3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w w:val="94"/>
              </w:rPr>
              <w:t>22,245</w:t>
            </w:r>
          </w:p>
        </w:tc>
        <w:tc>
          <w:tcPr>
            <w:tcW w:w="3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30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22,245</w:t>
            </w:r>
          </w:p>
        </w:tc>
        <w:tc>
          <w:tcPr>
            <w:tcW w:w="0" w:type="dxa"/>
            <w:vAlign w:val="bottom"/>
          </w:tcPr>
          <w:p>
            <w:pPr>
              <w:spacing w:after="0"/>
              <w:rPr>
                <w:sz w:val="1"/>
                <w:szCs w:val="1"/>
                <w:color w:val="auto"/>
              </w:rPr>
            </w:pPr>
          </w:p>
        </w:tc>
      </w:tr>
      <w:tr>
        <w:trPr>
          <w:trHeight w:val="229"/>
        </w:trPr>
        <w:tc>
          <w:tcPr>
            <w:tcW w:w="5680" w:type="dxa"/>
            <w:vAlign w:val="bottom"/>
            <w:shd w:val="clear" w:color="auto" w:fill="E5E5E5"/>
          </w:tcPr>
          <w:p>
            <w:pPr>
              <w:ind w:left="240"/>
              <w:spacing w:after="0"/>
              <w:rPr>
                <w:sz w:val="20"/>
                <w:szCs w:val="20"/>
                <w:color w:val="auto"/>
              </w:rPr>
            </w:pPr>
            <w:r>
              <w:rPr>
                <w:rFonts w:ascii="Arial" w:cs="Arial" w:eastAsia="Arial" w:hAnsi="Arial"/>
                <w:sz w:val="20"/>
                <w:szCs w:val="20"/>
                <w:color w:val="auto"/>
              </w:rPr>
              <w:t>Marketable securities</w:t>
            </w: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20"/>
                <w:szCs w:val="20"/>
                <w:color w:val="auto"/>
                <w:w w:val="94"/>
              </w:rPr>
              <w:t>179,326</w:t>
            </w: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660" w:type="dxa"/>
            <w:vAlign w:val="bottom"/>
            <w:gridSpan w:val="2"/>
            <w:shd w:val="clear" w:color="auto" w:fill="E5E5E5"/>
          </w:tcPr>
          <w:p>
            <w:pPr>
              <w:jc w:val="right"/>
              <w:ind w:right="80"/>
              <w:spacing w:after="0"/>
              <w:rPr>
                <w:sz w:val="20"/>
                <w:szCs w:val="20"/>
                <w:color w:val="auto"/>
              </w:rPr>
            </w:pPr>
            <w:r>
              <w:rPr>
                <w:rFonts w:ascii="Arial" w:cs="Arial" w:eastAsia="Arial" w:hAnsi="Arial"/>
                <w:sz w:val="20"/>
                <w:szCs w:val="20"/>
                <w:color w:val="auto"/>
              </w:rPr>
              <w:t>—</w:t>
            </w: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20"/>
                <w:szCs w:val="20"/>
                <w:color w:val="auto"/>
                <w:w w:val="91"/>
              </w:rPr>
              <w:t>179,326</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E5E5E5"/>
            </w:tcBorders>
          </w:tcPr>
          <w:p>
            <w:pPr>
              <w:spacing w:after="0" w:line="220" w:lineRule="exact"/>
              <w:rPr>
                <w:sz w:val="20"/>
                <w:szCs w:val="20"/>
                <w:color w:val="auto"/>
              </w:rPr>
            </w:pPr>
            <w:r>
              <w:rPr>
                <w:rFonts w:ascii="Arial" w:cs="Arial" w:eastAsia="Arial" w:hAnsi="Arial"/>
                <w:sz w:val="20"/>
                <w:szCs w:val="20"/>
                <w:color w:val="auto"/>
              </w:rPr>
              <w:t>Total assets</w:t>
            </w:r>
          </w:p>
        </w:tc>
        <w:tc>
          <w:tcPr>
            <w:tcW w:w="200" w:type="dxa"/>
            <w:vAlign w:val="bottom"/>
            <w:tcBorders>
              <w:bottom w:val="single" w:sz="8" w:color="E5E5E5"/>
            </w:tcBorders>
            <w:gridSpan w:val="3"/>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4"/>
              </w:rPr>
              <w:t>22,245</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E5E5E5"/>
            </w:tcBorders>
            <w:gridSpan w:val="2"/>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4"/>
              </w:rPr>
              <w:t>179,326</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E5E5E5"/>
            </w:tcBorders>
            <w:gridSpan w:val="2"/>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E5E5E5"/>
            </w:tcBorders>
          </w:tcPr>
          <w:p>
            <w:pPr>
              <w:spacing w:after="0"/>
              <w:rPr>
                <w:sz w:val="19"/>
                <w:szCs w:val="19"/>
                <w:color w:val="auto"/>
              </w:rPr>
            </w:pPr>
          </w:p>
        </w:tc>
        <w:tc>
          <w:tcPr>
            <w:tcW w:w="16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1"/>
              </w:rPr>
              <w:t>201,571</w:t>
            </w:r>
          </w:p>
        </w:tc>
        <w:tc>
          <w:tcPr>
            <w:tcW w:w="0" w:type="dxa"/>
            <w:vAlign w:val="bottom"/>
          </w:tcPr>
          <w:p>
            <w:pPr>
              <w:spacing w:after="0"/>
              <w:rPr>
                <w:sz w:val="1"/>
                <w:szCs w:val="1"/>
                <w:color w:val="auto"/>
              </w:rPr>
            </w:pPr>
          </w:p>
        </w:tc>
      </w:tr>
      <w:tr>
        <w:trPr>
          <w:trHeight w:val="232"/>
        </w:trPr>
        <w:tc>
          <w:tcPr>
            <w:tcW w:w="56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6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20"/>
                <w:szCs w:val="20"/>
                <w:color w:val="auto"/>
              </w:rPr>
              <w:t>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E5E5E5"/>
          </w:tcPr>
          <w:p>
            <w:pPr>
              <w:ind w:left="240"/>
              <w:spacing w:after="0"/>
              <w:rPr>
                <w:sz w:val="20"/>
                <w:szCs w:val="20"/>
                <w:color w:val="auto"/>
              </w:rPr>
            </w:pPr>
            <w:r>
              <w:rPr>
                <w:rFonts w:ascii="Arial" w:cs="Arial" w:eastAsia="Arial" w:hAnsi="Arial"/>
                <w:sz w:val="20"/>
                <w:szCs w:val="20"/>
                <w:color w:val="auto"/>
              </w:rPr>
              <w:t>Contingent consideration</w:t>
            </w:r>
          </w:p>
        </w:tc>
        <w:tc>
          <w:tcPr>
            <w:tcW w:w="320" w:type="dxa"/>
            <w:vAlign w:val="bottom"/>
            <w:gridSpan w:val="5"/>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5"/>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5"/>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8,700</w:t>
            </w:r>
          </w:p>
        </w:tc>
        <w:tc>
          <w:tcPr>
            <w:tcW w:w="20" w:type="dxa"/>
            <w:vAlign w:val="bottom"/>
            <w:shd w:val="clear" w:color="auto" w:fill="E5E5E5"/>
          </w:tcPr>
          <w:p>
            <w:pPr>
              <w:spacing w:after="0"/>
              <w:rPr>
                <w:sz w:val="19"/>
                <w:szCs w:val="19"/>
                <w:color w:val="auto"/>
              </w:rPr>
            </w:pPr>
          </w:p>
        </w:tc>
        <w:tc>
          <w:tcPr>
            <w:tcW w:w="300" w:type="dxa"/>
            <w:vAlign w:val="bottom"/>
            <w:gridSpan w:val="4"/>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8,700</w:t>
            </w:r>
          </w:p>
        </w:tc>
        <w:tc>
          <w:tcPr>
            <w:tcW w:w="0" w:type="dxa"/>
            <w:vAlign w:val="bottom"/>
          </w:tcPr>
          <w:p>
            <w:pPr>
              <w:spacing w:after="0"/>
              <w:rPr>
                <w:sz w:val="1"/>
                <w:szCs w:val="1"/>
                <w:color w:val="auto"/>
              </w:rPr>
            </w:pPr>
          </w:p>
        </w:tc>
      </w:tr>
      <w:tr>
        <w:trPr>
          <w:trHeight w:val="230"/>
        </w:trPr>
        <w:tc>
          <w:tcPr>
            <w:tcW w:w="5680" w:type="dxa"/>
            <w:vAlign w:val="bottom"/>
          </w:tcPr>
          <w:p>
            <w:pPr>
              <w:spacing w:after="0" w:line="221" w:lineRule="exact"/>
              <w:rPr>
                <w:sz w:val="20"/>
                <w:szCs w:val="20"/>
                <w:color w:val="auto"/>
              </w:rPr>
            </w:pPr>
            <w:r>
              <w:rPr>
                <w:rFonts w:ascii="Arial" w:cs="Arial" w:eastAsia="Arial" w:hAnsi="Arial"/>
                <w:sz w:val="20"/>
                <w:szCs w:val="20"/>
                <w:color w:val="auto"/>
              </w:rPr>
              <w:t>Total liabilities</w:t>
            </w:r>
          </w:p>
        </w:tc>
        <w:tc>
          <w:tcPr>
            <w:tcW w:w="200" w:type="dxa"/>
            <w:vAlign w:val="bottom"/>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8,700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8,700</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As of December 31, 2025 and 2024, the Company’s cash equivalents consisted of money market funds, which were valued based upon Level 1 inputs. The Company’s marketable securities as of December 31, 2025 consisted of corporate debt securities and U.S. government debt securities, which were all valued based upon Level 2 inputs. The Company’s marketable securities as of December 31, 2024 consisted of commercial paper, corporate debt securities, foreign government agency debt securities, and U.S. government and government agency debt securities, which were all valued based upon Level 2 inputs.</w:t>
      </w:r>
    </w:p>
    <w:p>
      <w:pPr>
        <w:spacing w:after="0" w:line="18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In determining the fair value of its Level 2 investments, the Company relied on quoted prices for identical securities in markets that are not active. These quoted prices were obtained by the Company with the assistance of a third-party pricing service based on available trade, bid and other observable market data for identical securities. During the years ended December 31, 2025 and 2024, there were no transfers into or out of Level 3.</w:t>
      </w:r>
    </w:p>
    <w:p>
      <w:pPr>
        <w:spacing w:after="0" w:line="167"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overall $2.3 million increase in the fair value of the contingent consideration liability during the year ended December 31, 2025 was primarily due to changes to the probability of success for certain product candidates and the passage of time.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720"/>
          </w:cols>
          <w:pgMar w:left="1080" w:top="1177" w:right="1080" w:bottom="0" w:gutter="0" w:footer="0" w:header="0"/>
          <w:type w:val="continuous"/>
        </w:sectPr>
      </w:pPr>
    </w:p>
    <w:bookmarkStart w:id="97" w:name="page98"/>
    <w:bookmarkEnd w:id="97"/>
    <w:p>
      <w:pPr>
        <w:ind w:right="120" w:firstLine="720"/>
        <w:spacing w:after="0" w:line="278" w:lineRule="auto"/>
        <w:rPr>
          <w:sz w:val="20"/>
          <w:szCs w:val="20"/>
          <w:color w:val="auto"/>
        </w:rPr>
      </w:pPr>
      <w:r>
        <w:rPr>
          <w:rFonts w:ascii="Arial" w:cs="Arial" w:eastAsia="Arial" w:hAnsi="Arial"/>
          <w:sz w:val="20"/>
          <w:szCs w:val="20"/>
          <w:color w:val="auto"/>
        </w:rPr>
        <w:t>As of December 31, 2025 and 2024 the fair value of the Company’s available-for-sale marketable securities by type of security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55"/>
        </w:trPr>
        <w:tc>
          <w:tcPr>
            <w:tcW w:w="2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90"/>
              <w:spacing w:after="0" w:line="155" w:lineRule="exact"/>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68"/>
              <w:spacing w:after="0" w:line="155" w:lineRule="exact"/>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4"/>
        </w:trPr>
        <w:tc>
          <w:tcPr>
            <w:tcW w:w="24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6"/>
                <w:szCs w:val="16"/>
                <w:b w:val="1"/>
                <w:bCs w:val="1"/>
                <w:color w:val="auto"/>
              </w:rPr>
              <w:t>Book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08"/>
              <w:spacing w:after="0"/>
              <w:rPr>
                <w:sz w:val="20"/>
                <w:szCs w:val="20"/>
                <w:color w:val="auto"/>
              </w:rPr>
            </w:pPr>
            <w:r>
              <w:rPr>
                <w:rFonts w:ascii="Arial" w:cs="Arial" w:eastAsia="Arial" w:hAnsi="Arial"/>
                <w:sz w:val="16"/>
                <w:szCs w:val="16"/>
                <w:b w:val="1"/>
                <w:bCs w:val="1"/>
                <w:color w:val="auto"/>
              </w:rPr>
              <w:t>Fair</w:t>
            </w:r>
          </w:p>
        </w:tc>
      </w:tr>
      <w:tr>
        <w:trPr>
          <w:trHeight w:val="204"/>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Value</w:t>
            </w:r>
          </w:p>
        </w:tc>
        <w:tc>
          <w:tcPr>
            <w:tcW w:w="14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95"/>
              </w:rPr>
              <w:t>Gain</w:t>
            </w:r>
          </w:p>
        </w:tc>
        <w:tc>
          <w:tcPr>
            <w:tcW w:w="16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Value</w:t>
            </w:r>
          </w:p>
        </w:tc>
      </w:tr>
      <w:tr>
        <w:trPr>
          <w:trHeight w:val="220"/>
        </w:trPr>
        <w:tc>
          <w:tcPr>
            <w:tcW w:w="5540" w:type="dxa"/>
            <w:vAlign w:val="bottom"/>
            <w:gridSpan w:val="2"/>
            <w:shd w:val="clear" w:color="auto" w:fill="E5E5E5"/>
          </w:tcPr>
          <w:p>
            <w:pPr>
              <w:ind w:left="120"/>
              <w:spacing w:after="0" w:line="220" w:lineRule="exact"/>
              <w:rPr>
                <w:sz w:val="20"/>
                <w:szCs w:val="20"/>
                <w:color w:val="auto"/>
              </w:rPr>
            </w:pPr>
            <w:r>
              <w:rPr>
                <w:rFonts w:ascii="Arial" w:cs="Arial" w:eastAsia="Arial" w:hAnsi="Arial"/>
                <w:sz w:val="20"/>
                <w:szCs w:val="20"/>
                <w:color w:val="auto"/>
              </w:rPr>
              <w:t>Marketable securities:</w:t>
            </w: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r>
      <w:tr>
        <w:trPr>
          <w:trHeight w:val="229"/>
        </w:trPr>
        <w:tc>
          <w:tcPr>
            <w:tcW w:w="5540" w:type="dxa"/>
            <w:vAlign w:val="bottom"/>
            <w:gridSpan w:val="2"/>
          </w:tcPr>
          <w:p>
            <w:pPr>
              <w:ind w:left="360"/>
              <w:spacing w:after="0"/>
              <w:rPr>
                <w:sz w:val="20"/>
                <w:szCs w:val="20"/>
                <w:color w:val="auto"/>
              </w:rPr>
            </w:pPr>
            <w:r>
              <w:rPr>
                <w:rFonts w:ascii="Arial" w:cs="Arial" w:eastAsia="Arial" w:hAnsi="Arial"/>
                <w:sz w:val="20"/>
                <w:szCs w:val="20"/>
                <w:color w:val="auto"/>
              </w:rPr>
              <w:t>Corporate debt securities</w:t>
            </w:r>
            <w:r>
              <w:rPr>
                <w:rFonts w:ascii="Arial" w:cs="Arial" w:eastAsia="Arial" w:hAnsi="Arial"/>
                <w:sz w:val="9"/>
                <w:szCs w:val="9"/>
                <w:color w:val="auto"/>
              </w:rPr>
              <w:t>(1)</w:t>
            </w:r>
          </w:p>
        </w:tc>
        <w:tc>
          <w:tcPr>
            <w:tcW w:w="30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85,222</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373</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85,595</w:t>
            </w:r>
          </w:p>
        </w:tc>
      </w:tr>
      <w:tr>
        <w:trPr>
          <w:trHeight w:val="230"/>
        </w:trPr>
        <w:tc>
          <w:tcPr>
            <w:tcW w:w="5540" w:type="dxa"/>
            <w:vAlign w:val="bottom"/>
            <w:gridSpan w:val="2"/>
            <w:shd w:val="clear" w:color="auto" w:fill="E5E5E5"/>
          </w:tcPr>
          <w:p>
            <w:pPr>
              <w:ind w:left="360"/>
              <w:spacing w:after="0"/>
              <w:rPr>
                <w:sz w:val="20"/>
                <w:szCs w:val="20"/>
                <w:color w:val="auto"/>
              </w:rPr>
            </w:pPr>
            <w:r>
              <w:rPr>
                <w:rFonts w:ascii="Arial" w:cs="Arial" w:eastAsia="Arial" w:hAnsi="Arial"/>
                <w:sz w:val="20"/>
                <w:szCs w:val="20"/>
                <w:color w:val="auto"/>
              </w:rPr>
              <w:t>U.S. government debt securities</w:t>
            </w:r>
            <w:r>
              <w:rPr>
                <w:rFonts w:ascii="Arial" w:cs="Arial" w:eastAsia="Arial" w:hAnsi="Arial"/>
                <w:sz w:val="9"/>
                <w:szCs w:val="9"/>
                <w:color w:val="auto"/>
              </w:rPr>
              <w:t>(2)</w:t>
            </w: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tcBorders>
              <w:bottom w:val="single" w:sz="8" w:color="auto"/>
            </w:tcBorders>
            <w:shd w:val="clear" w:color="auto" w:fill="E5E5E5"/>
          </w:tcPr>
          <w:p>
            <w:pPr>
              <w:spacing w:after="0"/>
              <w:rPr>
                <w:sz w:val="20"/>
                <w:szCs w:val="20"/>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45,571</w:t>
            </w:r>
          </w:p>
        </w:tc>
        <w:tc>
          <w:tcPr>
            <w:tcW w:w="1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spacing w:after="0"/>
              <w:rPr>
                <w:sz w:val="20"/>
                <w:szCs w:val="20"/>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237</w:t>
            </w: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20"/>
                <w:szCs w:val="20"/>
                <w:color w:val="auto"/>
              </w:rPr>
              <w:t>—</w:t>
            </w: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tcBorders>
              <w:bottom w:val="single" w:sz="8" w:color="auto"/>
            </w:tcBorders>
            <w:shd w:val="clear" w:color="auto" w:fill="E5E5E5"/>
          </w:tcPr>
          <w:p>
            <w:pPr>
              <w:spacing w:after="0"/>
              <w:rPr>
                <w:sz w:val="20"/>
                <w:szCs w:val="20"/>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45,808</w:t>
            </w:r>
          </w:p>
        </w:tc>
      </w:tr>
      <w:tr>
        <w:trPr>
          <w:trHeight w:val="253"/>
        </w:trPr>
        <w:tc>
          <w:tcPr>
            <w:tcW w:w="5540" w:type="dxa"/>
            <w:vAlign w:val="bottom"/>
            <w:gridSpan w:val="2"/>
          </w:tcPr>
          <w:p>
            <w:pPr>
              <w:ind w:left="120"/>
              <w:spacing w:after="0"/>
              <w:rPr>
                <w:sz w:val="20"/>
                <w:szCs w:val="20"/>
                <w:color w:val="auto"/>
              </w:rPr>
            </w:pPr>
            <w:r>
              <w:rPr>
                <w:rFonts w:ascii="Arial" w:cs="Arial" w:eastAsia="Arial" w:hAnsi="Arial"/>
                <w:sz w:val="20"/>
                <w:szCs w:val="20"/>
                <w:color w:val="auto"/>
              </w:rPr>
              <w:t>Total marketable securities</w:t>
            </w:r>
          </w:p>
        </w:tc>
        <w:tc>
          <w:tcPr>
            <w:tcW w:w="30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1"/>
              </w:rPr>
              <w:t>130,793</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610</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ind w:left="460"/>
              <w:spacing w:after="0"/>
              <w:rPr>
                <w:sz w:val="20"/>
                <w:szCs w:val="20"/>
                <w:color w:val="auto"/>
              </w:rPr>
            </w:pPr>
            <w:r>
              <w:rPr>
                <w:rFonts w:ascii="Arial" w:cs="Arial" w:eastAsia="Arial" w:hAnsi="Arial"/>
                <w:sz w:val="20"/>
                <w:szCs w:val="20"/>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1"/>
              </w:rPr>
              <w:t>131,403</w:t>
            </w:r>
          </w:p>
        </w:tc>
      </w:tr>
      <w:tr>
        <w:trPr>
          <w:trHeight w:val="135"/>
        </w:trPr>
        <w:tc>
          <w:tcPr>
            <w:tcW w:w="2440" w:type="dxa"/>
            <w:vAlign w:val="bottom"/>
            <w:tcBorders>
              <w:bottom w:val="single" w:sz="8" w:color="auto"/>
            </w:tcBorders>
          </w:tcPr>
          <w:p>
            <w:pPr>
              <w:spacing w:after="0"/>
              <w:rPr>
                <w:sz w:val="11"/>
                <w:szCs w:val="11"/>
                <w:color w:val="auto"/>
              </w:rPr>
            </w:pPr>
          </w:p>
        </w:tc>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bl>
    <w:p>
      <w:pPr>
        <w:spacing w:after="0" w:line="32" w:lineRule="exact"/>
        <w:rPr>
          <w:sz w:val="20"/>
          <w:szCs w:val="20"/>
          <w:color w:val="auto"/>
        </w:rPr>
      </w:pPr>
    </w:p>
    <w:p>
      <w:pPr>
        <w:ind w:left="360" w:hanging="353"/>
        <w:spacing w:after="0"/>
        <w:tabs>
          <w:tab w:leader="none" w:pos="3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Included in Corporate debt securities is $45.4 million with maturity dates between one and three years.</w:t>
      </w:r>
    </w:p>
    <w:p>
      <w:pPr>
        <w:spacing w:after="0" w:line="28" w:lineRule="exact"/>
        <w:rPr>
          <w:rFonts w:ascii="Arial" w:cs="Arial" w:eastAsia="Arial" w:hAnsi="Arial"/>
          <w:sz w:val="20"/>
          <w:szCs w:val="20"/>
          <w:color w:val="auto"/>
        </w:rPr>
      </w:pPr>
    </w:p>
    <w:p>
      <w:pPr>
        <w:ind w:left="360" w:hanging="353"/>
        <w:spacing w:after="0"/>
        <w:tabs>
          <w:tab w:leader="none" w:pos="3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Included in U.S. government debt securities is $15.2 million with maturity dates between one and three years.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6"/>
                <w:szCs w:val="16"/>
                <w:b w:val="1"/>
                <w:bCs w:val="1"/>
                <w:color w:val="auto"/>
                <w:w w:val="98"/>
              </w:rPr>
              <w:t>December 31, 2024</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5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87"/>
              <w:spacing w:after="0" w:line="154" w:lineRule="exact"/>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40"/>
              <w:spacing w:after="0" w:line="154" w:lineRule="exact"/>
              <w:rPr>
                <w:sz w:val="20"/>
                <w:szCs w:val="20"/>
                <w:color w:val="auto"/>
              </w:rPr>
            </w:pPr>
            <w:r>
              <w:rPr>
                <w:rFonts w:ascii="Arial" w:cs="Arial" w:eastAsia="Arial" w:hAnsi="Arial"/>
                <w:sz w:val="16"/>
                <w:szCs w:val="16"/>
                <w:b w:val="1"/>
                <w:bCs w:val="1"/>
                <w:color w:val="auto"/>
                <w:w w:val="86"/>
              </w:rPr>
              <w:t>Gross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70"/>
              <w:spacing w:after="0"/>
              <w:rPr>
                <w:sz w:val="20"/>
                <w:szCs w:val="20"/>
                <w:color w:val="auto"/>
              </w:rPr>
            </w:pPr>
            <w:r>
              <w:rPr>
                <w:rFonts w:ascii="Arial" w:cs="Arial" w:eastAsia="Arial" w:hAnsi="Arial"/>
                <w:sz w:val="16"/>
                <w:szCs w:val="16"/>
                <w:b w:val="1"/>
                <w:bCs w:val="1"/>
                <w:color w:val="auto"/>
              </w:rPr>
              <w:t>Book</w:t>
            </w:r>
          </w:p>
        </w:tc>
        <w:tc>
          <w:tcPr>
            <w:tcW w:w="1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Unrealized</w:t>
            </w:r>
          </w:p>
        </w:tc>
        <w:tc>
          <w:tcPr>
            <w:tcW w:w="860" w:type="dxa"/>
            <w:vAlign w:val="bottom"/>
          </w:tcPr>
          <w:p>
            <w:pPr>
              <w:jc w:val="right"/>
              <w:ind w:right="206"/>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7"/>
                <w:szCs w:val="17"/>
                <w:color w:val="auto"/>
              </w:rPr>
            </w:pPr>
          </w:p>
        </w:tc>
        <w:tc>
          <w:tcPr>
            <w:tcW w:w="860" w:type="dxa"/>
            <w:vAlign w:val="bottom"/>
          </w:tcPr>
          <w:p>
            <w:pPr>
              <w:jc w:val="right"/>
              <w:ind w:right="15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ind w:right="67"/>
              <w:spacing w:after="0"/>
              <w:rPr>
                <w:sz w:val="20"/>
                <w:szCs w:val="20"/>
                <w:color w:val="auto"/>
              </w:rPr>
            </w:pPr>
            <w:r>
              <w:rPr>
                <w:rFonts w:ascii="Arial" w:cs="Arial" w:eastAsia="Arial" w:hAnsi="Arial"/>
                <w:sz w:val="16"/>
                <w:szCs w:val="16"/>
                <w:b w:val="1"/>
                <w:bCs w:val="1"/>
                <w:color w:val="auto"/>
                <w:w w:val="95"/>
              </w:rPr>
              <w:t>Gain</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Loss</w:t>
            </w:r>
          </w:p>
        </w:tc>
        <w:tc>
          <w:tcPr>
            <w:tcW w:w="860" w:type="dxa"/>
            <w:vAlign w:val="bottom"/>
          </w:tcPr>
          <w:p>
            <w:pPr>
              <w:jc w:val="right"/>
              <w:ind w:right="146"/>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0"/>
        </w:trPr>
        <w:tc>
          <w:tcPr>
            <w:tcW w:w="5540" w:type="dxa"/>
            <w:vAlign w:val="bottom"/>
            <w:tcBorders>
              <w:top w:val="single" w:sz="8" w:color="auto"/>
            </w:tcBorders>
            <w:shd w:val="clear" w:color="auto" w:fill="E5E5E5"/>
          </w:tcPr>
          <w:p>
            <w:pPr>
              <w:ind w:left="120"/>
              <w:spacing w:after="0" w:line="220" w:lineRule="exact"/>
              <w:rPr>
                <w:sz w:val="20"/>
                <w:szCs w:val="20"/>
                <w:color w:val="auto"/>
              </w:rPr>
            </w:pPr>
            <w:r>
              <w:rPr>
                <w:rFonts w:ascii="Arial" w:cs="Arial" w:eastAsia="Arial" w:hAnsi="Arial"/>
                <w:sz w:val="20"/>
                <w:szCs w:val="20"/>
                <w:color w:val="auto"/>
              </w:rPr>
              <w:t>Marketable securities:</w:t>
            </w:r>
          </w:p>
        </w:tc>
        <w:tc>
          <w:tcPr>
            <w:tcW w:w="180" w:type="dxa"/>
            <w:vAlign w:val="bottom"/>
            <w:tcBorders>
              <w:top w:val="single" w:sz="8" w:color="E5E5E5"/>
              <w:right w:val="single" w:sz="8" w:color="E5E5E5"/>
            </w:tcBorders>
            <w:shd w:val="clear" w:color="auto" w:fill="E5E5E5"/>
          </w:tcPr>
          <w:p>
            <w:pPr>
              <w:spacing w:after="0"/>
              <w:rPr>
                <w:sz w:val="19"/>
                <w:szCs w:val="19"/>
                <w:color w:val="auto"/>
              </w:rPr>
            </w:pPr>
          </w:p>
        </w:tc>
        <w:tc>
          <w:tcPr>
            <w:tcW w:w="860" w:type="dxa"/>
            <w:vAlign w:val="bottom"/>
            <w:tcBorders>
              <w:top w:val="single" w:sz="8" w:color="auto"/>
            </w:tcBorders>
            <w:shd w:val="clear" w:color="auto" w:fill="E5E5E5"/>
          </w:tcPr>
          <w:p>
            <w:pPr>
              <w:spacing w:after="0"/>
              <w:rPr>
                <w:sz w:val="19"/>
                <w:szCs w:val="19"/>
                <w:color w:val="auto"/>
              </w:rPr>
            </w:pPr>
          </w:p>
        </w:tc>
        <w:tc>
          <w:tcPr>
            <w:tcW w:w="160" w:type="dxa"/>
            <w:vAlign w:val="bottom"/>
            <w:tcBorders>
              <w:top w:val="single" w:sz="8" w:color="E5E5E5"/>
              <w:right w:val="single" w:sz="8" w:color="E5E5E5"/>
            </w:tcBorders>
            <w:shd w:val="clear" w:color="auto" w:fill="E5E5E5"/>
          </w:tcPr>
          <w:p>
            <w:pPr>
              <w:spacing w:after="0"/>
              <w:rPr>
                <w:sz w:val="19"/>
                <w:szCs w:val="19"/>
                <w:color w:val="auto"/>
              </w:rPr>
            </w:pPr>
          </w:p>
        </w:tc>
        <w:tc>
          <w:tcPr>
            <w:tcW w:w="180" w:type="dxa"/>
            <w:vAlign w:val="bottom"/>
            <w:tcBorders>
              <w:top w:val="single" w:sz="8" w:color="auto"/>
            </w:tcBorders>
            <w:shd w:val="clear" w:color="auto" w:fill="E5E5E5"/>
          </w:tcPr>
          <w:p>
            <w:pPr>
              <w:spacing w:after="0"/>
              <w:rPr>
                <w:sz w:val="19"/>
                <w:szCs w:val="19"/>
                <w:color w:val="auto"/>
              </w:rPr>
            </w:pPr>
          </w:p>
        </w:tc>
        <w:tc>
          <w:tcPr>
            <w:tcW w:w="700" w:type="dxa"/>
            <w:vAlign w:val="bottom"/>
            <w:tcBorders>
              <w:top w:val="single" w:sz="8" w:color="auto"/>
            </w:tcBorders>
            <w:shd w:val="clear" w:color="auto" w:fill="E5E5E5"/>
          </w:tcPr>
          <w:p>
            <w:pPr>
              <w:spacing w:after="0"/>
              <w:rPr>
                <w:sz w:val="19"/>
                <w:szCs w:val="19"/>
                <w:color w:val="auto"/>
              </w:rPr>
            </w:pPr>
          </w:p>
        </w:tc>
        <w:tc>
          <w:tcPr>
            <w:tcW w:w="180" w:type="dxa"/>
            <w:vAlign w:val="bottom"/>
            <w:tcBorders>
              <w:top w:val="single" w:sz="8" w:color="E5E5E5"/>
              <w:right w:val="single" w:sz="8" w:color="E5E5E5"/>
            </w:tcBorders>
            <w:shd w:val="clear" w:color="auto" w:fill="E5E5E5"/>
          </w:tcPr>
          <w:p>
            <w:pPr>
              <w:spacing w:after="0"/>
              <w:rPr>
                <w:sz w:val="19"/>
                <w:szCs w:val="19"/>
                <w:color w:val="auto"/>
              </w:rPr>
            </w:pPr>
          </w:p>
        </w:tc>
        <w:tc>
          <w:tcPr>
            <w:tcW w:w="160" w:type="dxa"/>
            <w:vAlign w:val="bottom"/>
            <w:tcBorders>
              <w:top w:val="single" w:sz="8" w:color="auto"/>
            </w:tcBorders>
            <w:shd w:val="clear" w:color="auto" w:fill="E5E5E5"/>
          </w:tcPr>
          <w:p>
            <w:pPr>
              <w:spacing w:after="0"/>
              <w:rPr>
                <w:sz w:val="19"/>
                <w:szCs w:val="19"/>
                <w:color w:val="auto"/>
              </w:rPr>
            </w:pPr>
          </w:p>
        </w:tc>
        <w:tc>
          <w:tcPr>
            <w:tcW w:w="720" w:type="dxa"/>
            <w:vAlign w:val="bottom"/>
            <w:tcBorders>
              <w:top w:val="single" w:sz="8" w:color="auto"/>
            </w:tcBorders>
            <w:shd w:val="clear" w:color="auto" w:fill="E5E5E5"/>
          </w:tcPr>
          <w:p>
            <w:pPr>
              <w:spacing w:after="0"/>
              <w:rPr>
                <w:sz w:val="19"/>
                <w:szCs w:val="19"/>
                <w:color w:val="auto"/>
              </w:rPr>
            </w:pPr>
          </w:p>
        </w:tc>
        <w:tc>
          <w:tcPr>
            <w:tcW w:w="180" w:type="dxa"/>
            <w:vAlign w:val="bottom"/>
            <w:tcBorders>
              <w:top w:val="single" w:sz="8" w:color="E5E5E5"/>
              <w:right w:val="single" w:sz="8" w:color="E5E5E5"/>
            </w:tcBorders>
            <w:shd w:val="clear" w:color="auto" w:fill="E5E5E5"/>
          </w:tcPr>
          <w:p>
            <w:pPr>
              <w:spacing w:after="0"/>
              <w:rPr>
                <w:sz w:val="19"/>
                <w:szCs w:val="19"/>
                <w:color w:val="auto"/>
              </w:rPr>
            </w:pPr>
          </w:p>
        </w:tc>
        <w:tc>
          <w:tcPr>
            <w:tcW w:w="860" w:type="dxa"/>
            <w:vAlign w:val="bottom"/>
            <w:tcBorders>
              <w:top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20"/>
                <w:szCs w:val="20"/>
                <w:color w:val="auto"/>
              </w:rPr>
              <w:t>Corporate debt securities</w:t>
            </w:r>
            <w:r>
              <w:rPr>
                <w:rFonts w:ascii="Arial" w:cs="Arial" w:eastAsia="Arial" w:hAnsi="Arial"/>
                <w:sz w:val="9"/>
                <w:szCs w:val="9"/>
                <w:color w:val="auto"/>
              </w:rPr>
              <w:t>(1)</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$ 105,154</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192</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20"/>
                <w:szCs w:val="20"/>
                <w:color w:val="auto"/>
              </w:rPr>
              <w:t>(156)</w:t>
            </w:r>
          </w:p>
        </w:tc>
        <w:tc>
          <w:tcPr>
            <w:tcW w:w="860" w:type="dxa"/>
            <w:vAlign w:val="bottom"/>
          </w:tcPr>
          <w:p>
            <w:pPr>
              <w:jc w:val="right"/>
              <w:spacing w:after="0"/>
              <w:rPr>
                <w:sz w:val="20"/>
                <w:szCs w:val="20"/>
                <w:color w:val="auto"/>
              </w:rPr>
            </w:pPr>
            <w:r>
              <w:rPr>
                <w:rFonts w:ascii="Arial" w:cs="Arial" w:eastAsia="Arial" w:hAnsi="Arial"/>
                <w:sz w:val="20"/>
                <w:szCs w:val="20"/>
                <w:color w:val="auto"/>
                <w:w w:val="87"/>
              </w:rPr>
              <w:t>$ 105,190</w:t>
            </w:r>
          </w:p>
        </w:tc>
        <w:tc>
          <w:tcPr>
            <w:tcW w:w="0" w:type="dxa"/>
            <w:vAlign w:val="bottom"/>
          </w:tcPr>
          <w:p>
            <w:pPr>
              <w:spacing w:after="0"/>
              <w:rPr>
                <w:sz w:val="1"/>
                <w:szCs w:val="1"/>
                <w:color w:val="auto"/>
              </w:rPr>
            </w:pPr>
          </w:p>
        </w:tc>
      </w:tr>
      <w:tr>
        <w:trPr>
          <w:trHeight w:val="229"/>
        </w:trPr>
        <w:tc>
          <w:tcPr>
            <w:tcW w:w="5540" w:type="dxa"/>
            <w:vAlign w:val="bottom"/>
            <w:shd w:val="clear" w:color="auto" w:fill="E5E5E5"/>
          </w:tcPr>
          <w:p>
            <w:pPr>
              <w:ind w:left="360"/>
              <w:spacing w:after="0"/>
              <w:rPr>
                <w:sz w:val="20"/>
                <w:szCs w:val="20"/>
                <w:color w:val="auto"/>
              </w:rPr>
            </w:pPr>
            <w:r>
              <w:rPr>
                <w:rFonts w:ascii="Arial" w:cs="Arial" w:eastAsia="Arial" w:hAnsi="Arial"/>
                <w:sz w:val="20"/>
                <w:szCs w:val="20"/>
                <w:color w:val="auto"/>
              </w:rPr>
              <w:t>Commercial paper</w:t>
            </w:r>
          </w:p>
        </w:tc>
        <w:tc>
          <w:tcPr>
            <w:tcW w:w="104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4,720</w:t>
            </w:r>
          </w:p>
        </w:tc>
        <w:tc>
          <w:tcPr>
            <w:tcW w:w="160" w:type="dxa"/>
            <w:vAlign w:val="bottom"/>
            <w:tcBorders>
              <w:right w:val="single" w:sz="8" w:color="E5E5E5"/>
            </w:tcBorders>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right w:val="single" w:sz="8" w:color="E5E5E5"/>
            </w:tcBorders>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00" w:type="dxa"/>
            <w:vAlign w:val="bottom"/>
            <w:tcBorders>
              <w:right w:val="single" w:sz="8" w:color="E5E5E5"/>
            </w:tcBorders>
            <w:gridSpan w:val="2"/>
            <w:shd w:val="clear" w:color="auto" w:fill="E5E5E5"/>
          </w:tcPr>
          <w:p>
            <w:pPr>
              <w:jc w:val="right"/>
              <w:ind w:right="180"/>
              <w:spacing w:after="0"/>
              <w:rPr>
                <w:sz w:val="20"/>
                <w:szCs w:val="20"/>
                <w:color w:val="auto"/>
              </w:rPr>
            </w:pPr>
            <w:r>
              <w:rPr>
                <w:rFonts w:ascii="Arial" w:cs="Arial" w:eastAsia="Arial" w:hAnsi="Arial"/>
                <w:sz w:val="20"/>
                <w:szCs w:val="20"/>
                <w:color w:val="auto"/>
              </w:rPr>
              <w:t>(1)</w:t>
            </w: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4,719</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20"/>
                <w:szCs w:val="20"/>
                <w:color w:val="auto"/>
              </w:rPr>
              <w:t>Foreign government agency debt securities</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4,911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4,927</w:t>
            </w:r>
          </w:p>
        </w:tc>
        <w:tc>
          <w:tcPr>
            <w:tcW w:w="0" w:type="dxa"/>
            <w:vAlign w:val="bottom"/>
          </w:tcPr>
          <w:p>
            <w:pPr>
              <w:spacing w:after="0"/>
              <w:rPr>
                <w:sz w:val="1"/>
                <w:szCs w:val="1"/>
                <w:color w:val="auto"/>
              </w:rPr>
            </w:pPr>
          </w:p>
        </w:tc>
      </w:tr>
      <w:tr>
        <w:trPr>
          <w:trHeight w:val="229"/>
        </w:trPr>
        <w:tc>
          <w:tcPr>
            <w:tcW w:w="5540" w:type="dxa"/>
            <w:vAlign w:val="bottom"/>
            <w:shd w:val="clear" w:color="auto" w:fill="E5E5E5"/>
          </w:tcPr>
          <w:p>
            <w:pPr>
              <w:ind w:left="360"/>
              <w:spacing w:after="0"/>
              <w:rPr>
                <w:sz w:val="20"/>
                <w:szCs w:val="20"/>
                <w:color w:val="auto"/>
              </w:rPr>
            </w:pPr>
            <w:r>
              <w:rPr>
                <w:rFonts w:ascii="Arial" w:cs="Arial" w:eastAsia="Arial" w:hAnsi="Arial"/>
                <w:sz w:val="20"/>
                <w:szCs w:val="20"/>
                <w:color w:val="auto"/>
              </w:rPr>
              <w:t>U.S. government and government agency debt securities</w:t>
            </w:r>
            <w:r>
              <w:rPr>
                <w:rFonts w:ascii="Arial" w:cs="Arial" w:eastAsia="Arial" w:hAnsi="Arial"/>
                <w:sz w:val="9"/>
                <w:szCs w:val="9"/>
                <w:color w:val="auto"/>
              </w:rPr>
              <w:t>(2)</w:t>
            </w:r>
          </w:p>
        </w:tc>
        <w:tc>
          <w:tcPr>
            <w:tcW w:w="180" w:type="dxa"/>
            <w:vAlign w:val="bottom"/>
            <w:tcBorders>
              <w:right w:val="single" w:sz="8" w:color="E5E5E5"/>
            </w:tcBorders>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64,454</w:t>
            </w:r>
          </w:p>
        </w:tc>
        <w:tc>
          <w:tcPr>
            <w:tcW w:w="160" w:type="dxa"/>
            <w:vAlign w:val="bottom"/>
            <w:tcBorders>
              <w:right w:val="single" w:sz="8" w:color="E5E5E5"/>
            </w:tcBorders>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47</w:t>
            </w:r>
          </w:p>
        </w:tc>
        <w:tc>
          <w:tcPr>
            <w:tcW w:w="180" w:type="dxa"/>
            <w:vAlign w:val="bottom"/>
            <w:tcBorders>
              <w:right w:val="single" w:sz="8" w:color="E5E5E5"/>
            </w:tcBorders>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00" w:type="dxa"/>
            <w:vAlign w:val="bottom"/>
            <w:tcBorders>
              <w:right w:val="single" w:sz="8" w:color="E5E5E5"/>
            </w:tcBorders>
            <w:gridSpan w:val="2"/>
            <w:shd w:val="clear" w:color="auto" w:fill="E5E5E5"/>
          </w:tcPr>
          <w:p>
            <w:pPr>
              <w:jc w:val="right"/>
              <w:ind w:right="180"/>
              <w:spacing w:after="0"/>
              <w:rPr>
                <w:sz w:val="20"/>
                <w:szCs w:val="20"/>
                <w:color w:val="auto"/>
              </w:rPr>
            </w:pPr>
            <w:r>
              <w:rPr>
                <w:rFonts w:ascii="Arial" w:cs="Arial" w:eastAsia="Arial" w:hAnsi="Arial"/>
                <w:sz w:val="20"/>
                <w:szCs w:val="20"/>
                <w:color w:val="auto"/>
              </w:rPr>
              <w:t>(11)</w:t>
            </w: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64,490</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20"/>
              <w:spacing w:after="0"/>
              <w:rPr>
                <w:sz w:val="20"/>
                <w:szCs w:val="20"/>
                <w:color w:val="auto"/>
              </w:rPr>
            </w:pPr>
            <w:r>
              <w:rPr>
                <w:rFonts w:ascii="Arial" w:cs="Arial" w:eastAsia="Arial" w:hAnsi="Arial"/>
                <w:sz w:val="20"/>
                <w:szCs w:val="20"/>
                <w:color w:val="auto"/>
              </w:rPr>
              <w:t>Total marketable securities</w:t>
            </w: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5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87"/>
              </w:rPr>
              <w:t>$ 179,239</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255</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20"/>
                <w:szCs w:val="20"/>
                <w:color w:val="auto"/>
              </w:rPr>
              <w:t>(168)</w:t>
            </w:r>
          </w:p>
        </w:tc>
        <w:tc>
          <w:tcPr>
            <w:tcW w:w="860" w:type="dxa"/>
            <w:vAlign w:val="bottom"/>
          </w:tcPr>
          <w:p>
            <w:pPr>
              <w:jc w:val="right"/>
              <w:spacing w:after="0"/>
              <w:rPr>
                <w:sz w:val="20"/>
                <w:szCs w:val="20"/>
                <w:color w:val="auto"/>
              </w:rPr>
            </w:pPr>
            <w:r>
              <w:rPr>
                <w:rFonts w:ascii="Arial" w:cs="Arial" w:eastAsia="Arial" w:hAnsi="Arial"/>
                <w:sz w:val="20"/>
                <w:szCs w:val="20"/>
                <w:color w:val="auto"/>
                <w:w w:val="87"/>
              </w:rPr>
              <w:t>$ 179,326</w:t>
            </w:r>
          </w:p>
        </w:tc>
        <w:tc>
          <w:tcPr>
            <w:tcW w:w="0" w:type="dxa"/>
            <w:vAlign w:val="bottom"/>
          </w:tcPr>
          <w:p>
            <w:pPr>
              <w:spacing w:after="0"/>
              <w:rPr>
                <w:sz w:val="1"/>
                <w:szCs w:val="1"/>
                <w:color w:val="auto"/>
              </w:rPr>
            </w:pPr>
          </w:p>
        </w:tc>
      </w:tr>
      <w:tr>
        <w:trPr>
          <w:trHeight w:val="29"/>
        </w:trPr>
        <w:tc>
          <w:tcPr>
            <w:tcW w:w="55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ind w:left="360" w:hanging="353"/>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Included in Corporate debt securities is $59.8 million with maturity dates between one and three years.</w:t>
      </w:r>
    </w:p>
    <w:p>
      <w:pPr>
        <w:spacing w:after="0" w:line="28" w:lineRule="exact"/>
        <w:rPr>
          <w:rFonts w:ascii="Arial" w:cs="Arial" w:eastAsia="Arial" w:hAnsi="Arial"/>
          <w:sz w:val="20"/>
          <w:szCs w:val="20"/>
          <w:color w:val="auto"/>
        </w:rPr>
      </w:pPr>
    </w:p>
    <w:p>
      <w:pPr>
        <w:ind w:left="360" w:hanging="353"/>
        <w:spacing w:after="0" w:line="248" w:lineRule="auto"/>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Included in U.S. government and government agency debt securities is $30.5 million with maturity dates between one and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Accrued Expenses</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Accrued expenses consisted of the following:</w:t>
      </w:r>
    </w:p>
    <w:p>
      <w:pPr>
        <w:spacing w:after="0" w:line="250"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86"/>
              </w:rPr>
              <w:t>December 31,</w:t>
            </w:r>
          </w:p>
        </w:tc>
      </w:tr>
      <w:tr>
        <w:trPr>
          <w:trHeight w:val="203"/>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2024</w:t>
            </w:r>
          </w:p>
        </w:tc>
      </w:tr>
      <w:tr>
        <w:trPr>
          <w:trHeight w:val="220"/>
        </w:trPr>
        <w:tc>
          <w:tcPr>
            <w:tcW w:w="5520" w:type="dxa"/>
            <w:vAlign w:val="bottom"/>
            <w:shd w:val="clear" w:color="auto" w:fill="E5E5E5"/>
          </w:tcPr>
          <w:p>
            <w:pPr>
              <w:ind w:left="360"/>
              <w:spacing w:after="0" w:line="220" w:lineRule="exact"/>
              <w:rPr>
                <w:sz w:val="20"/>
                <w:szCs w:val="20"/>
                <w:color w:val="auto"/>
              </w:rPr>
            </w:pPr>
            <w:r>
              <w:rPr>
                <w:rFonts w:ascii="Arial" w:cs="Arial" w:eastAsia="Arial" w:hAnsi="Arial"/>
                <w:sz w:val="20"/>
                <w:szCs w:val="20"/>
                <w:color w:val="auto"/>
              </w:rPr>
              <w:t>Employee compensation expenses</w:t>
            </w:r>
          </w:p>
        </w:tc>
        <w:tc>
          <w:tcPr>
            <w:tcW w:w="360" w:type="dxa"/>
            <w:vAlign w:val="bottom"/>
            <w:gridSpan w:val="3"/>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7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5,298</w:t>
            </w:r>
          </w:p>
        </w:tc>
        <w:tc>
          <w:tcPr>
            <w:tcW w:w="360" w:type="dxa"/>
            <w:vAlign w:val="bottom"/>
            <w:gridSpan w:val="3"/>
            <w:shd w:val="clear" w:color="auto" w:fill="E5E5E5"/>
          </w:tcPr>
          <w:p>
            <w:pPr>
              <w:jc w:val="right"/>
              <w:ind w:right="23"/>
              <w:spacing w:after="0" w:line="220" w:lineRule="exact"/>
              <w:rPr>
                <w:sz w:val="20"/>
                <w:szCs w:val="20"/>
                <w:color w:val="auto"/>
              </w:rPr>
            </w:pPr>
            <w:r>
              <w:rPr>
                <w:rFonts w:ascii="Arial" w:cs="Arial" w:eastAsia="Arial" w:hAnsi="Arial"/>
                <w:sz w:val="20"/>
                <w:szCs w:val="20"/>
                <w:color w:val="auto"/>
              </w:rPr>
              <w:t>$</w:t>
            </w:r>
          </w:p>
        </w:tc>
        <w:tc>
          <w:tcPr>
            <w:tcW w:w="7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4,979</w:t>
            </w:r>
          </w:p>
        </w:tc>
      </w:tr>
      <w:tr>
        <w:trPr>
          <w:trHeight w:val="230"/>
        </w:trPr>
        <w:tc>
          <w:tcPr>
            <w:tcW w:w="5520" w:type="dxa"/>
            <w:vAlign w:val="bottom"/>
          </w:tcPr>
          <w:p>
            <w:pPr>
              <w:ind w:left="360"/>
              <w:spacing w:after="0"/>
              <w:rPr>
                <w:sz w:val="20"/>
                <w:szCs w:val="20"/>
                <w:color w:val="auto"/>
              </w:rPr>
            </w:pPr>
            <w:r>
              <w:rPr>
                <w:rFonts w:ascii="Arial" w:cs="Arial" w:eastAsia="Arial" w:hAnsi="Arial"/>
                <w:sz w:val="20"/>
                <w:szCs w:val="20"/>
                <w:color w:val="auto"/>
              </w:rPr>
              <w:t>Research and development expenses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1,612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2,173</w:t>
            </w:r>
          </w:p>
        </w:tc>
      </w:tr>
      <w:tr>
        <w:trPr>
          <w:trHeight w:val="229"/>
        </w:trPr>
        <w:tc>
          <w:tcPr>
            <w:tcW w:w="55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Deferred transaction consideration</w:t>
            </w:r>
          </w:p>
        </w:tc>
        <w:tc>
          <w:tcPr>
            <w:tcW w:w="1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1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3,927</w:t>
            </w:r>
          </w:p>
        </w:tc>
      </w:tr>
      <w:tr>
        <w:trPr>
          <w:trHeight w:val="230"/>
        </w:trPr>
        <w:tc>
          <w:tcPr>
            <w:tcW w:w="5520" w:type="dxa"/>
            <w:vAlign w:val="bottom"/>
          </w:tcPr>
          <w:p>
            <w:pPr>
              <w:ind w:left="360"/>
              <w:spacing w:after="0"/>
              <w:rPr>
                <w:sz w:val="20"/>
                <w:szCs w:val="20"/>
                <w:color w:val="auto"/>
              </w:rPr>
            </w:pPr>
            <w:r>
              <w:rPr>
                <w:rFonts w:ascii="Arial" w:cs="Arial" w:eastAsia="Arial" w:hAnsi="Arial"/>
                <w:sz w:val="20"/>
                <w:szCs w:val="20"/>
                <w:color w:val="auto"/>
              </w:rPr>
              <w:t>Licensing expenses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1,377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8,645</w:t>
            </w:r>
          </w:p>
        </w:tc>
      </w:tr>
      <w:tr>
        <w:trPr>
          <w:trHeight w:val="230"/>
        </w:trPr>
        <w:tc>
          <w:tcPr>
            <w:tcW w:w="55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Other expenses</w:t>
            </w:r>
          </w:p>
        </w:tc>
        <w:tc>
          <w:tcPr>
            <w:tcW w:w="1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spacing w:after="0"/>
              <w:rPr>
                <w:sz w:val="20"/>
                <w:szCs w:val="20"/>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504</w:t>
            </w:r>
          </w:p>
        </w:tc>
        <w:tc>
          <w:tcPr>
            <w:tcW w:w="1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spacing w:after="0"/>
              <w:rPr>
                <w:sz w:val="20"/>
                <w:szCs w:val="20"/>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609</w:t>
            </w:r>
          </w:p>
        </w:tc>
      </w:tr>
      <w:tr>
        <w:trPr>
          <w:trHeight w:val="230"/>
        </w:trPr>
        <w:tc>
          <w:tcPr>
            <w:tcW w:w="5520" w:type="dxa"/>
            <w:vAlign w:val="bottom"/>
          </w:tcPr>
          <w:p>
            <w:pPr>
              <w:spacing w:after="0" w:line="221" w:lineRule="exact"/>
              <w:rPr>
                <w:sz w:val="20"/>
                <w:szCs w:val="20"/>
                <w:color w:val="auto"/>
              </w:rPr>
            </w:pPr>
            <w:r>
              <w:rPr>
                <w:rFonts w:ascii="Arial" w:cs="Arial" w:eastAsia="Arial" w:hAnsi="Arial"/>
                <w:sz w:val="20"/>
                <w:szCs w:val="20"/>
                <w:color w:val="auto"/>
              </w:rPr>
              <w:t>Total accrued expenses</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8,791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20,333</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Stockholders’ Equity</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Preferred Stock</w:t>
      </w:r>
    </w:p>
    <w:p>
      <w:pPr>
        <w:spacing w:after="0" w:line="211"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9"/>
          <w:szCs w:val="19"/>
          <w:color w:val="auto"/>
        </w:rPr>
        <w:t>As of December 31, 2025 and 2024, the Company’s amended and restated certificate of incorporation (as amended, the “Charter”) authorized the Company to issue 10,000,000 shares of undesignated preferred stock. There were no shares of preferred stock outstanding as of December 31, 2025 and 2024.</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Common Stock</w:t>
      </w:r>
    </w:p>
    <w:p>
      <w:pPr>
        <w:spacing w:after="0" w:line="211"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On June 5, 2025, at the 2025 Annual Meeting of Stockholders, the Company’s stockholders approved an amendment to the Charter to increase the authorized number of shares of common stock from 200,000,000 shares to 400,000,000 shares. On June 5, 2025, the Company filed a Certificate of Amendment to the Charter with the Secretary of State of the State of Delaware, which became effective upon filing.</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720"/>
          </w:cols>
          <w:pgMar w:left="1080" w:top="1177" w:right="1080" w:bottom="0" w:gutter="0" w:footer="0" w:header="0"/>
          <w:type w:val="continuous"/>
        </w:sectPr>
      </w:pPr>
    </w:p>
    <w:bookmarkStart w:id="98" w:name="page99"/>
    <w:bookmarkEnd w:id="98"/>
    <w:p>
      <w:pPr>
        <w:jc w:val="both"/>
        <w:ind w:firstLine="720"/>
        <w:spacing w:after="0" w:line="278" w:lineRule="auto"/>
        <w:rPr>
          <w:sz w:val="20"/>
          <w:szCs w:val="20"/>
          <w:color w:val="auto"/>
        </w:rPr>
      </w:pPr>
      <w:r>
        <w:rPr>
          <w:rFonts w:ascii="Arial" w:cs="Arial" w:eastAsia="Arial" w:hAnsi="Arial"/>
          <w:sz w:val="19"/>
          <w:szCs w:val="19"/>
          <w:color w:val="auto"/>
        </w:rPr>
        <w:t>As of December 31, 2025 and 2024, the Company’s Charter authorized the Company to issue 400,000,000 and 200,000,000 shares of $0.00001 par value common stock, respectively. There were 120,499,433 and 107,850,124 shares of common stock issued and outstanding as of December 31, 2025 and 2024, respectively.</w:t>
      </w:r>
    </w:p>
    <w:p>
      <w:pPr>
        <w:spacing w:after="0" w:line="161"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Each share of common stock entitles the holder to one vote on all matters submitted to a vote of the Company’s stockholders. Common stockholders are entitled to receive dividends, as may be declared by the board of directors, if any, subject to any preferential dividend rights of any series of preferred stock that may be outstanding. No dividends have been declared through December 31, 2025.</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Warrants</w:t>
      </w:r>
    </w:p>
    <w:p>
      <w:pPr>
        <w:spacing w:after="0" w:line="234"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In November 2024, the Company issued warrants to Biosion and Chia Tai Tianqing Pharmaceutical Group, Co., Ltd. (“CTTQ”) to purchase, in the aggregate, 14,281,985 shares of the Company’s common stock (the “Warrants”). The Warrants have an initial exercise price of $0.00001 per share, subject to adjustment as provided in the Warrants. The Warrants are immediately exercisable, subject to any applicable overseas direct investment filing that may be required for the holders. The Warrants will terminate when exercised in full. The Company classified the Warrants within equity because they are indexed to the Company’s own stock. The Company assigned an estimated fair value of $44.8 million to the Warrants, which was based on the fair value of the Company’s common stock on the date of issuance less the nominal exercise price of $0.00001 per share.</w:t>
      </w:r>
    </w:p>
    <w:p>
      <w:pPr>
        <w:spacing w:after="0" w:line="177"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In December 2025, Biosion exercised 11,281,985 Warrants. As of December 31, 2025, 3,000,000 Warrants remained unexercised.</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Private Placement</w:t>
      </w:r>
    </w:p>
    <w:p>
      <w:pPr>
        <w:spacing w:after="0" w:line="23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In November 2024, the Company closed a private placement in which it sold approximately 35.6 million shares of its common stock for aggregate gross proceeds of $80.0 million. The Company paid placement agent and other fees of $5.1 million in connection with the private placement.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Stock-Based Awards</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2025 Equity Incentive Plan</w:t>
      </w:r>
    </w:p>
    <w:p>
      <w:pPr>
        <w:spacing w:after="0" w:line="235"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In April 2025, the Company’s board of directors adopted the 2025 Equity Incentive Plan (the “2025 Plan”), and in June 2025, the Company’s stockholders approved the 2025 Plan. Upon the 2025 Plan becoming effective, no further grants can be made under the Company’s 2015 Equity Incentive Plan (the “2015 Plan”). The 2025 Plan provides for the grant of incentive stock options, nonqualified stock options, stock appreciation rights, restricted stock awards, RSU awards, cash-based awards, and other stock-based awards. The number of shares initially reserved for issuance under the 2025 Plan was 25,532,993 shares of common stock, which includes (i) 9,000,000 new shares of common stock,</w:t>
      </w:r>
    </w:p>
    <w:p>
      <w:pPr>
        <w:spacing w:after="0" w:line="1" w:lineRule="exact"/>
        <w:rPr>
          <w:sz w:val="20"/>
          <w:szCs w:val="20"/>
          <w:color w:val="auto"/>
        </w:rPr>
      </w:pPr>
    </w:p>
    <w:p>
      <w:pPr>
        <w:jc w:val="both"/>
        <w:ind w:firstLine="8"/>
        <w:spacing w:after="0" w:line="271" w:lineRule="auto"/>
        <w:tabs>
          <w:tab w:leader="none" w:pos="2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3,957,232 shares of common stock that remained available for future grant under the 2015 Plan upon adoption of the 2025 Plan and (iii) up to 12,575,761 shares of common stock underlying outstanding awards under the 2015 Plan and the former 2012 Equity Compensation Plan, which may become available for issuance under the 2025 Plan if and as such awards expire, are otherwise terminated, settled in cash, or repurchased by the Company. The shares of common stock underlying any awards that expire, or are otherwise terminated, settled in cash or repurchased by the Company under the 2025 Plan will be added back to the shares of common stock available for issuance under the 2025 Plan. As of December 31, 2025, 12,442,759 shares remained available for grant under the 2025 Plan. The Company had 1,007,910 stock options and 320,840 RSUs outstanding as of December 31, 2025 under the 2025 Plan.</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720"/>
          </w:cols>
          <w:pgMar w:left="1080" w:top="1177" w:right="1080" w:bottom="0" w:gutter="0" w:footer="0" w:header="0"/>
          <w:type w:val="continuous"/>
        </w:sectPr>
      </w:pPr>
    </w:p>
    <w:bookmarkStart w:id="99" w:name="page100"/>
    <w:bookmarkEnd w:id="99"/>
    <w:p>
      <w:pPr>
        <w:ind w:left="720"/>
        <w:spacing w:after="0"/>
        <w:rPr>
          <w:sz w:val="20"/>
          <w:szCs w:val="20"/>
          <w:color w:val="auto"/>
        </w:rPr>
      </w:pPr>
      <w:r>
        <w:rPr>
          <w:rFonts w:ascii="Arial" w:cs="Arial" w:eastAsia="Arial" w:hAnsi="Arial"/>
          <w:sz w:val="20"/>
          <w:szCs w:val="20"/>
          <w:b w:val="1"/>
          <w:bCs w:val="1"/>
          <w:color w:val="auto"/>
        </w:rPr>
        <w:t>2024 Inducement Plan</w:t>
      </w:r>
    </w:p>
    <w:p>
      <w:pPr>
        <w:spacing w:after="0" w:line="234"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In November 2024, the Company’s board of directors adopted the 2024 Inducement Plan (the “2024 Inducement Plan”). The 2024 Inducement Plan is a non-stockholder approved stock plan adopted pursuant to the “inducement exception” provided under Nasdaq listing rules. The only employees eligible to receive grants of awards under the 2024 Inducement Plan are individuals who satisfy the standards for inducement grants under Nasdaq rules, generally including individuals who were not previously an employee or director of the Company. Under the terms of the 2024 Inducement Plan, the Company may grant up to 2,000,000 shares of common stock pursuant to nonqualified stock options, stock appreciation rights, restricted stock awards, RSU awards, and other stock awards. The shares of common stock underlying any awards that expire, or are otherwise terminated, settled in cash or repurchased by the Company under the 2024 Inducement Plan will be added back to the shares of common stock available for issuance under the 2024 Inducement Plan. As of December 31, 2025, 493,500 shares remained available for grant under the 2024 Inducement Plan. The Company had 1,172,000 stock options and 302,500 RSUs outstanding as of December 31, 2025 under the 2024 Inducement Plan.</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2017 Inducement Plan</w:t>
      </w:r>
    </w:p>
    <w:p>
      <w:pPr>
        <w:spacing w:after="0" w:line="234"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In July 2017, the Company’s board of directors adopted the 2017 Inducement Plan (the “2017 Inducement Plan”). The 2017 Inducement Plan is a non-stockholder approved stock plan adopted pursuant to the “inducement exception” provided under Nasdaq listing rules. The Company had 325,000 stock options outstanding as of December 31, 2025 under the 2017 Inducement Plan. All shares of common stock that were eligible for issuance under the 2017 Inducement Plan after October 1, 2018, including any shares underlying any awards that expire or are otherwise terminated, reacquired to satisfy tax withholding obligations, settled in cash or repurchased by the Company in the future that would have been eligible for re-issuance under the 2017 Inducement Plan, were retired.</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2015 Equity Incentive Plan</w:t>
      </w:r>
    </w:p>
    <w:p>
      <w:pPr>
        <w:spacing w:after="0" w:line="235"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In September 2015, the Company’s board of directors adopted the 2015 Plan, and the Company’s stockholders approved the 2015 Plan. The 2015 Plan became effective in connection with the Company’s initial public offering in October 2015. Upon the 2025 Plan becoming effective, no further grants can be made under the 2015 Plan. The Company had 8,764,489 stock options and 2,179,891 RSUs outstanding as of December 31, 2025 under the 2015 Plan.</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Stock Option Valuation</w:t>
      </w:r>
    </w:p>
    <w:p>
      <w:pPr>
        <w:spacing w:after="0" w:line="234"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 weighted average assumptions the Company used to estimate the fair value of stock options granted during the years ended December 31, 2025 and 2024 were as follows:</w:t>
      </w:r>
    </w:p>
    <w:p>
      <w:pPr>
        <w:spacing w:after="0" w:line="385"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5920" w:type="dxa"/>
            <w:vAlign w:val="bottom"/>
          </w:tcPr>
          <w:p>
            <w:pPr>
              <w:spacing w:after="0"/>
              <w:rPr>
                <w:sz w:val="17"/>
                <w:szCs w:val="17"/>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December 31,</w:t>
            </w:r>
          </w:p>
        </w:tc>
      </w:tr>
      <w:tr>
        <w:trPr>
          <w:trHeight w:val="173"/>
        </w:trPr>
        <w:tc>
          <w:tcPr>
            <w:tcW w:w="5920" w:type="dxa"/>
            <w:vAlign w:val="bottom"/>
            <w:tcBorders>
              <w:bottom w:val="single" w:sz="8" w:color="E5E5E5"/>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89"/>
              <w:spacing w:after="0" w:line="173"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bottom w:val="single" w:sz="8" w:color="E5E5E5"/>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04"/>
              <w:spacing w:after="0" w:line="17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E5E5E5"/>
            </w:tcBorders>
          </w:tcPr>
          <w:p>
            <w:pPr>
              <w:spacing w:after="0"/>
              <w:rPr>
                <w:sz w:val="15"/>
                <w:szCs w:val="15"/>
                <w:color w:val="auto"/>
              </w:rPr>
            </w:pPr>
          </w:p>
        </w:tc>
      </w:tr>
      <w:tr>
        <w:trPr>
          <w:trHeight w:val="220"/>
        </w:trPr>
        <w:tc>
          <w:tcPr>
            <w:tcW w:w="59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Risk-free interest rate</w:t>
            </w:r>
          </w:p>
        </w:tc>
        <w:tc>
          <w:tcPr>
            <w:tcW w:w="960" w:type="dxa"/>
            <w:vAlign w:val="bottom"/>
            <w:gridSpan w:val="2"/>
            <w:shd w:val="clear" w:color="auto" w:fill="E5E5E5"/>
          </w:tcPr>
          <w:p>
            <w:pPr>
              <w:jc w:val="right"/>
              <w:ind w:right="80"/>
              <w:spacing w:after="0" w:line="220" w:lineRule="exact"/>
              <w:rPr>
                <w:sz w:val="20"/>
                <w:szCs w:val="20"/>
                <w:color w:val="auto"/>
              </w:rPr>
            </w:pPr>
            <w:r>
              <w:rPr>
                <w:rFonts w:ascii="Arial" w:cs="Arial" w:eastAsia="Arial" w:hAnsi="Arial"/>
                <w:sz w:val="20"/>
                <w:szCs w:val="20"/>
                <w:color w:val="auto"/>
              </w:rPr>
              <w:t>4.26 %</w:t>
            </w:r>
          </w:p>
        </w:tc>
        <w:tc>
          <w:tcPr>
            <w:tcW w:w="88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3.91 %</w:t>
            </w:r>
          </w:p>
        </w:tc>
      </w:tr>
      <w:tr>
        <w:trPr>
          <w:trHeight w:val="230"/>
        </w:trPr>
        <w:tc>
          <w:tcPr>
            <w:tcW w:w="5920" w:type="dxa"/>
            <w:vAlign w:val="bottom"/>
          </w:tcPr>
          <w:p>
            <w:pPr>
              <w:spacing w:after="0"/>
              <w:rPr>
                <w:sz w:val="20"/>
                <w:szCs w:val="20"/>
                <w:color w:val="auto"/>
              </w:rPr>
            </w:pPr>
            <w:r>
              <w:rPr>
                <w:rFonts w:ascii="Arial" w:cs="Arial" w:eastAsia="Arial" w:hAnsi="Arial"/>
                <w:sz w:val="20"/>
                <w:szCs w:val="20"/>
                <w:color w:val="auto"/>
              </w:rPr>
              <w:t>Expected term (in years)</w:t>
            </w:r>
          </w:p>
        </w:tc>
        <w:tc>
          <w:tcPr>
            <w:tcW w:w="700" w:type="dxa"/>
            <w:vAlign w:val="bottom"/>
          </w:tcPr>
          <w:p>
            <w:pPr>
              <w:jc w:val="right"/>
              <w:spacing w:after="0"/>
              <w:rPr>
                <w:sz w:val="20"/>
                <w:szCs w:val="20"/>
                <w:color w:val="auto"/>
              </w:rPr>
            </w:pPr>
            <w:r>
              <w:rPr>
                <w:rFonts w:ascii="Arial" w:cs="Arial" w:eastAsia="Arial" w:hAnsi="Arial"/>
                <w:sz w:val="20"/>
                <w:szCs w:val="20"/>
                <w:color w:val="auto"/>
              </w:rPr>
              <w:t>6.2</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6.0</w:t>
            </w:r>
          </w:p>
        </w:tc>
        <w:tc>
          <w:tcPr>
            <w:tcW w:w="160" w:type="dxa"/>
            <w:vAlign w:val="bottom"/>
          </w:tcPr>
          <w:p>
            <w:pPr>
              <w:spacing w:after="0"/>
              <w:rPr>
                <w:sz w:val="20"/>
                <w:szCs w:val="20"/>
                <w:color w:val="auto"/>
              </w:rPr>
            </w:pPr>
          </w:p>
        </w:tc>
      </w:tr>
      <w:tr>
        <w:trPr>
          <w:trHeight w:val="230"/>
        </w:trPr>
        <w:tc>
          <w:tcPr>
            <w:tcW w:w="5920" w:type="dxa"/>
            <w:vAlign w:val="bottom"/>
            <w:shd w:val="clear" w:color="auto" w:fill="E5E5E5"/>
          </w:tcPr>
          <w:p>
            <w:pPr>
              <w:spacing w:after="0"/>
              <w:rPr>
                <w:sz w:val="20"/>
                <w:szCs w:val="20"/>
                <w:color w:val="auto"/>
              </w:rPr>
            </w:pPr>
            <w:r>
              <w:rPr>
                <w:rFonts w:ascii="Arial" w:cs="Arial" w:eastAsia="Arial" w:hAnsi="Arial"/>
                <w:sz w:val="20"/>
                <w:szCs w:val="20"/>
                <w:color w:val="auto"/>
              </w:rPr>
              <w:t>Expected volatility</w:t>
            </w: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20"/>
                <w:szCs w:val="20"/>
                <w:color w:val="auto"/>
              </w:rPr>
              <w:t>82.79 %</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81.62 %</w:t>
            </w:r>
          </w:p>
        </w:tc>
      </w:tr>
      <w:tr>
        <w:trPr>
          <w:trHeight w:val="267"/>
        </w:trPr>
        <w:tc>
          <w:tcPr>
            <w:tcW w:w="5920" w:type="dxa"/>
            <w:vAlign w:val="bottom"/>
          </w:tcPr>
          <w:p>
            <w:pPr>
              <w:spacing w:after="0"/>
              <w:rPr>
                <w:sz w:val="20"/>
                <w:szCs w:val="20"/>
                <w:color w:val="auto"/>
              </w:rPr>
            </w:pPr>
            <w:r>
              <w:rPr>
                <w:rFonts w:ascii="Arial" w:cs="Arial" w:eastAsia="Arial" w:hAnsi="Arial"/>
                <w:sz w:val="20"/>
                <w:szCs w:val="20"/>
                <w:color w:val="auto"/>
              </w:rPr>
              <w:t>Expected dividend yield</w:t>
            </w:r>
          </w:p>
        </w:tc>
        <w:tc>
          <w:tcPr>
            <w:tcW w:w="960" w:type="dxa"/>
            <w:vAlign w:val="bottom"/>
            <w:gridSpan w:val="2"/>
          </w:tcPr>
          <w:p>
            <w:pPr>
              <w:jc w:val="right"/>
              <w:ind w:right="80"/>
              <w:spacing w:after="0"/>
              <w:rPr>
                <w:sz w:val="20"/>
                <w:szCs w:val="20"/>
                <w:color w:val="auto"/>
              </w:rPr>
            </w:pPr>
            <w:r>
              <w:rPr>
                <w:rFonts w:ascii="Arial" w:cs="Arial" w:eastAsia="Arial" w:hAnsi="Arial"/>
                <w:sz w:val="20"/>
                <w:szCs w:val="20"/>
                <w:color w:val="auto"/>
              </w:rPr>
              <w:t>0 %</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0 %</w:t>
            </w:r>
          </w:p>
        </w:tc>
      </w:tr>
    </w:tbl>
    <w:p>
      <w:pPr>
        <w:spacing w:after="0" w:line="17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The Company recognizes compensation expense for awards over their vesting period. Compensation expense for awards includes the impact of forfeitures in the period when they occur.</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720"/>
          </w:cols>
          <w:pgMar w:left="1080" w:top="1173" w:right="1080" w:bottom="0" w:gutter="0" w:footer="0" w:header="0"/>
          <w:type w:val="continuous"/>
        </w:sectPr>
      </w:pPr>
    </w:p>
    <w:bookmarkStart w:id="100" w:name="page101"/>
    <w:bookmarkEnd w:id="100"/>
    <w:p>
      <w:pPr>
        <w:ind w:left="720"/>
        <w:spacing w:after="0"/>
        <w:rPr>
          <w:sz w:val="20"/>
          <w:szCs w:val="20"/>
          <w:color w:val="auto"/>
        </w:rPr>
      </w:pPr>
      <w:r>
        <w:rPr>
          <w:rFonts w:ascii="Arial" w:cs="Arial" w:eastAsia="Arial" w:hAnsi="Arial"/>
          <w:sz w:val="20"/>
          <w:szCs w:val="20"/>
          <w:b w:val="1"/>
          <w:bCs w:val="1"/>
          <w:color w:val="auto"/>
        </w:rPr>
        <w:t>Stock Options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following table summarizes stock option activity for the years ended December 31,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4"/>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25"/>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184"/>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
              <w:spacing w:after="0"/>
              <w:rPr>
                <w:sz w:val="20"/>
                <w:szCs w:val="20"/>
                <w:color w:val="auto"/>
              </w:rPr>
            </w:pPr>
            <w:r>
              <w:rPr>
                <w:rFonts w:ascii="Arial" w:cs="Arial" w:eastAsia="Arial" w:hAnsi="Arial"/>
                <w:sz w:val="16"/>
                <w:szCs w:val="16"/>
                <w:b w:val="1"/>
                <w:bCs w:val="1"/>
                <w:color w:val="auto"/>
                <w:w w:val="88"/>
              </w:rPr>
              <w:t>Exercise</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5"/>
              <w:spacing w:after="0"/>
              <w:rPr>
                <w:sz w:val="20"/>
                <w:szCs w:val="20"/>
                <w:color w:val="auto"/>
              </w:rPr>
            </w:pPr>
            <w:r>
              <w:rPr>
                <w:rFonts w:ascii="Arial" w:cs="Arial" w:eastAsia="Arial" w:hAnsi="Arial"/>
                <w:sz w:val="16"/>
                <w:szCs w:val="16"/>
                <w:b w:val="1"/>
                <w:bCs w:val="1"/>
                <w:color w:val="auto"/>
                <w:w w:val="93"/>
              </w:rPr>
              <w:t>Intrinsic</w:t>
            </w: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(In thousands, except share and per share data and years)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of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center"/>
              <w:ind w:right="25"/>
              <w:spacing w:after="0"/>
              <w:rPr>
                <w:sz w:val="20"/>
                <w:szCs w:val="20"/>
                <w:color w:val="auto"/>
              </w:rPr>
            </w:pPr>
            <w:r>
              <w:rPr>
                <w:rFonts w:ascii="Arial" w:cs="Arial" w:eastAsia="Arial" w:hAnsi="Arial"/>
                <w:sz w:val="16"/>
                <w:szCs w:val="16"/>
                <w:b w:val="1"/>
                <w:bCs w:val="1"/>
                <w:color w:val="auto"/>
                <w:w w:val="91"/>
              </w:rPr>
              <w:t>Price</w:t>
            </w: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Term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ind w:right="5"/>
              <w:spacing w:after="0"/>
              <w:rPr>
                <w:sz w:val="20"/>
                <w:szCs w:val="20"/>
                <w:color w:val="auto"/>
              </w:rPr>
            </w:pPr>
            <w:r>
              <w:rPr>
                <w:rFonts w:ascii="Arial" w:cs="Arial" w:eastAsia="Arial" w:hAnsi="Arial"/>
                <w:sz w:val="16"/>
                <w:szCs w:val="16"/>
                <w:b w:val="1"/>
                <w:bCs w:val="1"/>
                <w:color w:val="auto"/>
                <w:w w:val="93"/>
              </w:rPr>
              <w:t>Value</w:t>
            </w:r>
          </w:p>
        </w:tc>
      </w:tr>
      <w:tr>
        <w:trPr>
          <w:trHeight w:val="174"/>
        </w:trPr>
        <w:tc>
          <w:tcPr>
            <w:tcW w:w="5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30"/>
        </w:trPr>
        <w:tc>
          <w:tcPr>
            <w:tcW w:w="5640" w:type="dxa"/>
            <w:vAlign w:val="bottom"/>
            <w:shd w:val="clear" w:color="auto" w:fill="E5E5E5"/>
          </w:tcPr>
          <w:p>
            <w:pPr>
              <w:spacing w:after="0"/>
              <w:rPr>
                <w:sz w:val="20"/>
                <w:szCs w:val="20"/>
                <w:color w:val="auto"/>
              </w:rPr>
            </w:pPr>
            <w:r>
              <w:rPr>
                <w:rFonts w:ascii="Arial" w:cs="Arial" w:eastAsia="Arial" w:hAnsi="Arial"/>
                <w:sz w:val="20"/>
                <w:szCs w:val="20"/>
                <w:color w:val="auto"/>
              </w:rPr>
              <w:t>Outstanding as of December 31, 2023</w:t>
            </w:r>
          </w:p>
        </w:tc>
        <w:tc>
          <w:tcPr>
            <w:tcW w:w="1160" w:type="dxa"/>
            <w:vAlign w:val="bottom"/>
            <w:gridSpan w:val="3"/>
            <w:shd w:val="clear" w:color="auto" w:fill="E5E5E5"/>
          </w:tcPr>
          <w:p>
            <w:pPr>
              <w:jc w:val="right"/>
              <w:spacing w:after="0"/>
              <w:rPr>
                <w:sz w:val="20"/>
                <w:szCs w:val="20"/>
                <w:color w:val="auto"/>
              </w:rPr>
            </w:pPr>
            <w:r>
              <w:rPr>
                <w:rFonts w:ascii="Arial" w:cs="Arial" w:eastAsia="Arial" w:hAnsi="Arial"/>
                <w:sz w:val="20"/>
                <w:szCs w:val="20"/>
                <w:color w:val="auto"/>
              </w:rPr>
              <w:t>6,419,455</w:t>
            </w:r>
          </w:p>
        </w:tc>
        <w:tc>
          <w:tcPr>
            <w:tcW w:w="80" w:type="dxa"/>
            <w:vAlign w:val="bottom"/>
            <w:shd w:val="clear" w:color="auto" w:fill="E5E5E5"/>
          </w:tcPr>
          <w:p>
            <w:pPr>
              <w:spacing w:after="0"/>
              <w:rPr>
                <w:sz w:val="20"/>
                <w:szCs w:val="20"/>
                <w:color w:val="auto"/>
              </w:rPr>
            </w:pP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15.94</w:t>
            </w: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7.1</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14</w:t>
            </w:r>
          </w:p>
        </w:tc>
      </w:tr>
      <w:tr>
        <w:trPr>
          <w:trHeight w:val="229"/>
        </w:trPr>
        <w:tc>
          <w:tcPr>
            <w:tcW w:w="5640" w:type="dxa"/>
            <w:vAlign w:val="bottom"/>
          </w:tcPr>
          <w:p>
            <w:pPr>
              <w:ind w:left="240"/>
              <w:spacing w:after="0"/>
              <w:rPr>
                <w:sz w:val="20"/>
                <w:szCs w:val="20"/>
                <w:color w:val="auto"/>
              </w:rPr>
            </w:pPr>
            <w:r>
              <w:rPr>
                <w:rFonts w:ascii="Arial" w:cs="Arial" w:eastAsia="Arial" w:hAnsi="Arial"/>
                <w:sz w:val="20"/>
                <w:szCs w:val="20"/>
                <w:color w:val="auto"/>
              </w:rPr>
              <w:t>Granted</w:t>
            </w: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2,608,700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1.86</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56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Exercised</w:t>
            </w:r>
          </w:p>
        </w:tc>
        <w:tc>
          <w:tcPr>
            <w:tcW w:w="1240" w:type="dxa"/>
            <w:vAlign w:val="bottom"/>
            <w:gridSpan w:val="4"/>
            <w:shd w:val="clear" w:color="auto" w:fill="E5E5E5"/>
          </w:tcPr>
          <w:p>
            <w:pPr>
              <w:jc w:val="right"/>
              <w:ind w:right="80"/>
              <w:spacing w:after="0"/>
              <w:rPr>
                <w:sz w:val="20"/>
                <w:szCs w:val="20"/>
                <w:color w:val="auto"/>
              </w:rPr>
            </w:pPr>
            <w:r>
              <w:rPr>
                <w:rFonts w:ascii="Arial" w:cs="Arial" w:eastAsia="Arial" w:hAnsi="Arial"/>
                <w:sz w:val="20"/>
                <w:szCs w:val="20"/>
                <w:color w:val="auto"/>
              </w:rPr>
              <w:t>(162,388)</w:t>
            </w:r>
          </w:p>
        </w:tc>
        <w:tc>
          <w:tcPr>
            <w:tcW w:w="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1.31</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285</w:t>
            </w:r>
          </w:p>
        </w:tc>
      </w:tr>
      <w:tr>
        <w:trPr>
          <w:trHeight w:val="230"/>
        </w:trPr>
        <w:tc>
          <w:tcPr>
            <w:tcW w:w="5640" w:type="dxa"/>
            <w:vAlign w:val="bottom"/>
          </w:tcPr>
          <w:p>
            <w:pPr>
              <w:ind w:left="240"/>
              <w:spacing w:after="0"/>
              <w:rPr>
                <w:sz w:val="20"/>
                <w:szCs w:val="20"/>
                <w:color w:val="auto"/>
              </w:rPr>
            </w:pPr>
            <w:r>
              <w:rPr>
                <w:rFonts w:ascii="Arial" w:cs="Arial" w:eastAsia="Arial" w:hAnsi="Arial"/>
                <w:sz w:val="20"/>
                <w:szCs w:val="20"/>
                <w:color w:val="auto"/>
              </w:rPr>
              <w:t>Forfeited and cancelled</w:t>
            </w:r>
          </w:p>
        </w:tc>
        <w:tc>
          <w:tcPr>
            <w:tcW w:w="160" w:type="dxa"/>
            <w:vAlign w:val="bottom"/>
            <w:gridSpan w:val="2"/>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w w:val="95"/>
              </w:rPr>
              <w:t>(2,143,800)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15.06</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0"/>
        </w:trPr>
        <w:tc>
          <w:tcPr>
            <w:tcW w:w="5640" w:type="dxa"/>
            <w:vAlign w:val="bottom"/>
            <w:tcBorders>
              <w:top w:val="single" w:sz="8" w:color="E5E5E5"/>
            </w:tcBorders>
            <w:shd w:val="clear" w:color="auto" w:fill="E5E5E5"/>
          </w:tcPr>
          <w:p>
            <w:pPr>
              <w:spacing w:after="0" w:line="220" w:lineRule="exact"/>
              <w:rPr>
                <w:sz w:val="20"/>
                <w:szCs w:val="20"/>
                <w:color w:val="auto"/>
              </w:rPr>
            </w:pPr>
            <w:r>
              <w:rPr>
                <w:rFonts w:ascii="Arial" w:cs="Arial" w:eastAsia="Arial" w:hAnsi="Arial"/>
                <w:sz w:val="20"/>
                <w:szCs w:val="20"/>
                <w:color w:val="auto"/>
              </w:rPr>
              <w:t>Outstanding as of December 31, 2024</w:t>
            </w:r>
          </w:p>
        </w:tc>
        <w:tc>
          <w:tcPr>
            <w:tcW w:w="160" w:type="dxa"/>
            <w:vAlign w:val="bottom"/>
            <w:tcBorders>
              <w:top w:val="single" w:sz="8" w:color="E5E5E5"/>
            </w:tcBorders>
            <w:gridSpan w:val="2"/>
            <w:shd w:val="clear" w:color="auto" w:fill="E5E5E5"/>
          </w:tcPr>
          <w:p>
            <w:pPr>
              <w:spacing w:after="0"/>
              <w:rPr>
                <w:sz w:val="19"/>
                <w:szCs w:val="19"/>
                <w:color w:val="auto"/>
              </w:rPr>
            </w:pPr>
          </w:p>
        </w:tc>
        <w:tc>
          <w:tcPr>
            <w:tcW w:w="1000" w:type="dxa"/>
            <w:vAlign w:val="bottom"/>
            <w:tcBorders>
              <w:top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6,721,967</w:t>
            </w:r>
          </w:p>
        </w:tc>
        <w:tc>
          <w:tcPr>
            <w:tcW w:w="80" w:type="dxa"/>
            <w:vAlign w:val="bottom"/>
            <w:tcBorders>
              <w:top w:val="single" w:sz="8" w:color="E5E5E5"/>
            </w:tcBorders>
            <w:shd w:val="clear" w:color="auto" w:fill="E5E5E5"/>
          </w:tcPr>
          <w:p>
            <w:pPr>
              <w:spacing w:after="0"/>
              <w:rPr>
                <w:sz w:val="19"/>
                <w:szCs w:val="19"/>
                <w:color w:val="auto"/>
              </w:rPr>
            </w:pPr>
          </w:p>
        </w:tc>
        <w:tc>
          <w:tcPr>
            <w:tcW w:w="200" w:type="dxa"/>
            <w:vAlign w:val="bottom"/>
            <w:tcBorders>
              <w:top w:val="single" w:sz="8" w:color="E5E5E5"/>
            </w:tcBorders>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680" w:type="dxa"/>
            <w:vAlign w:val="bottom"/>
            <w:tcBorders>
              <w:top w:val="single" w:sz="8" w:color="E5E5E5"/>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11.12</w:t>
            </w:r>
          </w:p>
        </w:tc>
        <w:tc>
          <w:tcPr>
            <w:tcW w:w="1000" w:type="dxa"/>
            <w:vAlign w:val="bottom"/>
            <w:tcBorders>
              <w:top w:val="single" w:sz="8" w:color="E5E5E5"/>
            </w:tcBorders>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6.8</w:t>
            </w:r>
          </w:p>
        </w:tc>
        <w:tc>
          <w:tcPr>
            <w:tcW w:w="260" w:type="dxa"/>
            <w:vAlign w:val="bottom"/>
            <w:tcBorders>
              <w:top w:val="single" w:sz="8" w:color="E5E5E5"/>
            </w:tcBorders>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700" w:type="dxa"/>
            <w:vAlign w:val="bottom"/>
            <w:tcBorders>
              <w:top w:val="single" w:sz="8" w:color="E5E5E5"/>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2,968</w:t>
            </w:r>
          </w:p>
        </w:tc>
      </w:tr>
      <w:tr>
        <w:trPr>
          <w:trHeight w:val="229"/>
        </w:trPr>
        <w:tc>
          <w:tcPr>
            <w:tcW w:w="5640" w:type="dxa"/>
            <w:vAlign w:val="bottom"/>
          </w:tcPr>
          <w:p>
            <w:pPr>
              <w:ind w:left="240"/>
              <w:spacing w:after="0"/>
              <w:rPr>
                <w:sz w:val="20"/>
                <w:szCs w:val="20"/>
                <w:color w:val="auto"/>
              </w:rPr>
            </w:pPr>
            <w:r>
              <w:rPr>
                <w:rFonts w:ascii="Arial" w:cs="Arial" w:eastAsia="Arial" w:hAnsi="Arial"/>
                <w:sz w:val="20"/>
                <w:szCs w:val="20"/>
                <w:color w:val="auto"/>
              </w:rPr>
              <w:t>Granted</w:t>
            </w:r>
          </w:p>
        </w:tc>
        <w:tc>
          <w:tcPr>
            <w:tcW w:w="1160" w:type="dxa"/>
            <w:vAlign w:val="bottom"/>
            <w:gridSpan w:val="3"/>
          </w:tcPr>
          <w:p>
            <w:pPr>
              <w:jc w:val="right"/>
              <w:spacing w:after="0"/>
              <w:rPr>
                <w:sz w:val="20"/>
                <w:szCs w:val="20"/>
                <w:color w:val="auto"/>
              </w:rPr>
            </w:pPr>
            <w:r>
              <w:rPr>
                <w:rFonts w:ascii="Arial" w:cs="Arial" w:eastAsia="Arial" w:hAnsi="Arial"/>
                <w:sz w:val="20"/>
                <w:szCs w:val="20"/>
                <w:color w:val="auto"/>
              </w:rPr>
              <w:t>5,407,305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2.18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56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Forfeited and cancelled</w:t>
            </w:r>
          </w:p>
        </w:tc>
        <w:tc>
          <w:tcPr>
            <w:tcW w:w="1240" w:type="dxa"/>
            <w:vAlign w:val="bottom"/>
            <w:gridSpan w:val="4"/>
            <w:shd w:val="clear" w:color="auto" w:fill="E5E5E5"/>
          </w:tcPr>
          <w:p>
            <w:pPr>
              <w:jc w:val="right"/>
              <w:ind w:right="80"/>
              <w:spacing w:after="0"/>
              <w:rPr>
                <w:sz w:val="20"/>
                <w:szCs w:val="20"/>
                <w:color w:val="auto"/>
              </w:rPr>
            </w:pPr>
            <w:r>
              <w:rPr>
                <w:rFonts w:ascii="Arial" w:cs="Arial" w:eastAsia="Arial" w:hAnsi="Arial"/>
                <w:sz w:val="20"/>
                <w:szCs w:val="20"/>
                <w:color w:val="auto"/>
              </w:rPr>
              <w:t>(859,873)</w:t>
            </w:r>
          </w:p>
        </w:tc>
        <w:tc>
          <w:tcPr>
            <w:tcW w:w="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13.32</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700" w:type="dxa"/>
            <w:vAlign w:val="bottom"/>
            <w:shd w:val="clear" w:color="auto" w:fill="E5E5E5"/>
          </w:tcPr>
          <w:p>
            <w:pPr>
              <w:spacing w:after="0"/>
              <w:rPr>
                <w:sz w:val="20"/>
                <w:szCs w:val="20"/>
                <w:color w:val="auto"/>
              </w:rPr>
            </w:pPr>
          </w:p>
        </w:tc>
      </w:tr>
      <w:tr>
        <w:trPr>
          <w:trHeight w:val="227"/>
        </w:trPr>
        <w:tc>
          <w:tcPr>
            <w:tcW w:w="5640" w:type="dxa"/>
            <w:vAlign w:val="bottom"/>
            <w:tcBorders>
              <w:bottom w:val="single" w:sz="8" w:color="E5E5E5"/>
            </w:tcBorders>
          </w:tcPr>
          <w:p>
            <w:pPr>
              <w:spacing w:after="0" w:line="220" w:lineRule="exact"/>
              <w:rPr>
                <w:sz w:val="20"/>
                <w:szCs w:val="20"/>
                <w:color w:val="auto"/>
              </w:rPr>
            </w:pPr>
            <w:r>
              <w:rPr>
                <w:rFonts w:ascii="Arial" w:cs="Arial" w:eastAsia="Arial" w:hAnsi="Arial"/>
                <w:sz w:val="20"/>
                <w:szCs w:val="20"/>
                <w:color w:val="auto"/>
              </w:rPr>
              <w:t>Outstanding as of December 31, 2025</w:t>
            </w:r>
          </w:p>
        </w:tc>
        <w:tc>
          <w:tcPr>
            <w:tcW w:w="14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91"/>
              </w:rPr>
              <w:t>11,269,399</w:t>
            </w:r>
          </w:p>
        </w:tc>
        <w:tc>
          <w:tcPr>
            <w:tcW w:w="80" w:type="dxa"/>
            <w:vAlign w:val="bottom"/>
            <w:tcBorders>
              <w:bottom w:val="single" w:sz="8" w:color="E5E5E5"/>
            </w:tcBorders>
          </w:tcPr>
          <w:p>
            <w:pPr>
              <w:spacing w:after="0"/>
              <w:rPr>
                <w:sz w:val="19"/>
                <w:szCs w:val="19"/>
                <w:color w:val="auto"/>
              </w:rPr>
            </w:pPr>
          </w:p>
        </w:tc>
        <w:tc>
          <w:tcPr>
            <w:tcW w:w="200" w:type="dxa"/>
            <w:vAlign w:val="bottom"/>
            <w:tcBorders>
              <w:bottom w:val="single" w:sz="8" w:color="E5E5E5"/>
            </w:tcBorders>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680" w:type="dxa"/>
            <w:vAlign w:val="bottom"/>
            <w:tcBorders>
              <w:bottom w:val="single" w:sz="8" w:color="E5E5E5"/>
            </w:tcBorders>
          </w:tcPr>
          <w:p>
            <w:pPr>
              <w:jc w:val="right"/>
              <w:spacing w:after="0" w:line="220" w:lineRule="exact"/>
              <w:rPr>
                <w:sz w:val="20"/>
                <w:szCs w:val="20"/>
                <w:color w:val="auto"/>
              </w:rPr>
            </w:pPr>
            <w:r>
              <w:rPr>
                <w:rFonts w:ascii="Arial" w:cs="Arial" w:eastAsia="Arial" w:hAnsi="Arial"/>
                <w:sz w:val="20"/>
                <w:szCs w:val="20"/>
                <w:color w:val="auto"/>
              </w:rPr>
              <w:t>6.72</w:t>
            </w:r>
          </w:p>
        </w:tc>
        <w:tc>
          <w:tcPr>
            <w:tcW w:w="1000" w:type="dxa"/>
            <w:vAlign w:val="bottom"/>
            <w:tcBorders>
              <w:bottom w:val="single" w:sz="8" w:color="E5E5E5"/>
            </w:tcBorders>
            <w:gridSpan w:val="2"/>
          </w:tcPr>
          <w:p>
            <w:pPr>
              <w:jc w:val="right"/>
              <w:spacing w:after="0" w:line="220" w:lineRule="exact"/>
              <w:rPr>
                <w:sz w:val="20"/>
                <w:szCs w:val="20"/>
                <w:color w:val="auto"/>
              </w:rPr>
            </w:pPr>
            <w:r>
              <w:rPr>
                <w:rFonts w:ascii="Arial" w:cs="Arial" w:eastAsia="Arial" w:hAnsi="Arial"/>
                <w:sz w:val="20"/>
                <w:szCs w:val="20"/>
                <w:color w:val="auto"/>
              </w:rPr>
              <w:t>7.7</w:t>
            </w:r>
          </w:p>
        </w:tc>
        <w:tc>
          <w:tcPr>
            <w:tcW w:w="260" w:type="dxa"/>
            <w:vAlign w:val="bottom"/>
            <w:tcBorders>
              <w:bottom w:val="single" w:sz="8" w:color="E5E5E5"/>
            </w:tcBorders>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700" w:type="dxa"/>
            <w:vAlign w:val="bottom"/>
            <w:tcBorders>
              <w:bottom w:val="single" w:sz="8" w:color="E5E5E5"/>
            </w:tcBorders>
          </w:tcPr>
          <w:p>
            <w:pPr>
              <w:jc w:val="right"/>
              <w:spacing w:after="0" w:line="220" w:lineRule="exact"/>
              <w:rPr>
                <w:sz w:val="20"/>
                <w:szCs w:val="20"/>
                <w:color w:val="auto"/>
              </w:rPr>
            </w:pPr>
            <w:r>
              <w:rPr>
                <w:rFonts w:ascii="Arial" w:cs="Arial" w:eastAsia="Arial" w:hAnsi="Arial"/>
                <w:sz w:val="20"/>
                <w:szCs w:val="20"/>
                <w:color w:val="auto"/>
              </w:rPr>
              <w:t>8,597</w:t>
            </w:r>
          </w:p>
        </w:tc>
      </w:tr>
      <w:tr>
        <w:trPr>
          <w:trHeight w:val="242"/>
        </w:trPr>
        <w:tc>
          <w:tcPr>
            <w:tcW w:w="5640" w:type="dxa"/>
            <w:vAlign w:val="bottom"/>
            <w:shd w:val="clear" w:color="auto" w:fill="E5E5E5"/>
          </w:tcPr>
          <w:p>
            <w:pPr>
              <w:spacing w:after="0"/>
              <w:rPr>
                <w:sz w:val="20"/>
                <w:szCs w:val="20"/>
                <w:color w:val="auto"/>
              </w:rPr>
            </w:pPr>
            <w:r>
              <w:rPr>
                <w:rFonts w:ascii="Arial" w:cs="Arial" w:eastAsia="Arial" w:hAnsi="Arial"/>
                <w:sz w:val="20"/>
                <w:szCs w:val="20"/>
                <w:color w:val="auto"/>
              </w:rPr>
              <w:t>Options vested and expected to vest as of December 31, 2025</w:t>
            </w:r>
          </w:p>
        </w:tc>
        <w:tc>
          <w:tcPr>
            <w:tcW w:w="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91"/>
              </w:rPr>
              <w:t>11,269,399</w:t>
            </w:r>
          </w:p>
        </w:tc>
        <w:tc>
          <w:tcPr>
            <w:tcW w:w="80" w:type="dxa"/>
            <w:vAlign w:val="bottom"/>
            <w:shd w:val="clear" w:color="auto" w:fill="E5E5E5"/>
          </w:tcPr>
          <w:p>
            <w:pPr>
              <w:spacing w:after="0"/>
              <w:rPr>
                <w:sz w:val="21"/>
                <w:szCs w:val="21"/>
                <w:color w:val="auto"/>
              </w:rPr>
            </w:pP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6.72</w:t>
            </w: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7.7</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20"/>
                <w:szCs w:val="20"/>
                <w:color w:val="auto"/>
              </w:rPr>
              <w:t>8,597</w:t>
            </w:r>
          </w:p>
        </w:tc>
      </w:tr>
      <w:tr>
        <w:trPr>
          <w:trHeight w:val="240"/>
        </w:trPr>
        <w:tc>
          <w:tcPr>
            <w:tcW w:w="5640" w:type="dxa"/>
            <w:vAlign w:val="bottom"/>
          </w:tcPr>
          <w:p>
            <w:pPr>
              <w:spacing w:after="0"/>
              <w:rPr>
                <w:sz w:val="20"/>
                <w:szCs w:val="20"/>
                <w:color w:val="auto"/>
              </w:rPr>
            </w:pPr>
            <w:r>
              <w:rPr>
                <w:rFonts w:ascii="Arial" w:cs="Arial" w:eastAsia="Arial" w:hAnsi="Arial"/>
                <w:sz w:val="20"/>
                <w:szCs w:val="20"/>
                <w:color w:val="auto"/>
              </w:rPr>
              <w:t>Options exercisable as of December 31, 2025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4,174,406</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12.72</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5.8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2,503</w:t>
            </w:r>
          </w:p>
        </w:tc>
      </w:tr>
    </w:tbl>
    <w:p>
      <w:pPr>
        <w:spacing w:after="0" w:line="21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 weighted average grant date fair value of stock options granted during the years ended December 31, 2025 and 2024 was $1.61 and $1.34 per share, respectively.</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Restricted Stock Units</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following table summarizes RSU activity for the years ended December 31, 2025 and 2024:</w:t>
      </w:r>
    </w:p>
    <w:p>
      <w:pPr>
        <w:spacing w:after="0" w:line="249"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6"/>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6"/>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4"/>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Grant Date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2"/>
              <w:spacing w:after="0"/>
              <w:rPr>
                <w:sz w:val="20"/>
                <w:szCs w:val="20"/>
                <w:color w:val="auto"/>
              </w:rPr>
            </w:pPr>
            <w:r>
              <w:rPr>
                <w:rFonts w:ascii="Arial" w:cs="Arial" w:eastAsia="Arial" w:hAnsi="Arial"/>
                <w:sz w:val="16"/>
                <w:szCs w:val="16"/>
                <w:b w:val="1"/>
                <w:bCs w:val="1"/>
                <w:color w:val="auto"/>
                <w:w w:val="88"/>
              </w:rPr>
              <w:t>Aggregate</w:t>
            </w:r>
          </w:p>
        </w:tc>
      </w:tr>
      <w:tr>
        <w:trPr>
          <w:trHeight w:val="184"/>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6"/>
              <w:spacing w:after="0"/>
              <w:rPr>
                <w:sz w:val="20"/>
                <w:szCs w:val="20"/>
                <w:color w:val="auto"/>
              </w:rPr>
            </w:pPr>
            <w:r>
              <w:rPr>
                <w:rFonts w:ascii="Arial" w:cs="Arial" w:eastAsia="Arial" w:hAnsi="Arial"/>
                <w:sz w:val="16"/>
                <w:szCs w:val="16"/>
                <w:b w:val="1"/>
                <w:bCs w:val="1"/>
                <w:color w:val="auto"/>
                <w:w w:val="96"/>
              </w:rPr>
              <w:t>Fair Value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Intrinsic</w:t>
            </w:r>
          </w:p>
        </w:tc>
      </w:tr>
      <w:tr>
        <w:trPr>
          <w:trHeight w:val="204"/>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9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of Shares</w:t>
            </w:r>
          </w:p>
        </w:tc>
        <w:tc>
          <w:tcPr>
            <w:tcW w:w="80" w:type="dxa"/>
            <w:vAlign w:val="bottom"/>
            <w:tcBorders>
              <w:bottom w:val="single" w:sz="8" w:color="E5E5E5"/>
            </w:tcBorders>
          </w:tcPr>
          <w:p>
            <w:pPr>
              <w:spacing w:after="0"/>
              <w:rPr>
                <w:sz w:val="17"/>
                <w:szCs w:val="17"/>
                <w:color w:val="auto"/>
              </w:rPr>
            </w:pPr>
          </w:p>
        </w:tc>
        <w:tc>
          <w:tcPr>
            <w:tcW w:w="60" w:type="dxa"/>
            <w:vAlign w:val="bottom"/>
            <w:tcBorders>
              <w:bottom w:val="single" w:sz="8" w:color="E5E5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Per Share</w:t>
            </w:r>
          </w:p>
        </w:tc>
        <w:tc>
          <w:tcPr>
            <w:tcW w:w="140" w:type="dxa"/>
            <w:vAlign w:val="bottom"/>
            <w:tcBorders>
              <w:bottom w:val="single" w:sz="8" w:color="E5E5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93"/>
              </w:rPr>
              <w:t>Value</w:t>
            </w:r>
          </w:p>
        </w:tc>
      </w:tr>
      <w:tr>
        <w:trPr>
          <w:trHeight w:val="243"/>
        </w:trPr>
        <w:tc>
          <w:tcPr>
            <w:tcW w:w="4480" w:type="dxa"/>
            <w:vAlign w:val="bottom"/>
            <w:shd w:val="clear" w:color="auto" w:fill="E5E5E5"/>
          </w:tcPr>
          <w:p>
            <w:pPr>
              <w:spacing w:after="0"/>
              <w:rPr>
                <w:sz w:val="20"/>
                <w:szCs w:val="20"/>
                <w:color w:val="auto"/>
              </w:rPr>
            </w:pPr>
            <w:r>
              <w:rPr>
                <w:rFonts w:ascii="Arial" w:cs="Arial" w:eastAsia="Arial" w:hAnsi="Arial"/>
                <w:sz w:val="20"/>
                <w:szCs w:val="20"/>
                <w:color w:val="auto"/>
              </w:rPr>
              <w:t>Outstanding as of December 31, 2023</w:t>
            </w:r>
          </w:p>
        </w:tc>
        <w:tc>
          <w:tcPr>
            <w:tcW w:w="12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1,521,940</w:t>
            </w:r>
          </w:p>
        </w:tc>
        <w:tc>
          <w:tcPr>
            <w:tcW w:w="80" w:type="dxa"/>
            <w:vAlign w:val="bottom"/>
            <w:shd w:val="clear" w:color="auto" w:fill="E5E5E5"/>
          </w:tcPr>
          <w:p>
            <w:pPr>
              <w:spacing w:after="0"/>
              <w:rPr>
                <w:sz w:val="21"/>
                <w:szCs w:val="21"/>
                <w:color w:val="auto"/>
              </w:rPr>
            </w:pP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15.72</w:t>
            </w:r>
          </w:p>
        </w:tc>
        <w:tc>
          <w:tcPr>
            <w:tcW w:w="1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r>
      <w:tr>
        <w:trPr>
          <w:trHeight w:val="253"/>
        </w:trPr>
        <w:tc>
          <w:tcPr>
            <w:tcW w:w="4480" w:type="dxa"/>
            <w:vAlign w:val="bottom"/>
          </w:tcPr>
          <w:p>
            <w:pPr>
              <w:ind w:left="240"/>
              <w:spacing w:after="0"/>
              <w:rPr>
                <w:sz w:val="20"/>
                <w:szCs w:val="20"/>
                <w:color w:val="auto"/>
              </w:rPr>
            </w:pPr>
            <w:r>
              <w:rPr>
                <w:rFonts w:ascii="Arial" w:cs="Arial" w:eastAsia="Arial" w:hAnsi="Arial"/>
                <w:sz w:val="20"/>
                <w:szCs w:val="20"/>
                <w:color w:val="auto"/>
              </w:rPr>
              <w:t>Granted</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2,852,573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2"/>
        </w:trPr>
        <w:tc>
          <w:tcPr>
            <w:tcW w:w="4480" w:type="dxa"/>
            <w:vAlign w:val="bottom"/>
            <w:shd w:val="clear" w:color="auto" w:fill="E5E5E5"/>
          </w:tcPr>
          <w:p>
            <w:pPr>
              <w:ind w:left="240"/>
              <w:spacing w:after="0"/>
              <w:rPr>
                <w:sz w:val="20"/>
                <w:szCs w:val="20"/>
                <w:color w:val="auto"/>
              </w:rPr>
            </w:pPr>
            <w:r>
              <w:rPr>
                <w:rFonts w:ascii="Arial" w:cs="Arial" w:eastAsia="Arial" w:hAnsi="Arial"/>
                <w:sz w:val="20"/>
                <w:szCs w:val="20"/>
                <w:color w:val="auto"/>
              </w:rPr>
              <w:t>Vested</w:t>
            </w:r>
          </w:p>
        </w:tc>
        <w:tc>
          <w:tcPr>
            <w:tcW w:w="120" w:type="dxa"/>
            <w:vAlign w:val="bottom"/>
            <w:shd w:val="clear" w:color="auto" w:fill="E5E5E5"/>
          </w:tcPr>
          <w:p>
            <w:pPr>
              <w:spacing w:after="0"/>
              <w:rPr>
                <w:sz w:val="21"/>
                <w:szCs w:val="21"/>
                <w:color w:val="auto"/>
              </w:rPr>
            </w:pP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w w:val="95"/>
              </w:rPr>
              <w:t>(1,473,327)</w:t>
            </w:r>
          </w:p>
        </w:tc>
        <w:tc>
          <w:tcPr>
            <w:tcW w:w="80" w:type="dxa"/>
            <w:vAlign w:val="bottom"/>
            <w:shd w:val="clear" w:color="auto" w:fill="E5E5E5"/>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5.51</w:t>
            </w:r>
          </w:p>
        </w:tc>
        <w:tc>
          <w:tcPr>
            <w:tcW w:w="260" w:type="dxa"/>
            <w:vAlign w:val="bottom"/>
            <w:gridSpan w:val="2"/>
            <w:shd w:val="clear" w:color="auto" w:fill="E5E5E5"/>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2,959</w:t>
            </w:r>
          </w:p>
        </w:tc>
      </w:tr>
      <w:tr>
        <w:trPr>
          <w:trHeight w:val="253"/>
        </w:trPr>
        <w:tc>
          <w:tcPr>
            <w:tcW w:w="4480" w:type="dxa"/>
            <w:vAlign w:val="bottom"/>
          </w:tcPr>
          <w:p>
            <w:pPr>
              <w:ind w:left="240"/>
              <w:spacing w:after="0"/>
              <w:rPr>
                <w:sz w:val="20"/>
                <w:szCs w:val="20"/>
                <w:color w:val="auto"/>
              </w:rPr>
            </w:pPr>
            <w:r>
              <w:rPr>
                <w:rFonts w:ascii="Arial" w:cs="Arial" w:eastAsia="Arial" w:hAnsi="Arial"/>
                <w:sz w:val="20"/>
                <w:szCs w:val="20"/>
                <w:color w:val="auto"/>
              </w:rPr>
              <w:t>Forfeited and cancelled</w:t>
            </w:r>
          </w:p>
        </w:tc>
        <w:tc>
          <w:tcPr>
            <w:tcW w:w="140" w:type="dxa"/>
            <w:vAlign w:val="bottom"/>
            <w:gridSpan w:val="2"/>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color w:val="auto"/>
              </w:rPr>
              <w:t>(625,035)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13.03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43"/>
        </w:trPr>
        <w:tc>
          <w:tcPr>
            <w:tcW w:w="44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20"/>
                <w:szCs w:val="20"/>
                <w:color w:val="auto"/>
              </w:rPr>
              <w:t>Outstanding as of December 31, 2024</w:t>
            </w:r>
          </w:p>
        </w:tc>
        <w:tc>
          <w:tcPr>
            <w:tcW w:w="12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tcBorders>
            <w:shd w:val="clear" w:color="auto" w:fill="E5E5E5"/>
          </w:tcPr>
          <w:p>
            <w:pPr>
              <w:spacing w:after="0"/>
              <w:rPr>
                <w:sz w:val="21"/>
                <w:szCs w:val="21"/>
                <w:color w:val="auto"/>
              </w:rPr>
            </w:pP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2,276,151</w:t>
            </w:r>
          </w:p>
        </w:tc>
        <w:tc>
          <w:tcPr>
            <w:tcW w:w="80" w:type="dxa"/>
            <w:vAlign w:val="bottom"/>
            <w:tcBorders>
              <w:top w:val="single" w:sz="8" w:color="E5E5E5"/>
            </w:tcBorders>
            <w:shd w:val="clear" w:color="auto" w:fill="E5E5E5"/>
          </w:tcPr>
          <w:p>
            <w:pPr>
              <w:spacing w:after="0"/>
              <w:rPr>
                <w:sz w:val="21"/>
                <w:szCs w:val="21"/>
                <w:color w:val="auto"/>
              </w:rPr>
            </w:pPr>
          </w:p>
        </w:tc>
        <w:tc>
          <w:tcPr>
            <w:tcW w:w="160" w:type="dxa"/>
            <w:vAlign w:val="bottom"/>
            <w:tcBorders>
              <w:top w:val="single" w:sz="8" w:color="E5E5E5"/>
            </w:tcBorders>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E5E5E5"/>
            </w:tcBorders>
            <w:shd w:val="clear" w:color="auto" w:fill="E5E5E5"/>
          </w:tcPr>
          <w:p>
            <w:pPr>
              <w:jc w:val="right"/>
              <w:spacing w:after="0"/>
              <w:rPr>
                <w:sz w:val="20"/>
                <w:szCs w:val="20"/>
                <w:color w:val="auto"/>
              </w:rPr>
            </w:pPr>
            <w:r>
              <w:rPr>
                <w:rFonts w:ascii="Arial" w:cs="Arial" w:eastAsia="Arial" w:hAnsi="Arial"/>
                <w:sz w:val="20"/>
                <w:szCs w:val="20"/>
                <w:color w:val="auto"/>
              </w:rPr>
              <w:t>5.12</w:t>
            </w:r>
          </w:p>
        </w:tc>
        <w:tc>
          <w:tcPr>
            <w:tcW w:w="140" w:type="dxa"/>
            <w:vAlign w:val="bottom"/>
            <w:tcBorders>
              <w:top w:val="single" w:sz="8" w:color="E5E5E5"/>
            </w:tcBorders>
            <w:shd w:val="clear" w:color="auto" w:fill="E5E5E5"/>
          </w:tcPr>
          <w:p>
            <w:pPr>
              <w:spacing w:after="0"/>
              <w:rPr>
                <w:sz w:val="21"/>
                <w:szCs w:val="21"/>
                <w:color w:val="auto"/>
              </w:rPr>
            </w:pPr>
          </w:p>
        </w:tc>
        <w:tc>
          <w:tcPr>
            <w:tcW w:w="120" w:type="dxa"/>
            <w:vAlign w:val="bottom"/>
            <w:tcBorders>
              <w:top w:val="single" w:sz="8" w:color="E5E5E5"/>
            </w:tcBorders>
            <w:shd w:val="clear" w:color="auto" w:fill="E5E5E5"/>
          </w:tcPr>
          <w:p>
            <w:pPr>
              <w:spacing w:after="0"/>
              <w:rPr>
                <w:sz w:val="21"/>
                <w:szCs w:val="21"/>
                <w:color w:val="auto"/>
              </w:rPr>
            </w:pPr>
          </w:p>
        </w:tc>
        <w:tc>
          <w:tcPr>
            <w:tcW w:w="820" w:type="dxa"/>
            <w:vAlign w:val="bottom"/>
            <w:tcBorders>
              <w:top w:val="single" w:sz="8" w:color="E5E5E5"/>
            </w:tcBorders>
            <w:shd w:val="clear" w:color="auto" w:fill="E5E5E5"/>
          </w:tcPr>
          <w:p>
            <w:pPr>
              <w:spacing w:after="0"/>
              <w:rPr>
                <w:sz w:val="21"/>
                <w:szCs w:val="21"/>
                <w:color w:val="auto"/>
              </w:rPr>
            </w:pPr>
          </w:p>
        </w:tc>
      </w:tr>
      <w:tr>
        <w:trPr>
          <w:trHeight w:val="253"/>
        </w:trPr>
        <w:tc>
          <w:tcPr>
            <w:tcW w:w="4480" w:type="dxa"/>
            <w:vAlign w:val="bottom"/>
          </w:tcPr>
          <w:p>
            <w:pPr>
              <w:ind w:left="240"/>
              <w:spacing w:after="0"/>
              <w:rPr>
                <w:sz w:val="20"/>
                <w:szCs w:val="20"/>
                <w:color w:val="auto"/>
              </w:rPr>
            </w:pPr>
            <w:r>
              <w:rPr>
                <w:rFonts w:ascii="Arial" w:cs="Arial" w:eastAsia="Arial" w:hAnsi="Arial"/>
                <w:sz w:val="20"/>
                <w:szCs w:val="20"/>
                <w:color w:val="auto"/>
              </w:rPr>
              <w:t>Granted</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2,190,582</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3"/>
        </w:trPr>
        <w:tc>
          <w:tcPr>
            <w:tcW w:w="4480" w:type="dxa"/>
            <w:vAlign w:val="bottom"/>
            <w:shd w:val="clear" w:color="auto" w:fill="E5E5E5"/>
          </w:tcPr>
          <w:p>
            <w:pPr>
              <w:ind w:left="240"/>
              <w:spacing w:after="0"/>
              <w:rPr>
                <w:sz w:val="20"/>
                <w:szCs w:val="20"/>
                <w:color w:val="auto"/>
              </w:rPr>
            </w:pPr>
            <w:r>
              <w:rPr>
                <w:rFonts w:ascii="Arial" w:cs="Arial" w:eastAsia="Arial" w:hAnsi="Arial"/>
                <w:sz w:val="20"/>
                <w:szCs w:val="20"/>
                <w:color w:val="auto"/>
              </w:rPr>
              <w:t>Vested</w:t>
            </w:r>
          </w:p>
        </w:tc>
        <w:tc>
          <w:tcPr>
            <w:tcW w:w="120" w:type="dxa"/>
            <w:vAlign w:val="bottom"/>
            <w:shd w:val="clear" w:color="auto" w:fill="E5E5E5"/>
          </w:tcPr>
          <w:p>
            <w:pPr>
              <w:spacing w:after="0"/>
              <w:rPr>
                <w:sz w:val="22"/>
                <w:szCs w:val="22"/>
                <w:color w:val="auto"/>
              </w:rPr>
            </w:pP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w w:val="95"/>
              </w:rPr>
              <w:t>(1,537,652)</w:t>
            </w:r>
          </w:p>
        </w:tc>
        <w:tc>
          <w:tcPr>
            <w:tcW w:w="80" w:type="dxa"/>
            <w:vAlign w:val="bottom"/>
            <w:shd w:val="clear" w:color="auto" w:fill="E5E5E5"/>
          </w:tcPr>
          <w:p>
            <w:pPr>
              <w:spacing w:after="0"/>
              <w:rPr>
                <w:sz w:val="22"/>
                <w:szCs w:val="22"/>
                <w:color w:val="auto"/>
              </w:rPr>
            </w:pPr>
          </w:p>
        </w:tc>
        <w:tc>
          <w:tcPr>
            <w:tcW w:w="6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4.26</w:t>
            </w:r>
          </w:p>
        </w:tc>
        <w:tc>
          <w:tcPr>
            <w:tcW w:w="260" w:type="dxa"/>
            <w:vAlign w:val="bottom"/>
            <w:gridSpan w:val="2"/>
            <w:shd w:val="clear" w:color="auto" w:fill="E5E5E5"/>
          </w:tcPr>
          <w:p>
            <w:pPr>
              <w:jc w:val="right"/>
              <w:ind w:right="20"/>
              <w:spacing w:after="0"/>
              <w:rPr>
                <w:sz w:val="20"/>
                <w:szCs w:val="20"/>
                <w:color w:val="auto"/>
              </w:rPr>
            </w:pPr>
            <w:r>
              <w:rPr>
                <w:rFonts w:ascii="Arial" w:cs="Arial" w:eastAsia="Arial" w:hAnsi="Arial"/>
                <w:sz w:val="20"/>
                <w:szCs w:val="20"/>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4,122</w:t>
            </w:r>
          </w:p>
        </w:tc>
      </w:tr>
      <w:tr>
        <w:trPr>
          <w:trHeight w:val="253"/>
        </w:trPr>
        <w:tc>
          <w:tcPr>
            <w:tcW w:w="4480" w:type="dxa"/>
            <w:vAlign w:val="bottom"/>
          </w:tcPr>
          <w:p>
            <w:pPr>
              <w:ind w:left="240"/>
              <w:spacing w:after="0"/>
              <w:rPr>
                <w:sz w:val="20"/>
                <w:szCs w:val="20"/>
                <w:color w:val="auto"/>
              </w:rPr>
            </w:pPr>
            <w:r>
              <w:rPr>
                <w:rFonts w:ascii="Arial" w:cs="Arial" w:eastAsia="Arial" w:hAnsi="Arial"/>
                <w:sz w:val="20"/>
                <w:szCs w:val="20"/>
                <w:color w:val="auto"/>
              </w:rPr>
              <w:t>Forfeited and cancelled</w:t>
            </w:r>
          </w:p>
        </w:tc>
        <w:tc>
          <w:tcPr>
            <w:tcW w:w="140" w:type="dxa"/>
            <w:vAlign w:val="bottom"/>
            <w:gridSpan w:val="2"/>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color w:val="auto"/>
              </w:rPr>
              <w:t>(125,850)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4.31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3"/>
        </w:trPr>
        <w:tc>
          <w:tcPr>
            <w:tcW w:w="44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20"/>
                <w:szCs w:val="20"/>
                <w:color w:val="auto"/>
              </w:rPr>
              <w:t>Outstanding as of December 31, 2025</w:t>
            </w:r>
          </w:p>
        </w:tc>
        <w:tc>
          <w:tcPr>
            <w:tcW w:w="12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bottom w:val="single" w:sz="8" w:color="auto"/>
            </w:tcBorders>
            <w:shd w:val="clear" w:color="auto" w:fill="E5E5E5"/>
          </w:tcPr>
          <w:p>
            <w:pPr>
              <w:spacing w:after="0"/>
              <w:rPr>
                <w:sz w:val="21"/>
                <w:szCs w:val="21"/>
                <w:color w:val="auto"/>
              </w:rPr>
            </w:pPr>
          </w:p>
        </w:tc>
        <w:tc>
          <w:tcPr>
            <w:tcW w:w="9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2,803,231</w:t>
            </w:r>
          </w:p>
        </w:tc>
        <w:tc>
          <w:tcPr>
            <w:tcW w:w="80" w:type="dxa"/>
            <w:vAlign w:val="bottom"/>
            <w:tcBorders>
              <w:top w:val="single" w:sz="8" w:color="E5E5E5"/>
            </w:tcBorders>
            <w:shd w:val="clear" w:color="auto" w:fill="E5E5E5"/>
          </w:tcPr>
          <w:p>
            <w:pPr>
              <w:spacing w:after="0"/>
              <w:rPr>
                <w:sz w:val="21"/>
                <w:szCs w:val="21"/>
                <w:color w:val="auto"/>
              </w:rPr>
            </w:pPr>
          </w:p>
        </w:tc>
        <w:tc>
          <w:tcPr>
            <w:tcW w:w="160" w:type="dxa"/>
            <w:vAlign w:val="bottom"/>
            <w:tcBorders>
              <w:top w:val="single" w:sz="8" w:color="E5E5E5"/>
            </w:tcBorders>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E5E5E5"/>
            </w:tcBorders>
            <w:shd w:val="clear" w:color="auto" w:fill="E5E5E5"/>
          </w:tcPr>
          <w:p>
            <w:pPr>
              <w:jc w:val="right"/>
              <w:spacing w:after="0"/>
              <w:rPr>
                <w:sz w:val="20"/>
                <w:szCs w:val="20"/>
                <w:color w:val="auto"/>
              </w:rPr>
            </w:pPr>
            <w:r>
              <w:rPr>
                <w:rFonts w:ascii="Arial" w:cs="Arial" w:eastAsia="Arial" w:hAnsi="Arial"/>
                <w:sz w:val="20"/>
                <w:szCs w:val="20"/>
                <w:color w:val="auto"/>
              </w:rPr>
              <w:t>3.40</w:t>
            </w:r>
          </w:p>
        </w:tc>
        <w:tc>
          <w:tcPr>
            <w:tcW w:w="140" w:type="dxa"/>
            <w:vAlign w:val="bottom"/>
            <w:tcBorders>
              <w:top w:val="single" w:sz="8" w:color="E5E5E5"/>
            </w:tcBorders>
            <w:shd w:val="clear" w:color="auto" w:fill="E5E5E5"/>
          </w:tcPr>
          <w:p>
            <w:pPr>
              <w:spacing w:after="0"/>
              <w:rPr>
                <w:sz w:val="21"/>
                <w:szCs w:val="21"/>
                <w:color w:val="auto"/>
              </w:rPr>
            </w:pPr>
          </w:p>
        </w:tc>
        <w:tc>
          <w:tcPr>
            <w:tcW w:w="120" w:type="dxa"/>
            <w:vAlign w:val="bottom"/>
            <w:tcBorders>
              <w:top w:val="single" w:sz="8" w:color="E5E5E5"/>
            </w:tcBorders>
            <w:shd w:val="clear" w:color="auto" w:fill="E5E5E5"/>
          </w:tcPr>
          <w:p>
            <w:pPr>
              <w:spacing w:after="0"/>
              <w:rPr>
                <w:sz w:val="21"/>
                <w:szCs w:val="21"/>
                <w:color w:val="auto"/>
              </w:rPr>
            </w:pPr>
          </w:p>
        </w:tc>
        <w:tc>
          <w:tcPr>
            <w:tcW w:w="820" w:type="dxa"/>
            <w:vAlign w:val="bottom"/>
            <w:tcBorders>
              <w:top w:val="single" w:sz="8" w:color="E5E5E5"/>
            </w:tcBorders>
            <w:shd w:val="clear" w:color="auto" w:fill="E5E5E5"/>
          </w:tcPr>
          <w:p>
            <w:pPr>
              <w:spacing w:after="0"/>
              <w:rPr>
                <w:sz w:val="21"/>
                <w:szCs w:val="21"/>
                <w:color w:val="auto"/>
              </w:rPr>
            </w:pPr>
          </w:p>
        </w:tc>
      </w:tr>
    </w:tbl>
    <w:p>
      <w:pPr>
        <w:spacing w:after="0" w:line="20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Stock-Based Compensation</w:t>
      </w:r>
    </w:p>
    <w:p>
      <w:pPr>
        <w:spacing w:after="0" w:line="211" w:lineRule="exact"/>
        <w:rPr>
          <w:sz w:val="20"/>
          <w:szCs w:val="20"/>
          <w:color w:val="auto"/>
        </w:rPr>
      </w:pPr>
    </w:p>
    <w:p>
      <w:pPr>
        <w:ind w:firstLine="720"/>
        <w:spacing w:after="0" w:line="278" w:lineRule="auto"/>
        <w:rPr>
          <w:sz w:val="20"/>
          <w:szCs w:val="20"/>
          <w:color w:val="auto"/>
        </w:rPr>
      </w:pPr>
      <w:r>
        <w:rPr>
          <w:rFonts w:ascii="Arial" w:cs="Arial" w:eastAsia="Arial" w:hAnsi="Arial"/>
          <w:sz w:val="20"/>
          <w:szCs w:val="20"/>
          <w:color w:val="auto"/>
        </w:rPr>
        <w:t>Stock -based compensation expense included in total costs and expenses on the consolidated statement of operations and comprehensive loss included the following:</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right"/>
              <w:ind w:right="364"/>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8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right"/>
              <w:ind w:right="32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5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9"/>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4"/>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0"/>
        </w:trPr>
        <w:tc>
          <w:tcPr>
            <w:tcW w:w="5820" w:type="dxa"/>
            <w:vAlign w:val="bottom"/>
            <w:shd w:val="clear" w:color="auto" w:fill="E5E5E5"/>
          </w:tcPr>
          <w:p>
            <w:pPr>
              <w:ind w:left="360"/>
              <w:spacing w:after="0" w:line="220" w:lineRule="exact"/>
              <w:rPr>
                <w:sz w:val="20"/>
                <w:szCs w:val="20"/>
                <w:color w:val="auto"/>
              </w:rPr>
            </w:pPr>
            <w:r>
              <w:rPr>
                <w:rFonts w:ascii="Arial" w:cs="Arial" w:eastAsia="Arial" w:hAnsi="Arial"/>
                <w:sz w:val="20"/>
                <w:szCs w:val="20"/>
                <w:color w:val="auto"/>
              </w:rPr>
              <w:t>Cost of revenue</w:t>
            </w:r>
          </w:p>
        </w:tc>
        <w:tc>
          <w:tcPr>
            <w:tcW w:w="320" w:type="dxa"/>
            <w:vAlign w:val="bottom"/>
            <w:gridSpan w:val="3"/>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64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788</w:t>
            </w:r>
          </w:p>
        </w:tc>
        <w:tc>
          <w:tcPr>
            <w:tcW w:w="340" w:type="dxa"/>
            <w:vAlign w:val="bottom"/>
            <w:gridSpan w:val="3"/>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64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938</w:t>
            </w: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20"/>
                <w:szCs w:val="20"/>
                <w:color w:val="auto"/>
              </w:rPr>
              <w:t>Research and development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4,258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3,135</w:t>
            </w:r>
          </w:p>
        </w:tc>
        <w:tc>
          <w:tcPr>
            <w:tcW w:w="0" w:type="dxa"/>
            <w:vAlign w:val="bottom"/>
          </w:tcPr>
          <w:p>
            <w:pPr>
              <w:spacing w:after="0"/>
              <w:rPr>
                <w:sz w:val="1"/>
                <w:szCs w:val="1"/>
                <w:color w:val="auto"/>
              </w:rPr>
            </w:pPr>
          </w:p>
        </w:tc>
      </w:tr>
      <w:tr>
        <w:trPr>
          <w:trHeight w:val="230"/>
        </w:trPr>
        <w:tc>
          <w:tcPr>
            <w:tcW w:w="58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General and administrative</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7,338</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tcBorders>
              <w:bottom w:val="single" w:sz="8" w:color="auto"/>
            </w:tcBorders>
            <w:shd w:val="clear" w:color="auto" w:fill="E5E5E5"/>
          </w:tcPr>
          <w:p>
            <w:pPr>
              <w:spacing w:after="0"/>
              <w:rPr>
                <w:sz w:val="20"/>
                <w:szCs w:val="20"/>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6,783</w:t>
            </w:r>
          </w:p>
        </w:tc>
        <w:tc>
          <w:tcPr>
            <w:tcW w:w="0" w:type="dxa"/>
            <w:vAlign w:val="bottom"/>
          </w:tcPr>
          <w:p>
            <w:pPr>
              <w:spacing w:after="0"/>
              <w:rPr>
                <w:sz w:val="1"/>
                <w:szCs w:val="1"/>
                <w:color w:val="auto"/>
              </w:rPr>
            </w:pPr>
          </w:p>
        </w:tc>
      </w:tr>
      <w:tr>
        <w:trPr>
          <w:trHeight w:val="230"/>
        </w:trPr>
        <w:tc>
          <w:tcPr>
            <w:tcW w:w="5820" w:type="dxa"/>
            <w:vAlign w:val="bottom"/>
          </w:tcPr>
          <w:p>
            <w:pPr>
              <w:spacing w:after="0" w:line="221" w:lineRule="exact"/>
              <w:rPr>
                <w:sz w:val="20"/>
                <w:szCs w:val="20"/>
                <w:color w:val="auto"/>
              </w:rPr>
            </w:pPr>
            <w:r>
              <w:rPr>
                <w:rFonts w:ascii="Arial" w:cs="Arial" w:eastAsia="Arial" w:hAnsi="Arial"/>
                <w:sz w:val="20"/>
                <w:szCs w:val="20"/>
                <w:color w:val="auto"/>
              </w:rPr>
              <w:t>Total stock-based compensation expense</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6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12,384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1"/>
              </w:rPr>
              <w:t>10,856</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720"/>
        <w:spacing w:after="0" w:line="336" w:lineRule="auto"/>
        <w:rPr>
          <w:sz w:val="20"/>
          <w:szCs w:val="20"/>
          <w:color w:val="auto"/>
        </w:rPr>
      </w:pPr>
      <w:r>
        <w:rPr>
          <w:rFonts w:ascii="Arial" w:cs="Arial" w:eastAsia="Arial" w:hAnsi="Arial"/>
          <w:sz w:val="18"/>
          <w:szCs w:val="18"/>
          <w:color w:val="auto"/>
        </w:rPr>
        <w:t>As of December 31, 2025, the Company had unrecognized stock-based compensation expense for stock options and RSUs of $11.1 million and $6.1 million, respectively, which is expected to be recognized over weighted average</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9720"/>
          </w:cols>
          <w:pgMar w:left="1080" w:top="1173" w:right="108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color w:val="auto"/>
        </w:rPr>
        <w:t>periods of 2.5 years and 2.3 years,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Net Loss per Share</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Basic and diluted net loss per share is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jc w:val="right"/>
              <w:ind w:right="785"/>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69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for share and per share data)</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right"/>
              <w:ind w:right="74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69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0"/>
              <w:spacing w:after="0" w:line="175"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5"/>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0"/>
        </w:trPr>
        <w:tc>
          <w:tcPr>
            <w:tcW w:w="698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Numerator:</w:t>
            </w:r>
          </w:p>
        </w:tc>
        <w:tc>
          <w:tcPr>
            <w:tcW w:w="1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980" w:type="dxa"/>
            <w:vAlign w:val="bottom"/>
          </w:tcPr>
          <w:p>
            <w:pPr>
              <w:ind w:left="240"/>
              <w:spacing w:after="0"/>
              <w:rPr>
                <w:sz w:val="20"/>
                <w:szCs w:val="20"/>
                <w:color w:val="auto"/>
              </w:rPr>
            </w:pPr>
            <w:r>
              <w:rPr>
                <w:rFonts w:ascii="Arial" w:cs="Arial" w:eastAsia="Arial" w:hAnsi="Arial"/>
                <w:sz w:val="20"/>
                <w:szCs w:val="20"/>
                <w:color w:val="auto"/>
              </w:rPr>
              <w:t>Net loss</w:t>
            </w:r>
          </w:p>
        </w:tc>
        <w:tc>
          <w:tcPr>
            <w:tcW w:w="2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(64,923)</w:t>
            </w: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(132,065)</w:t>
            </w:r>
          </w:p>
        </w:tc>
        <w:tc>
          <w:tcPr>
            <w:tcW w:w="0" w:type="dxa"/>
            <w:vAlign w:val="bottom"/>
          </w:tcPr>
          <w:p>
            <w:pPr>
              <w:spacing w:after="0"/>
              <w:rPr>
                <w:sz w:val="1"/>
                <w:szCs w:val="1"/>
                <w:color w:val="auto"/>
              </w:rPr>
            </w:pPr>
          </w:p>
        </w:tc>
      </w:tr>
      <w:tr>
        <w:trPr>
          <w:trHeight w:val="231"/>
        </w:trPr>
        <w:tc>
          <w:tcPr>
            <w:tcW w:w="69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20"/>
                <w:szCs w:val="20"/>
                <w:color w:val="auto"/>
              </w:rPr>
              <w:t>Denominator:</w:t>
            </w:r>
          </w:p>
        </w:tc>
        <w:tc>
          <w:tcPr>
            <w:tcW w:w="140" w:type="dxa"/>
            <w:vAlign w:val="bottom"/>
            <w:tcBorders>
              <w:top w:val="single" w:sz="8" w:color="E5E5E5"/>
            </w:tcBorders>
            <w:shd w:val="clear" w:color="auto" w:fill="E5E5E5"/>
          </w:tcPr>
          <w:p>
            <w:pPr>
              <w:spacing w:after="0"/>
              <w:rPr>
                <w:sz w:val="20"/>
                <w:szCs w:val="20"/>
                <w:color w:val="auto"/>
              </w:rPr>
            </w:pPr>
          </w:p>
        </w:tc>
        <w:tc>
          <w:tcPr>
            <w:tcW w:w="20" w:type="dxa"/>
            <w:vAlign w:val="bottom"/>
            <w:tcBorders>
              <w:top w:val="single" w:sz="8" w:color="E5E5E5"/>
            </w:tcBorders>
            <w:shd w:val="clear" w:color="auto" w:fill="E5E5E5"/>
          </w:tcPr>
          <w:p>
            <w:pPr>
              <w:spacing w:after="0"/>
              <w:rPr>
                <w:sz w:val="20"/>
                <w:szCs w:val="20"/>
                <w:color w:val="auto"/>
              </w:rPr>
            </w:pPr>
          </w:p>
        </w:tc>
        <w:tc>
          <w:tcPr>
            <w:tcW w:w="120" w:type="dxa"/>
            <w:vAlign w:val="bottom"/>
            <w:tcBorders>
              <w:top w:val="single" w:sz="8" w:color="auto"/>
            </w:tcBorders>
            <w:shd w:val="clear" w:color="auto" w:fill="E5E5E5"/>
          </w:tcPr>
          <w:p>
            <w:pPr>
              <w:spacing w:after="0"/>
              <w:rPr>
                <w:sz w:val="20"/>
                <w:szCs w:val="20"/>
                <w:color w:val="auto"/>
              </w:rPr>
            </w:pPr>
          </w:p>
        </w:tc>
        <w:tc>
          <w:tcPr>
            <w:tcW w:w="1080" w:type="dxa"/>
            <w:vAlign w:val="bottom"/>
            <w:tcBorders>
              <w:top w:val="single" w:sz="8" w:color="auto"/>
            </w:tcBorders>
            <w:shd w:val="clear" w:color="auto" w:fill="E5E5E5"/>
          </w:tcPr>
          <w:p>
            <w:pPr>
              <w:spacing w:after="0"/>
              <w:rPr>
                <w:sz w:val="20"/>
                <w:szCs w:val="20"/>
                <w:color w:val="auto"/>
              </w:rPr>
            </w:pPr>
          </w:p>
        </w:tc>
        <w:tc>
          <w:tcPr>
            <w:tcW w:w="240" w:type="dxa"/>
            <w:vAlign w:val="bottom"/>
            <w:tcBorders>
              <w:top w:val="single" w:sz="8" w:color="E5E5E5"/>
            </w:tcBorders>
            <w:shd w:val="clear" w:color="auto" w:fill="E5E5E5"/>
          </w:tcPr>
          <w:p>
            <w:pPr>
              <w:spacing w:after="0"/>
              <w:rPr>
                <w:sz w:val="20"/>
                <w:szCs w:val="20"/>
                <w:color w:val="auto"/>
              </w:rPr>
            </w:pPr>
          </w:p>
        </w:tc>
        <w:tc>
          <w:tcPr>
            <w:tcW w:w="20" w:type="dxa"/>
            <w:vAlign w:val="bottom"/>
            <w:tcBorders>
              <w:top w:val="single" w:sz="8" w:color="E5E5E5"/>
            </w:tcBorders>
            <w:shd w:val="clear" w:color="auto" w:fill="E5E5E5"/>
          </w:tcPr>
          <w:p>
            <w:pPr>
              <w:spacing w:after="0"/>
              <w:rPr>
                <w:sz w:val="20"/>
                <w:szCs w:val="20"/>
                <w:color w:val="auto"/>
              </w:rPr>
            </w:pPr>
          </w:p>
        </w:tc>
        <w:tc>
          <w:tcPr>
            <w:tcW w:w="120" w:type="dxa"/>
            <w:vAlign w:val="bottom"/>
            <w:tcBorders>
              <w:top w:val="single" w:sz="8" w:color="auto"/>
            </w:tcBorders>
            <w:shd w:val="clear" w:color="auto" w:fill="E5E5E5"/>
          </w:tcPr>
          <w:p>
            <w:pPr>
              <w:spacing w:after="0"/>
              <w:rPr>
                <w:sz w:val="20"/>
                <w:szCs w:val="20"/>
                <w:color w:val="auto"/>
              </w:rPr>
            </w:pPr>
          </w:p>
        </w:tc>
        <w:tc>
          <w:tcPr>
            <w:tcW w:w="1000" w:type="dxa"/>
            <w:vAlign w:val="bottom"/>
            <w:tcBorders>
              <w:top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80" w:type="dxa"/>
            <w:vAlign w:val="bottom"/>
            <w:tcBorders>
              <w:bottom w:val="single" w:sz="8" w:color="E5E5E5"/>
            </w:tcBorders>
          </w:tcPr>
          <w:p>
            <w:pPr>
              <w:ind w:left="240"/>
              <w:spacing w:after="0"/>
              <w:rPr>
                <w:sz w:val="20"/>
                <w:szCs w:val="20"/>
                <w:color w:val="auto"/>
              </w:rPr>
            </w:pPr>
            <w:r>
              <w:rPr>
                <w:rFonts w:ascii="Arial" w:cs="Arial" w:eastAsia="Arial" w:hAnsi="Arial"/>
                <w:sz w:val="20"/>
                <w:szCs w:val="20"/>
                <w:color w:val="auto"/>
              </w:rPr>
              <w:t>Weighted average shares of common stock outstanding, basic and diluted</w:t>
            </w:r>
          </w:p>
        </w:tc>
        <w:tc>
          <w:tcPr>
            <w:tcW w:w="1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122,564,741</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77,296,665</w:t>
            </w:r>
          </w:p>
        </w:tc>
        <w:tc>
          <w:tcPr>
            <w:tcW w:w="0" w:type="dxa"/>
            <w:vAlign w:val="bottom"/>
          </w:tcPr>
          <w:p>
            <w:pPr>
              <w:spacing w:after="0"/>
              <w:rPr>
                <w:sz w:val="1"/>
                <w:szCs w:val="1"/>
                <w:color w:val="auto"/>
              </w:rPr>
            </w:pPr>
          </w:p>
        </w:tc>
      </w:tr>
      <w:tr>
        <w:trPr>
          <w:trHeight w:val="242"/>
        </w:trPr>
        <w:tc>
          <w:tcPr>
            <w:tcW w:w="6980" w:type="dxa"/>
            <w:vAlign w:val="bottom"/>
            <w:shd w:val="clear" w:color="auto" w:fill="E5E5E5"/>
          </w:tcPr>
          <w:p>
            <w:pPr>
              <w:spacing w:after="0"/>
              <w:rPr>
                <w:sz w:val="20"/>
                <w:szCs w:val="20"/>
                <w:color w:val="auto"/>
              </w:rPr>
            </w:pPr>
            <w:r>
              <w:rPr>
                <w:rFonts w:ascii="Arial" w:cs="Arial" w:eastAsia="Arial" w:hAnsi="Arial"/>
                <w:sz w:val="20"/>
                <w:szCs w:val="20"/>
                <w:color w:val="auto"/>
              </w:rPr>
              <w:t>Net loss per share, basic and diluted</w:t>
            </w:r>
          </w:p>
        </w:tc>
        <w:tc>
          <w:tcPr>
            <w:tcW w:w="140" w:type="dxa"/>
            <w:vAlign w:val="bottom"/>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(0.53)</w:t>
            </w:r>
          </w:p>
        </w:tc>
        <w:tc>
          <w:tcPr>
            <w:tcW w:w="240" w:type="dxa"/>
            <w:vAlign w:val="bottom"/>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(1.71)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The Company’s potentially dilutive securities, which included stock options and RSUs, have been excluded from the computation of diluted net loss per share since the effect would be to reduce the net loss per share. Therefore, the weighted average number of shares of common stock outstanding used to calculate both basic and diluted net loss per share is the same. For the years ended December 31, 2025 and 2024, the basic and diluted weighted average shares outstanding included the shares of common stock issuable upon exercise of the outstanding Warrants, as there were no outstanding contingencies associated with the vesting or exercisability of the Warrants.</w:t>
      </w:r>
    </w:p>
    <w:p>
      <w:pPr>
        <w:spacing w:after="0" w:line="161"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following table presents potential shares of common stock excluded from the calculation of diluted net loss per share for the years ended December 31, 2025 and 2024. All share amounts presented in the table below represent the total number outstanding as of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04"/>
        </w:trPr>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173"/>
        </w:trPr>
        <w:tc>
          <w:tcPr>
            <w:tcW w:w="75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000" w:type="dxa"/>
            <w:vAlign w:val="bottom"/>
            <w:tcBorders>
              <w:bottom w:val="single" w:sz="8" w:color="auto"/>
            </w:tcBorders>
          </w:tcPr>
          <w:p>
            <w:pPr>
              <w:jc w:val="right"/>
              <w:ind w:right="250"/>
              <w:spacing w:after="0" w:line="173"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E5E5E5"/>
            </w:tcBorders>
          </w:tcPr>
          <w:p>
            <w:pPr>
              <w:spacing w:after="0"/>
              <w:rPr>
                <w:sz w:val="15"/>
                <w:szCs w:val="15"/>
                <w:color w:val="auto"/>
              </w:rPr>
            </w:pPr>
          </w:p>
        </w:tc>
        <w:tc>
          <w:tcPr>
            <w:tcW w:w="96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89"/>
              </w:rPr>
              <w:t>2024</w:t>
            </w:r>
          </w:p>
        </w:tc>
      </w:tr>
      <w:tr>
        <w:trPr>
          <w:trHeight w:val="220"/>
        </w:trPr>
        <w:tc>
          <w:tcPr>
            <w:tcW w:w="7540" w:type="dxa"/>
            <w:vAlign w:val="bottom"/>
            <w:gridSpan w:val="2"/>
            <w:shd w:val="clear" w:color="auto" w:fill="E5E5E5"/>
          </w:tcPr>
          <w:p>
            <w:pPr>
              <w:ind w:left="360"/>
              <w:spacing w:after="0" w:line="220" w:lineRule="exact"/>
              <w:rPr>
                <w:sz w:val="20"/>
                <w:szCs w:val="20"/>
                <w:color w:val="auto"/>
              </w:rPr>
            </w:pPr>
            <w:r>
              <w:rPr>
                <w:rFonts w:ascii="Arial" w:cs="Arial" w:eastAsia="Arial" w:hAnsi="Arial"/>
                <w:sz w:val="20"/>
                <w:szCs w:val="20"/>
                <w:color w:val="auto"/>
              </w:rPr>
              <w:t>Options to purchase common stock</w:t>
            </w:r>
          </w:p>
        </w:tc>
        <w:tc>
          <w:tcPr>
            <w:tcW w:w="100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w w:val="93"/>
              </w:rPr>
              <w:t>11,269,399</w:t>
            </w:r>
          </w:p>
        </w:tc>
        <w:tc>
          <w:tcPr>
            <w:tcW w:w="1180" w:type="dxa"/>
            <w:vAlign w:val="bottom"/>
            <w:gridSpan w:val="2"/>
            <w:shd w:val="clear" w:color="auto" w:fill="E5E5E5"/>
          </w:tcPr>
          <w:p>
            <w:pPr>
              <w:jc w:val="center"/>
              <w:ind w:left="160"/>
              <w:spacing w:after="0" w:line="220" w:lineRule="exact"/>
              <w:rPr>
                <w:sz w:val="20"/>
                <w:szCs w:val="20"/>
                <w:color w:val="auto"/>
              </w:rPr>
            </w:pPr>
            <w:r>
              <w:rPr>
                <w:rFonts w:ascii="Arial" w:cs="Arial" w:eastAsia="Arial" w:hAnsi="Arial"/>
                <w:sz w:val="20"/>
                <w:szCs w:val="20"/>
                <w:color w:val="auto"/>
                <w:w w:val="89"/>
              </w:rPr>
              <w:t>6,721,967</w:t>
            </w:r>
          </w:p>
        </w:tc>
      </w:tr>
      <w:tr>
        <w:trPr>
          <w:trHeight w:val="230"/>
        </w:trPr>
        <w:tc>
          <w:tcPr>
            <w:tcW w:w="7540" w:type="dxa"/>
            <w:vAlign w:val="bottom"/>
            <w:tcBorders>
              <w:bottom w:val="single" w:sz="8" w:color="E5E5E5"/>
            </w:tcBorders>
            <w:gridSpan w:val="2"/>
          </w:tcPr>
          <w:p>
            <w:pPr>
              <w:ind w:left="360"/>
              <w:spacing w:after="0"/>
              <w:rPr>
                <w:sz w:val="20"/>
                <w:szCs w:val="20"/>
                <w:color w:val="auto"/>
              </w:rPr>
            </w:pPr>
            <w:r>
              <w:rPr>
                <w:rFonts w:ascii="Arial" w:cs="Arial" w:eastAsia="Arial" w:hAnsi="Arial"/>
                <w:sz w:val="20"/>
                <w:szCs w:val="20"/>
                <w:color w:val="auto"/>
              </w:rPr>
              <w:t>Restricted stock units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2,803,231</w:t>
            </w:r>
          </w:p>
        </w:tc>
        <w:tc>
          <w:tcPr>
            <w:tcW w:w="220" w:type="dxa"/>
            <w:vAlign w:val="bottom"/>
            <w:tcBorders>
              <w:bottom w:val="single" w:sz="8" w:color="E5E5E5"/>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2,276,151</w:t>
            </w:r>
          </w:p>
        </w:tc>
      </w:tr>
      <w:tr>
        <w:trPr>
          <w:trHeight w:val="230"/>
        </w:trPr>
        <w:tc>
          <w:tcPr>
            <w:tcW w:w="75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Total potential shares of common stock</w:t>
            </w:r>
          </w:p>
        </w:tc>
        <w:tc>
          <w:tcPr>
            <w:tcW w:w="20" w:type="dxa"/>
            <w:vAlign w:val="bottom"/>
            <w:tcBorders>
              <w:bottom w:val="single" w:sz="8" w:color="auto"/>
            </w:tcBorders>
            <w:shd w:val="clear" w:color="auto" w:fill="E5E5E5"/>
          </w:tcPr>
          <w:p>
            <w:pPr>
              <w:spacing w:after="0"/>
              <w:rPr>
                <w:sz w:val="20"/>
                <w:szCs w:val="20"/>
                <w:color w:val="auto"/>
              </w:rPr>
            </w:pPr>
          </w:p>
        </w:tc>
        <w:tc>
          <w:tcPr>
            <w:tcW w:w="1000" w:type="dxa"/>
            <w:vAlign w:val="bottom"/>
            <w:tcBorders>
              <w:bottom w:val="single" w:sz="8" w:color="auto"/>
            </w:tcBorders>
            <w:shd w:val="clear" w:color="auto" w:fill="E5E5E5"/>
          </w:tcPr>
          <w:p>
            <w:pPr>
              <w:jc w:val="right"/>
              <w:spacing w:after="0" w:line="221" w:lineRule="exact"/>
              <w:rPr>
                <w:sz w:val="20"/>
                <w:szCs w:val="20"/>
                <w:color w:val="auto"/>
              </w:rPr>
            </w:pPr>
            <w:r>
              <w:rPr>
                <w:rFonts w:ascii="Arial" w:cs="Arial" w:eastAsia="Arial" w:hAnsi="Arial"/>
                <w:sz w:val="20"/>
                <w:szCs w:val="20"/>
                <w:color w:val="auto"/>
                <w:w w:val="93"/>
              </w:rPr>
              <w:t>14,072,630</w:t>
            </w:r>
          </w:p>
        </w:tc>
        <w:tc>
          <w:tcPr>
            <w:tcW w:w="220" w:type="dxa"/>
            <w:vAlign w:val="bottom"/>
            <w:shd w:val="clear" w:color="auto" w:fill="E5E5E5"/>
          </w:tcPr>
          <w:p>
            <w:pPr>
              <w:spacing w:after="0"/>
              <w:rPr>
                <w:sz w:val="20"/>
                <w:szCs w:val="20"/>
                <w:color w:val="auto"/>
              </w:rPr>
            </w:pPr>
          </w:p>
        </w:tc>
        <w:tc>
          <w:tcPr>
            <w:tcW w:w="960" w:type="dxa"/>
            <w:vAlign w:val="bottom"/>
            <w:tcBorders>
              <w:bottom w:val="single" w:sz="8" w:color="auto"/>
            </w:tcBorders>
            <w:shd w:val="clear" w:color="auto" w:fill="E5E5E5"/>
          </w:tcPr>
          <w:p>
            <w:pPr>
              <w:jc w:val="center"/>
              <w:spacing w:after="0" w:line="221" w:lineRule="exact"/>
              <w:rPr>
                <w:sz w:val="20"/>
                <w:szCs w:val="20"/>
                <w:color w:val="auto"/>
              </w:rPr>
            </w:pPr>
            <w:r>
              <w:rPr>
                <w:rFonts w:ascii="Arial" w:cs="Arial" w:eastAsia="Arial" w:hAnsi="Arial"/>
                <w:sz w:val="20"/>
                <w:szCs w:val="20"/>
                <w:color w:val="auto"/>
                <w:w w:val="89"/>
              </w:rPr>
              <w:t>8,998,118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Leases</w:t>
      </w:r>
    </w:p>
    <w:p>
      <w:pPr>
        <w:spacing w:after="0" w:line="211"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The Company has operating leases for office space and laboratory facilities. Rent expense was $0.8 million and $0.9 million for the years ended December 31, 2025 and 2024, respectively, which was recognized on a straight-line basis over the term of the lease.</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Operating Leases</w:t>
      </w:r>
    </w:p>
    <w:p>
      <w:pPr>
        <w:spacing w:after="0" w:line="236"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Agreements for Office and Laboratory Space</w:t>
      </w:r>
    </w:p>
    <w:p>
      <w:pPr>
        <w:spacing w:after="0" w:line="229"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In May 2023, the Company entered into a lease agreement pursuant to which it leases 11,564 square feet of office space for its headquarters in Wayne, Pennsylvania. The lease commenced in November 2023 and has a term that runs through February 2029.</w:t>
      </w:r>
    </w:p>
    <w:p>
      <w:pPr>
        <w:spacing w:after="0" w:line="178"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In February 2019, the Company entered into a sublease agreement for 20,433 square feet of office and laboratory space in St. Louis, Missouri. The lease commenced in June 2019 and has a term that runs through May 2029. In January 2023, the Company amended the sublease agreement to add an additional 6,261 square feet of office and laboratory space effective February 2023. The Company exercised its option to terminate the leasing of the additional space effective as of June 30, 2024.</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880" w:h="15480" w:orient="portrait"/>
          <w:cols w:equalWidth="0" w:num="1">
            <w:col w:w="9720"/>
          </w:cols>
          <w:pgMar w:left="1080" w:top="1177" w:right="1080" w:bottom="0" w:gutter="0" w:footer="0" w:header="0"/>
          <w:type w:val="continuous"/>
        </w:sectPr>
      </w:pPr>
    </w:p>
    <w:bookmarkStart w:id="102" w:name="page103"/>
    <w:bookmarkEnd w:id="102"/>
    <w:p>
      <w:pPr>
        <w:ind w:left="720"/>
        <w:spacing w:after="0"/>
        <w:rPr>
          <w:sz w:val="20"/>
          <w:szCs w:val="20"/>
          <w:color w:val="auto"/>
        </w:rPr>
      </w:pPr>
      <w:r>
        <w:rPr>
          <w:rFonts w:ascii="Arial" w:cs="Arial" w:eastAsia="Arial" w:hAnsi="Arial"/>
          <w:sz w:val="20"/>
          <w:szCs w:val="20"/>
          <w:color w:val="auto"/>
        </w:rPr>
        <w:t>Supplemental balance sheet information related to operating leases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6"/>
                <w:szCs w:val="16"/>
                <w:b w:val="1"/>
                <w:bCs w:val="1"/>
                <w:color w:val="auto"/>
              </w:rPr>
              <w:t>December 31,</w:t>
            </w:r>
          </w:p>
        </w:tc>
        <w:tc>
          <w:tcPr>
            <w:tcW w:w="114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w w:val="94"/>
              </w:rPr>
              <w:t>December 31,</w:t>
            </w:r>
          </w:p>
        </w:tc>
      </w:tr>
      <w:tr>
        <w:trPr>
          <w:trHeight w:val="203"/>
        </w:trPr>
        <w:tc>
          <w:tcPr>
            <w:tcW w:w="6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2024</w:t>
            </w:r>
          </w:p>
        </w:tc>
      </w:tr>
      <w:tr>
        <w:trPr>
          <w:trHeight w:val="220"/>
        </w:trPr>
        <w:tc>
          <w:tcPr>
            <w:tcW w:w="6920" w:type="dxa"/>
            <w:vAlign w:val="bottom"/>
            <w:shd w:val="clear" w:color="auto" w:fill="E5E5E5"/>
          </w:tcPr>
          <w:p>
            <w:pPr>
              <w:spacing w:after="0" w:line="220" w:lineRule="exact"/>
              <w:rPr>
                <w:sz w:val="20"/>
                <w:szCs w:val="20"/>
                <w:color w:val="auto"/>
              </w:rPr>
            </w:pPr>
            <w:r>
              <w:rPr>
                <w:rFonts w:ascii="Arial" w:cs="Arial" w:eastAsia="Arial" w:hAnsi="Arial"/>
                <w:sz w:val="20"/>
                <w:szCs w:val="20"/>
                <w:b w:val="1"/>
                <w:bCs w:val="1"/>
                <w:color w:val="auto"/>
              </w:rPr>
              <w:t>Operating Leases:</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20"/>
                <w:szCs w:val="20"/>
                <w:color w:val="auto"/>
              </w:rPr>
              <w:t>Gross cost</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4,530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64"/>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4,530</w:t>
            </w:r>
          </w:p>
        </w:tc>
      </w:tr>
      <w:tr>
        <w:trPr>
          <w:trHeight w:val="229"/>
        </w:trPr>
        <w:tc>
          <w:tcPr>
            <w:tcW w:w="69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Accumulated amortization</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300" w:type="dxa"/>
            <w:vAlign w:val="bottom"/>
            <w:gridSpan w:val="2"/>
            <w:shd w:val="clear" w:color="auto" w:fill="E5E5E5"/>
          </w:tcPr>
          <w:p>
            <w:pPr>
              <w:jc w:val="right"/>
              <w:ind w:right="220"/>
              <w:spacing w:after="0"/>
              <w:rPr>
                <w:sz w:val="20"/>
                <w:szCs w:val="20"/>
                <w:color w:val="auto"/>
              </w:rPr>
            </w:pPr>
            <w:r>
              <w:rPr>
                <w:rFonts w:ascii="Arial" w:cs="Arial" w:eastAsia="Arial" w:hAnsi="Arial"/>
                <w:sz w:val="20"/>
                <w:szCs w:val="20"/>
                <w:color w:val="auto"/>
              </w:rPr>
              <w:t>(2,245)</w:t>
            </w:r>
          </w:p>
        </w:tc>
        <w:tc>
          <w:tcPr>
            <w:tcW w:w="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(1,688)</w:t>
            </w:r>
          </w:p>
        </w:tc>
      </w:tr>
      <w:tr>
        <w:trPr>
          <w:trHeight w:val="228"/>
        </w:trPr>
        <w:tc>
          <w:tcPr>
            <w:tcW w:w="6920" w:type="dxa"/>
            <w:vAlign w:val="bottom"/>
            <w:tcBorders>
              <w:bottom w:val="single" w:sz="8" w:color="E5E5E5"/>
            </w:tcBorders>
          </w:tcPr>
          <w:p>
            <w:pPr>
              <w:spacing w:after="0" w:line="220" w:lineRule="exact"/>
              <w:rPr>
                <w:sz w:val="20"/>
                <w:szCs w:val="20"/>
                <w:color w:val="auto"/>
              </w:rPr>
            </w:pPr>
            <w:r>
              <w:rPr>
                <w:rFonts w:ascii="Arial" w:cs="Arial" w:eastAsia="Arial" w:hAnsi="Arial"/>
                <w:sz w:val="20"/>
                <w:szCs w:val="20"/>
                <w:color w:val="auto"/>
              </w:rPr>
              <w:t>Other assets</w:t>
            </w:r>
          </w:p>
        </w:tc>
        <w:tc>
          <w:tcPr>
            <w:tcW w:w="22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2,285</w:t>
            </w:r>
          </w:p>
        </w:tc>
        <w:tc>
          <w:tcPr>
            <w:tcW w:w="22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4"/>
              <w:spacing w:after="0" w:line="220"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2,842</w:t>
            </w:r>
          </w:p>
        </w:tc>
      </w:tr>
      <w:tr>
        <w:trPr>
          <w:trHeight w:val="232"/>
        </w:trPr>
        <w:tc>
          <w:tcPr>
            <w:tcW w:w="69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880" w:type="dxa"/>
            <w:vAlign w:val="bottom"/>
            <w:shd w:val="clear" w:color="auto" w:fill="E5E5E5"/>
          </w:tcPr>
          <w:p>
            <w:pPr>
              <w:spacing w:after="0"/>
              <w:rPr>
                <w:sz w:val="20"/>
                <w:szCs w:val="20"/>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20"/>
                <w:szCs w:val="20"/>
                <w:color w:val="auto"/>
              </w:rPr>
              <w:t>Current portion of lease liabilities</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551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64"/>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481</w:t>
            </w:r>
          </w:p>
        </w:tc>
      </w:tr>
      <w:tr>
        <w:trPr>
          <w:trHeight w:val="229"/>
        </w:trPr>
        <w:tc>
          <w:tcPr>
            <w:tcW w:w="69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Other liabilities</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1,565</w:t>
            </w:r>
          </w:p>
        </w:tc>
        <w:tc>
          <w:tcPr>
            <w:tcW w:w="2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spacing w:after="0"/>
              <w:rPr>
                <w:sz w:val="19"/>
                <w:szCs w:val="19"/>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2,117</w:t>
            </w:r>
          </w:p>
        </w:tc>
      </w:tr>
      <w:tr>
        <w:trPr>
          <w:trHeight w:val="230"/>
        </w:trPr>
        <w:tc>
          <w:tcPr>
            <w:tcW w:w="6920" w:type="dxa"/>
            <w:vAlign w:val="bottom"/>
          </w:tcPr>
          <w:p>
            <w:pPr>
              <w:spacing w:after="0" w:line="221" w:lineRule="exact"/>
              <w:rPr>
                <w:sz w:val="20"/>
                <w:szCs w:val="20"/>
                <w:color w:val="auto"/>
              </w:rPr>
            </w:pPr>
            <w:r>
              <w:rPr>
                <w:rFonts w:ascii="Arial" w:cs="Arial" w:eastAsia="Arial" w:hAnsi="Arial"/>
                <w:sz w:val="20"/>
                <w:szCs w:val="20"/>
                <w:color w:val="auto"/>
              </w:rPr>
              <w:t>Total operating lease liabilities</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2,116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4"/>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2,598</w:t>
            </w:r>
          </w:p>
        </w:tc>
      </w:tr>
    </w:tbl>
    <w:p>
      <w:pPr>
        <w:spacing w:after="0" w:line="211"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Amortization expense related to operating lease right-of- use assets and accretion of operating lease liabilities totaled $0.6 million and $0.5 million for the years ended December 31, 2025 and 2024, respectively.</w:t>
      </w:r>
    </w:p>
    <w:p>
      <w:pPr>
        <w:spacing w:after="0" w:line="15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Supplemental information related to operating leases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b w:val="1"/>
                <w:bCs w:val="1"/>
                <w:color w:val="auto"/>
              </w:rPr>
              <w:t>(In thousands, except for years and percentages)</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gridSpan w:val="7"/>
          </w:tcPr>
          <w:p>
            <w:pPr>
              <w:jc w:val="right"/>
              <w:ind w:right="1040"/>
              <w:spacing w:after="0"/>
              <w:rPr>
                <w:sz w:val="20"/>
                <w:szCs w:val="20"/>
                <w:color w:val="auto"/>
              </w:rPr>
            </w:pPr>
            <w:r>
              <w:rPr>
                <w:rFonts w:ascii="Arial" w:cs="Arial" w:eastAsia="Arial" w:hAnsi="Arial"/>
                <w:sz w:val="16"/>
                <w:szCs w:val="16"/>
                <w:b w:val="1"/>
                <w:bCs w:val="1"/>
                <w:color w:val="auto"/>
              </w:rPr>
              <w:t>December 31,</w:t>
            </w:r>
          </w:p>
        </w:tc>
      </w:tr>
      <w:tr>
        <w:trPr>
          <w:trHeight w:val="173"/>
        </w:trPr>
        <w:tc>
          <w:tcPr>
            <w:tcW w:w="20" w:type="dxa"/>
            <w:vAlign w:val="bottom"/>
          </w:tcPr>
          <w:p>
            <w:pPr>
              <w:spacing w:after="0"/>
              <w:rPr>
                <w:sz w:val="15"/>
                <w:szCs w:val="15"/>
                <w:color w:val="auto"/>
              </w:rPr>
            </w:pPr>
          </w:p>
        </w:tc>
        <w:tc>
          <w:tcPr>
            <w:tcW w:w="6740" w:type="dxa"/>
            <w:vAlign w:val="bottom"/>
            <w:tcBorders>
              <w:top w:val="single" w:sz="8" w:color="auto"/>
              <w:bottom w:val="single" w:sz="8" w:color="E5E5E5"/>
            </w:tcBorders>
          </w:tcPr>
          <w:p>
            <w:pPr>
              <w:spacing w:after="0" w:line="173" w:lineRule="exact"/>
              <w:rPr>
                <w:sz w:val="20"/>
                <w:szCs w:val="20"/>
                <w:color w:val="auto"/>
              </w:rPr>
            </w:pPr>
            <w:r>
              <w:rPr>
                <w:rFonts w:ascii="Arial" w:cs="Arial" w:eastAsia="Arial" w:hAnsi="Arial"/>
                <w:sz w:val="16"/>
                <w:szCs w:val="16"/>
                <w:b w:val="1"/>
                <w:bCs w:val="1"/>
                <w:color w:val="auto"/>
              </w:rPr>
              <w:t>Supplemental Cash Flow Lease Information:</w:t>
            </w:r>
          </w:p>
        </w:tc>
        <w:tc>
          <w:tcPr>
            <w:tcW w:w="220" w:type="dxa"/>
            <w:vAlign w:val="bottom"/>
            <w:tcBorders>
              <w:bottom w:val="single" w:sz="8" w:color="E5E5E5"/>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50"/>
              <w:spacing w:after="0" w:line="173" w:lineRule="exact"/>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E5E5E5"/>
            </w:tcBorders>
          </w:tcPr>
          <w:p>
            <w:pPr>
              <w:spacing w:after="0"/>
              <w:rPr>
                <w:sz w:val="15"/>
                <w:szCs w:val="15"/>
                <w:color w:val="auto"/>
              </w:rPr>
            </w:pPr>
          </w:p>
        </w:tc>
        <w:tc>
          <w:tcPr>
            <w:tcW w:w="60" w:type="dxa"/>
            <w:vAlign w:val="bottom"/>
            <w:tcBorders>
              <w:top w:val="single" w:sz="8" w:color="auto"/>
              <w:bottom w:val="single" w:sz="8" w:color="E5E5E5"/>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85"/>
              <w:spacing w:after="0" w:line="17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E5E5E5"/>
            </w:tcBorders>
          </w:tcPr>
          <w:p>
            <w:pPr>
              <w:spacing w:after="0"/>
              <w:rPr>
                <w:sz w:val="15"/>
                <w:szCs w:val="15"/>
                <w:color w:val="auto"/>
              </w:rPr>
            </w:pPr>
          </w:p>
        </w:tc>
      </w:tr>
      <w:tr>
        <w:trPr>
          <w:trHeight w:val="220"/>
        </w:trPr>
        <w:tc>
          <w:tcPr>
            <w:tcW w:w="20" w:type="dxa"/>
            <w:vAlign w:val="bottom"/>
          </w:tcPr>
          <w:p>
            <w:pPr>
              <w:spacing w:after="0"/>
              <w:rPr>
                <w:sz w:val="19"/>
                <w:szCs w:val="19"/>
                <w:color w:val="auto"/>
              </w:rPr>
            </w:pPr>
          </w:p>
        </w:tc>
        <w:tc>
          <w:tcPr>
            <w:tcW w:w="6740" w:type="dxa"/>
            <w:vAlign w:val="bottom"/>
            <w:shd w:val="clear" w:color="auto" w:fill="E5E5E5"/>
          </w:tcPr>
          <w:p>
            <w:pPr>
              <w:ind w:left="340"/>
              <w:spacing w:after="0" w:line="220" w:lineRule="exact"/>
              <w:rPr>
                <w:sz w:val="20"/>
                <w:szCs w:val="20"/>
                <w:color w:val="auto"/>
              </w:rPr>
            </w:pPr>
            <w:r>
              <w:rPr>
                <w:rFonts w:ascii="Arial" w:cs="Arial" w:eastAsia="Arial" w:hAnsi="Arial"/>
                <w:sz w:val="20"/>
                <w:szCs w:val="20"/>
                <w:color w:val="auto"/>
              </w:rPr>
              <w:t>Operating cash flows from operating leases</w:t>
            </w:r>
          </w:p>
        </w:tc>
        <w:tc>
          <w:tcPr>
            <w:tcW w:w="580" w:type="dxa"/>
            <w:vAlign w:val="bottom"/>
            <w:gridSpan w:val="2"/>
            <w:shd w:val="clear" w:color="auto" w:fill="E5E5E5"/>
          </w:tcPr>
          <w:p>
            <w:pPr>
              <w:jc w:val="right"/>
              <w:ind w:right="260"/>
              <w:spacing w:after="0" w:line="220" w:lineRule="exact"/>
              <w:rPr>
                <w:sz w:val="20"/>
                <w:szCs w:val="20"/>
                <w:color w:val="auto"/>
              </w:rPr>
            </w:pPr>
            <w:r>
              <w:rPr>
                <w:rFonts w:ascii="Arial" w:cs="Arial" w:eastAsia="Arial" w:hAnsi="Arial"/>
                <w:sz w:val="20"/>
                <w:szCs w:val="20"/>
                <w:color w:val="auto"/>
              </w:rPr>
              <w:t>$</w:t>
            </w:r>
          </w:p>
        </w:tc>
        <w:tc>
          <w:tcPr>
            <w:tcW w:w="800" w:type="dxa"/>
            <w:vAlign w:val="bottom"/>
            <w:gridSpan w:val="2"/>
            <w:shd w:val="clear" w:color="auto" w:fill="E5E5E5"/>
          </w:tcPr>
          <w:p>
            <w:pPr>
              <w:jc w:val="right"/>
              <w:ind w:right="60"/>
              <w:spacing w:after="0" w:line="220" w:lineRule="exact"/>
              <w:rPr>
                <w:sz w:val="20"/>
                <w:szCs w:val="20"/>
                <w:color w:val="auto"/>
              </w:rPr>
            </w:pPr>
            <w:r>
              <w:rPr>
                <w:rFonts w:ascii="Arial" w:cs="Arial" w:eastAsia="Arial" w:hAnsi="Arial"/>
                <w:sz w:val="20"/>
                <w:szCs w:val="20"/>
                <w:color w:val="auto"/>
              </w:rPr>
              <w:t>755</w:t>
            </w:r>
          </w:p>
        </w:tc>
        <w:tc>
          <w:tcPr>
            <w:tcW w:w="180" w:type="dxa"/>
            <w:vAlign w:val="bottom"/>
            <w:shd w:val="clear" w:color="auto" w:fill="E5E5E5"/>
          </w:tcPr>
          <w:p>
            <w:pPr>
              <w:spacing w:after="0"/>
              <w:rPr>
                <w:sz w:val="19"/>
                <w:szCs w:val="19"/>
                <w:color w:val="auto"/>
              </w:rPr>
            </w:pPr>
          </w:p>
        </w:tc>
        <w:tc>
          <w:tcPr>
            <w:tcW w:w="340" w:type="dxa"/>
            <w:vAlign w:val="bottom"/>
            <w:gridSpan w:val="2"/>
            <w:shd w:val="clear" w:color="auto" w:fill="E5E5E5"/>
          </w:tcPr>
          <w:p>
            <w:pPr>
              <w:jc w:val="right"/>
              <w:ind w:right="180"/>
              <w:spacing w:after="0" w:line="220" w:lineRule="exact"/>
              <w:rPr>
                <w:sz w:val="20"/>
                <w:szCs w:val="20"/>
                <w:color w:val="auto"/>
              </w:rPr>
            </w:pPr>
            <w:r>
              <w:rPr>
                <w:rFonts w:ascii="Arial" w:cs="Arial" w:eastAsia="Arial" w:hAnsi="Arial"/>
                <w:sz w:val="20"/>
                <w:szCs w:val="20"/>
                <w:color w:val="auto"/>
              </w:rPr>
              <w:t>$</w:t>
            </w:r>
          </w:p>
        </w:tc>
        <w:tc>
          <w:tcPr>
            <w:tcW w:w="82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736</w:t>
            </w:r>
          </w:p>
        </w:tc>
        <w:tc>
          <w:tcPr>
            <w:tcW w:w="240" w:type="dxa"/>
            <w:vAlign w:val="bottom"/>
            <w:shd w:val="clear" w:color="auto" w:fill="E5E5E5"/>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740" w:type="dxa"/>
            <w:vAlign w:val="bottom"/>
            <w:shd w:val="clear" w:color="auto" w:fill="E5E5E5"/>
          </w:tcPr>
          <w:p>
            <w:pPr>
              <w:spacing w:after="0"/>
              <w:rPr>
                <w:sz w:val="20"/>
                <w:szCs w:val="20"/>
                <w:color w:val="auto"/>
              </w:rPr>
            </w:pPr>
            <w:r>
              <w:rPr>
                <w:rFonts w:ascii="Arial" w:cs="Arial" w:eastAsia="Arial" w:hAnsi="Arial"/>
                <w:sz w:val="20"/>
                <w:szCs w:val="20"/>
                <w:b w:val="1"/>
                <w:bCs w:val="1"/>
                <w:color w:val="auto"/>
              </w:rPr>
              <w:t>Weighted Average Remaining Lease Term (in years):</w:t>
            </w:r>
          </w:p>
        </w:tc>
        <w:tc>
          <w:tcPr>
            <w:tcW w:w="22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Arial" w:cs="Arial" w:eastAsia="Arial" w:hAnsi="Arial"/>
                <w:sz w:val="20"/>
                <w:szCs w:val="20"/>
                <w:color w:val="auto"/>
              </w:rPr>
              <w:t>Operating leases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3.3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4.3</w:t>
            </w:r>
          </w:p>
        </w:tc>
        <w:tc>
          <w:tcPr>
            <w:tcW w:w="240" w:type="dxa"/>
            <w:vAlign w:val="bottom"/>
          </w:tcPr>
          <w:p>
            <w:pPr>
              <w:spacing w:after="0"/>
              <w:rPr>
                <w:sz w:val="19"/>
                <w:szCs w:val="19"/>
                <w:color w:val="auto"/>
              </w:rPr>
            </w:pPr>
          </w:p>
        </w:tc>
      </w:tr>
      <w:tr>
        <w:trPr>
          <w:trHeight w:val="253"/>
        </w:trPr>
        <w:tc>
          <w:tcPr>
            <w:tcW w:w="20" w:type="dxa"/>
            <w:vAlign w:val="bottom"/>
          </w:tcPr>
          <w:p>
            <w:pPr>
              <w:spacing w:after="0"/>
              <w:rPr>
                <w:sz w:val="22"/>
                <w:szCs w:val="22"/>
                <w:color w:val="auto"/>
              </w:rPr>
            </w:pPr>
          </w:p>
        </w:tc>
        <w:tc>
          <w:tcPr>
            <w:tcW w:w="674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720" w:type="dxa"/>
            <w:vAlign w:val="bottom"/>
            <w:shd w:val="clear" w:color="auto" w:fill="E5E5E5"/>
          </w:tcPr>
          <w:p>
            <w:pPr>
              <w:spacing w:after="0"/>
              <w:rPr>
                <w:sz w:val="22"/>
                <w:szCs w:val="22"/>
                <w:color w:val="auto"/>
              </w:rPr>
            </w:pPr>
          </w:p>
        </w:tc>
        <w:tc>
          <w:tcPr>
            <w:tcW w:w="8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6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82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r>
      <w:tr>
        <w:trPr>
          <w:trHeight w:val="253"/>
        </w:trPr>
        <w:tc>
          <w:tcPr>
            <w:tcW w:w="20" w:type="dxa"/>
            <w:vAlign w:val="bottom"/>
          </w:tcPr>
          <w:p>
            <w:pPr>
              <w:spacing w:after="0"/>
              <w:rPr>
                <w:sz w:val="22"/>
                <w:szCs w:val="22"/>
                <w:color w:val="auto"/>
              </w:rPr>
            </w:pPr>
          </w:p>
        </w:tc>
        <w:tc>
          <w:tcPr>
            <w:tcW w:w="6740" w:type="dxa"/>
            <w:vAlign w:val="bottom"/>
          </w:tcPr>
          <w:p>
            <w:pPr>
              <w:spacing w:after="0"/>
              <w:rPr>
                <w:sz w:val="20"/>
                <w:szCs w:val="20"/>
                <w:color w:val="auto"/>
              </w:rPr>
            </w:pPr>
            <w:r>
              <w:rPr>
                <w:rFonts w:ascii="Arial" w:cs="Arial" w:eastAsia="Arial" w:hAnsi="Arial"/>
                <w:sz w:val="20"/>
                <w:szCs w:val="20"/>
                <w:b w:val="1"/>
                <w:bCs w:val="1"/>
                <w:color w:val="auto"/>
              </w:rPr>
              <w:t>Weighted Average Discount Rate:</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3"/>
        </w:trPr>
        <w:tc>
          <w:tcPr>
            <w:tcW w:w="20" w:type="dxa"/>
            <w:vAlign w:val="bottom"/>
          </w:tcPr>
          <w:p>
            <w:pPr>
              <w:spacing w:after="0"/>
              <w:rPr>
                <w:sz w:val="22"/>
                <w:szCs w:val="22"/>
                <w:color w:val="auto"/>
              </w:rPr>
            </w:pPr>
          </w:p>
        </w:tc>
        <w:tc>
          <w:tcPr>
            <w:tcW w:w="6740" w:type="dxa"/>
            <w:vAlign w:val="bottom"/>
            <w:shd w:val="clear" w:color="auto" w:fill="E5E5E5"/>
          </w:tcPr>
          <w:p>
            <w:pPr>
              <w:ind w:left="340"/>
              <w:spacing w:after="0"/>
              <w:rPr>
                <w:sz w:val="20"/>
                <w:szCs w:val="20"/>
                <w:color w:val="auto"/>
              </w:rPr>
            </w:pPr>
            <w:r>
              <w:rPr>
                <w:rFonts w:ascii="Arial" w:cs="Arial" w:eastAsia="Arial" w:hAnsi="Arial"/>
                <w:sz w:val="20"/>
                <w:szCs w:val="20"/>
                <w:color w:val="auto"/>
              </w:rPr>
              <w:t>Operating leases</w:t>
            </w:r>
          </w:p>
        </w:tc>
        <w:tc>
          <w:tcPr>
            <w:tcW w:w="22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980" w:type="dxa"/>
            <w:vAlign w:val="bottom"/>
            <w:gridSpan w:val="3"/>
            <w:shd w:val="clear" w:color="auto" w:fill="E5E5E5"/>
          </w:tcPr>
          <w:p>
            <w:pPr>
              <w:jc w:val="right"/>
              <w:spacing w:after="0"/>
              <w:rPr>
                <w:sz w:val="20"/>
                <w:szCs w:val="20"/>
                <w:color w:val="auto"/>
              </w:rPr>
            </w:pPr>
            <w:r>
              <w:rPr>
                <w:rFonts w:ascii="Arial" w:cs="Arial" w:eastAsia="Arial" w:hAnsi="Arial"/>
                <w:sz w:val="20"/>
                <w:szCs w:val="20"/>
                <w:color w:val="auto"/>
              </w:rPr>
              <w:t>10.1 %</w:t>
            </w:r>
          </w:p>
        </w:tc>
        <w:tc>
          <w:tcPr>
            <w:tcW w:w="6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060" w:type="dxa"/>
            <w:vAlign w:val="bottom"/>
            <w:gridSpan w:val="2"/>
            <w:shd w:val="clear" w:color="auto" w:fill="E5E5E5"/>
          </w:tcPr>
          <w:p>
            <w:pPr>
              <w:jc w:val="right"/>
              <w:ind w:right="60"/>
              <w:spacing w:after="0"/>
              <w:rPr>
                <w:sz w:val="20"/>
                <w:szCs w:val="20"/>
                <w:color w:val="auto"/>
              </w:rPr>
            </w:pPr>
            <w:r>
              <w:rPr>
                <w:rFonts w:ascii="Arial" w:cs="Arial" w:eastAsia="Arial" w:hAnsi="Arial"/>
                <w:sz w:val="20"/>
                <w:szCs w:val="20"/>
                <w:color w:val="auto"/>
              </w:rPr>
              <w:t>10.1 %</w:t>
            </w:r>
          </w:p>
        </w:tc>
      </w:tr>
      <w:tr>
        <w:trPr>
          <w:trHeight w:val="477"/>
        </w:trPr>
        <w:tc>
          <w:tcPr>
            <w:tcW w:w="20" w:type="dxa"/>
            <w:vAlign w:val="bottom"/>
          </w:tcPr>
          <w:p>
            <w:pPr>
              <w:spacing w:after="0"/>
              <w:rPr>
                <w:sz w:val="24"/>
                <w:szCs w:val="24"/>
                <w:color w:val="auto"/>
              </w:rPr>
            </w:pPr>
          </w:p>
        </w:tc>
        <w:tc>
          <w:tcPr>
            <w:tcW w:w="7320" w:type="dxa"/>
            <w:vAlign w:val="bottom"/>
            <w:gridSpan w:val="3"/>
          </w:tcPr>
          <w:p>
            <w:pPr>
              <w:ind w:left="700"/>
              <w:spacing w:after="0"/>
              <w:rPr>
                <w:sz w:val="20"/>
                <w:szCs w:val="20"/>
                <w:color w:val="auto"/>
              </w:rPr>
            </w:pPr>
            <w:r>
              <w:rPr>
                <w:rFonts w:ascii="Arial" w:cs="Arial" w:eastAsia="Arial" w:hAnsi="Arial"/>
                <w:sz w:val="20"/>
                <w:szCs w:val="20"/>
                <w:color w:val="auto"/>
                <w:w w:val="89"/>
              </w:rPr>
              <w:t>Future minimum lease payments under operating lease agreements are as follows: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8"/>
        </w:trPr>
        <w:tc>
          <w:tcPr>
            <w:tcW w:w="2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Operating</w:t>
            </w:r>
          </w:p>
        </w:tc>
      </w:tr>
      <w:tr>
        <w:trPr>
          <w:trHeight w:val="203"/>
        </w:trPr>
        <w:tc>
          <w:tcPr>
            <w:tcW w:w="20" w:type="dxa"/>
            <w:vAlign w:val="bottom"/>
          </w:tcPr>
          <w:p>
            <w:pPr>
              <w:spacing w:after="0"/>
              <w:rPr>
                <w:sz w:val="17"/>
                <w:szCs w:val="17"/>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E5E5E5"/>
            </w:tcBorders>
          </w:tcPr>
          <w:p>
            <w:pPr>
              <w:spacing w:after="0"/>
              <w:rPr>
                <w:sz w:val="17"/>
                <w:szCs w:val="17"/>
                <w:color w:val="auto"/>
              </w:rPr>
            </w:pPr>
          </w:p>
        </w:tc>
        <w:tc>
          <w:tcPr>
            <w:tcW w:w="180" w:type="dxa"/>
            <w:vAlign w:val="bottom"/>
            <w:tcBorders>
              <w:bottom w:val="single" w:sz="8" w:color="E5E5E5"/>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Leases</w:t>
            </w:r>
          </w:p>
        </w:tc>
      </w:tr>
      <w:tr>
        <w:trPr>
          <w:trHeight w:val="220"/>
        </w:trPr>
        <w:tc>
          <w:tcPr>
            <w:tcW w:w="20" w:type="dxa"/>
            <w:vAlign w:val="bottom"/>
          </w:tcPr>
          <w:p>
            <w:pPr>
              <w:spacing w:after="0"/>
              <w:rPr>
                <w:sz w:val="19"/>
                <w:szCs w:val="19"/>
                <w:color w:val="auto"/>
              </w:rPr>
            </w:pPr>
          </w:p>
        </w:tc>
        <w:tc>
          <w:tcPr>
            <w:tcW w:w="6740" w:type="dxa"/>
            <w:vAlign w:val="bottom"/>
            <w:shd w:val="clear" w:color="auto" w:fill="E5E5E5"/>
          </w:tcPr>
          <w:p>
            <w:pPr>
              <w:jc w:val="right"/>
              <w:ind w:right="6025"/>
              <w:spacing w:after="0" w:line="220" w:lineRule="exact"/>
              <w:rPr>
                <w:sz w:val="20"/>
                <w:szCs w:val="20"/>
                <w:color w:val="auto"/>
              </w:rPr>
            </w:pPr>
            <w:r>
              <w:rPr>
                <w:rFonts w:ascii="Arial" w:cs="Arial" w:eastAsia="Arial" w:hAnsi="Arial"/>
                <w:sz w:val="20"/>
                <w:szCs w:val="20"/>
                <w:color w:val="auto"/>
              </w:rPr>
              <w:t>2026</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line="220" w:lineRule="exact"/>
              <w:rPr>
                <w:sz w:val="20"/>
                <w:szCs w:val="20"/>
                <w:color w:val="auto"/>
              </w:rPr>
            </w:pPr>
            <w:r>
              <w:rPr>
                <w:rFonts w:ascii="Arial" w:cs="Arial" w:eastAsia="Arial" w:hAnsi="Arial"/>
                <w:sz w:val="20"/>
                <w:szCs w:val="20"/>
                <w:color w:val="auto"/>
              </w:rPr>
              <w:t>711</w:t>
            </w:r>
          </w:p>
        </w:tc>
      </w:tr>
      <w:tr>
        <w:trPr>
          <w:trHeight w:val="230"/>
        </w:trPr>
        <w:tc>
          <w:tcPr>
            <w:tcW w:w="20" w:type="dxa"/>
            <w:vAlign w:val="bottom"/>
          </w:tcPr>
          <w:p>
            <w:pPr>
              <w:spacing w:after="0"/>
              <w:rPr>
                <w:sz w:val="20"/>
                <w:szCs w:val="20"/>
                <w:color w:val="auto"/>
              </w:rPr>
            </w:pPr>
          </w:p>
        </w:tc>
        <w:tc>
          <w:tcPr>
            <w:tcW w:w="6740" w:type="dxa"/>
            <w:vAlign w:val="bottom"/>
          </w:tcPr>
          <w:p>
            <w:pPr>
              <w:jc w:val="right"/>
              <w:ind w:right="6025"/>
              <w:spacing w:after="0"/>
              <w:rPr>
                <w:sz w:val="20"/>
                <w:szCs w:val="20"/>
                <w:color w:val="auto"/>
              </w:rPr>
            </w:pPr>
            <w:r>
              <w:rPr>
                <w:rFonts w:ascii="Arial" w:cs="Arial" w:eastAsia="Arial" w:hAnsi="Arial"/>
                <w:sz w:val="20"/>
                <w:szCs w:val="20"/>
                <w:color w:val="auto"/>
              </w:rPr>
              <w:t>2027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color w:val="auto"/>
              </w:rPr>
              <w:t>760</w:t>
            </w:r>
          </w:p>
        </w:tc>
      </w:tr>
      <w:tr>
        <w:trPr>
          <w:trHeight w:val="229"/>
        </w:trPr>
        <w:tc>
          <w:tcPr>
            <w:tcW w:w="20" w:type="dxa"/>
            <w:vAlign w:val="bottom"/>
          </w:tcPr>
          <w:p>
            <w:pPr>
              <w:spacing w:after="0"/>
              <w:rPr>
                <w:sz w:val="19"/>
                <w:szCs w:val="19"/>
                <w:color w:val="auto"/>
              </w:rPr>
            </w:pPr>
          </w:p>
        </w:tc>
        <w:tc>
          <w:tcPr>
            <w:tcW w:w="6740" w:type="dxa"/>
            <w:vAlign w:val="bottom"/>
            <w:shd w:val="clear" w:color="auto" w:fill="E5E5E5"/>
          </w:tcPr>
          <w:p>
            <w:pPr>
              <w:jc w:val="right"/>
              <w:ind w:right="6025"/>
              <w:spacing w:after="0"/>
              <w:rPr>
                <w:sz w:val="20"/>
                <w:szCs w:val="20"/>
                <w:color w:val="auto"/>
              </w:rPr>
            </w:pPr>
            <w:r>
              <w:rPr>
                <w:rFonts w:ascii="Arial" w:cs="Arial" w:eastAsia="Arial" w:hAnsi="Arial"/>
                <w:sz w:val="20"/>
                <w:szCs w:val="20"/>
                <w:color w:val="auto"/>
              </w:rPr>
              <w:t>2028</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rPr>
                <w:sz w:val="20"/>
                <w:szCs w:val="20"/>
                <w:color w:val="auto"/>
              </w:rPr>
            </w:pPr>
            <w:r>
              <w:rPr>
                <w:rFonts w:ascii="Arial" w:cs="Arial" w:eastAsia="Arial" w:hAnsi="Arial"/>
                <w:sz w:val="20"/>
                <w:szCs w:val="20"/>
                <w:color w:val="auto"/>
              </w:rPr>
              <w:t>779</w:t>
            </w:r>
          </w:p>
        </w:tc>
      </w:tr>
      <w:tr>
        <w:trPr>
          <w:trHeight w:val="230"/>
        </w:trPr>
        <w:tc>
          <w:tcPr>
            <w:tcW w:w="20" w:type="dxa"/>
            <w:vAlign w:val="bottom"/>
          </w:tcPr>
          <w:p>
            <w:pPr>
              <w:spacing w:after="0"/>
              <w:rPr>
                <w:sz w:val="20"/>
                <w:szCs w:val="20"/>
                <w:color w:val="auto"/>
              </w:rPr>
            </w:pPr>
          </w:p>
        </w:tc>
        <w:tc>
          <w:tcPr>
            <w:tcW w:w="6740" w:type="dxa"/>
            <w:vAlign w:val="bottom"/>
            <w:tcBorders>
              <w:bottom w:val="single" w:sz="8" w:color="E5E5E5"/>
            </w:tcBorders>
          </w:tcPr>
          <w:p>
            <w:pPr>
              <w:jc w:val="right"/>
              <w:ind w:right="6025"/>
              <w:spacing w:after="0"/>
              <w:rPr>
                <w:sz w:val="20"/>
                <w:szCs w:val="20"/>
                <w:color w:val="auto"/>
              </w:rPr>
            </w:pPr>
            <w:r>
              <w:rPr>
                <w:rFonts w:ascii="Arial" w:cs="Arial" w:eastAsia="Arial" w:hAnsi="Arial"/>
                <w:sz w:val="20"/>
                <w:szCs w:val="20"/>
                <w:color w:val="auto"/>
              </w:rPr>
              <w:t>2029</w:t>
            </w:r>
          </w:p>
        </w:tc>
        <w:tc>
          <w:tcPr>
            <w:tcW w:w="220" w:type="dxa"/>
            <w:vAlign w:val="bottom"/>
            <w:tcBorders>
              <w:bottom w:val="single" w:sz="8" w:color="E5E5E5"/>
            </w:tcBorders>
          </w:tcPr>
          <w:p>
            <w:pPr>
              <w:spacing w:after="0"/>
              <w:rPr>
                <w:sz w:val="20"/>
                <w:szCs w:val="20"/>
                <w:color w:val="auto"/>
              </w:rPr>
            </w:pPr>
          </w:p>
        </w:tc>
        <w:tc>
          <w:tcPr>
            <w:tcW w:w="360" w:type="dxa"/>
            <w:vAlign w:val="bottom"/>
            <w:tcBorders>
              <w:bottom w:val="single" w:sz="8" w:color="E5E5E5"/>
            </w:tcBorders>
          </w:tcPr>
          <w:p>
            <w:pPr>
              <w:spacing w:after="0"/>
              <w:rPr>
                <w:sz w:val="20"/>
                <w:szCs w:val="20"/>
                <w:color w:val="auto"/>
              </w:rPr>
            </w:pPr>
          </w:p>
        </w:tc>
        <w:tc>
          <w:tcPr>
            <w:tcW w:w="720" w:type="dxa"/>
            <w:vAlign w:val="bottom"/>
            <w:tcBorders>
              <w:bottom w:val="single" w:sz="8" w:color="E5E5E5"/>
            </w:tcBorders>
          </w:tcPr>
          <w:p>
            <w:pPr>
              <w:spacing w:after="0"/>
              <w:rPr>
                <w:sz w:val="20"/>
                <w:szCs w:val="20"/>
                <w:color w:val="auto"/>
              </w:rPr>
            </w:pPr>
          </w:p>
        </w:tc>
        <w:tc>
          <w:tcPr>
            <w:tcW w:w="80" w:type="dxa"/>
            <w:vAlign w:val="bottom"/>
            <w:tcBorders>
              <w:bottom w:val="single" w:sz="8" w:color="E5E5E5"/>
            </w:tcBorders>
          </w:tcPr>
          <w:p>
            <w:pPr>
              <w:spacing w:after="0"/>
              <w:rPr>
                <w:sz w:val="20"/>
                <w:szCs w:val="20"/>
                <w:color w:val="auto"/>
              </w:rPr>
            </w:pPr>
          </w:p>
        </w:tc>
        <w:tc>
          <w:tcPr>
            <w:tcW w:w="180" w:type="dxa"/>
            <w:vAlign w:val="bottom"/>
            <w:tcBorders>
              <w:bottom w:val="single" w:sz="8" w:color="E5E5E5"/>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260</w:t>
            </w:r>
          </w:p>
        </w:tc>
      </w:tr>
      <w:tr>
        <w:trPr>
          <w:trHeight w:val="220"/>
        </w:trPr>
        <w:tc>
          <w:tcPr>
            <w:tcW w:w="20" w:type="dxa"/>
            <w:vAlign w:val="bottom"/>
          </w:tcPr>
          <w:p>
            <w:pPr>
              <w:spacing w:after="0"/>
              <w:rPr>
                <w:sz w:val="19"/>
                <w:szCs w:val="19"/>
                <w:color w:val="auto"/>
              </w:rPr>
            </w:pPr>
          </w:p>
        </w:tc>
        <w:tc>
          <w:tcPr>
            <w:tcW w:w="674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Total undiscounted lease payments</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60"/>
              <w:spacing w:after="0" w:line="220" w:lineRule="exact"/>
              <w:rPr>
                <w:sz w:val="20"/>
                <w:szCs w:val="20"/>
                <w:color w:val="auto"/>
              </w:rPr>
            </w:pPr>
            <w:r>
              <w:rPr>
                <w:rFonts w:ascii="Arial" w:cs="Arial" w:eastAsia="Arial" w:hAnsi="Arial"/>
                <w:sz w:val="20"/>
                <w:szCs w:val="20"/>
                <w:color w:val="auto"/>
              </w:rPr>
              <w:t>2,511</w:t>
            </w:r>
          </w:p>
        </w:tc>
      </w:tr>
      <w:tr>
        <w:trPr>
          <w:trHeight w:val="253"/>
        </w:trPr>
        <w:tc>
          <w:tcPr>
            <w:tcW w:w="20" w:type="dxa"/>
            <w:vAlign w:val="bottom"/>
          </w:tcPr>
          <w:p>
            <w:pPr>
              <w:spacing w:after="0"/>
              <w:rPr>
                <w:sz w:val="22"/>
                <w:szCs w:val="22"/>
                <w:color w:val="auto"/>
              </w:rPr>
            </w:pPr>
          </w:p>
        </w:tc>
        <w:tc>
          <w:tcPr>
            <w:tcW w:w="6740" w:type="dxa"/>
            <w:vAlign w:val="bottom"/>
          </w:tcPr>
          <w:p>
            <w:pPr>
              <w:spacing w:after="0"/>
              <w:rPr>
                <w:sz w:val="20"/>
                <w:szCs w:val="20"/>
                <w:color w:val="auto"/>
              </w:rPr>
            </w:pPr>
            <w:r>
              <w:rPr>
                <w:rFonts w:ascii="Arial" w:cs="Arial" w:eastAsia="Arial" w:hAnsi="Arial"/>
                <w:sz w:val="20"/>
                <w:szCs w:val="20"/>
                <w:color w:val="auto"/>
              </w:rPr>
              <w:t>Less: unrecognized interest</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(395)</w:t>
            </w:r>
          </w:p>
        </w:tc>
      </w:tr>
      <w:tr>
        <w:trPr>
          <w:trHeight w:val="263"/>
        </w:trPr>
        <w:tc>
          <w:tcPr>
            <w:tcW w:w="20" w:type="dxa"/>
            <w:vAlign w:val="bottom"/>
          </w:tcPr>
          <w:p>
            <w:pPr>
              <w:spacing w:after="0"/>
              <w:rPr>
                <w:sz w:val="22"/>
                <w:szCs w:val="22"/>
                <w:color w:val="auto"/>
              </w:rPr>
            </w:pPr>
          </w:p>
        </w:tc>
        <w:tc>
          <w:tcPr>
            <w:tcW w:w="6740" w:type="dxa"/>
            <w:vAlign w:val="bottom"/>
            <w:shd w:val="clear" w:color="auto" w:fill="E5E5E5"/>
          </w:tcPr>
          <w:p>
            <w:pPr>
              <w:spacing w:after="0"/>
              <w:rPr>
                <w:sz w:val="20"/>
                <w:szCs w:val="20"/>
                <w:color w:val="auto"/>
              </w:rPr>
            </w:pPr>
            <w:r>
              <w:rPr>
                <w:rFonts w:ascii="Arial" w:cs="Arial" w:eastAsia="Arial" w:hAnsi="Arial"/>
                <w:sz w:val="20"/>
                <w:szCs w:val="20"/>
                <w:color w:val="auto"/>
              </w:rPr>
              <w:t>Total lease liability</w:t>
            </w:r>
          </w:p>
        </w:tc>
        <w:tc>
          <w:tcPr>
            <w:tcW w:w="220" w:type="dxa"/>
            <w:vAlign w:val="bottom"/>
            <w:shd w:val="clear" w:color="auto" w:fill="E5E5E5"/>
          </w:tcPr>
          <w:p>
            <w:pPr>
              <w:spacing w:after="0"/>
              <w:rPr>
                <w:sz w:val="22"/>
                <w:szCs w:val="22"/>
                <w:color w:val="auto"/>
              </w:rPr>
            </w:pPr>
          </w:p>
        </w:tc>
        <w:tc>
          <w:tcPr>
            <w:tcW w:w="360" w:type="dxa"/>
            <w:vAlign w:val="bottom"/>
            <w:shd w:val="clear" w:color="auto" w:fill="E5E5E5"/>
          </w:tcPr>
          <w:p>
            <w:pPr>
              <w:spacing w:after="0"/>
              <w:rPr>
                <w:sz w:val="22"/>
                <w:szCs w:val="22"/>
                <w:color w:val="auto"/>
              </w:rPr>
            </w:pPr>
          </w:p>
        </w:tc>
        <w:tc>
          <w:tcPr>
            <w:tcW w:w="720" w:type="dxa"/>
            <w:vAlign w:val="bottom"/>
            <w:shd w:val="clear" w:color="auto" w:fill="E5E5E5"/>
          </w:tcPr>
          <w:p>
            <w:pPr>
              <w:spacing w:after="0"/>
              <w:rPr>
                <w:sz w:val="22"/>
                <w:szCs w:val="22"/>
                <w:color w:val="auto"/>
              </w:rPr>
            </w:pPr>
          </w:p>
        </w:tc>
        <w:tc>
          <w:tcPr>
            <w:tcW w:w="80" w:type="dxa"/>
            <w:vAlign w:val="bottom"/>
            <w:shd w:val="clear" w:color="auto" w:fill="E5E5E5"/>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340" w:type="dxa"/>
            <w:vAlign w:val="bottom"/>
            <w:tcBorders>
              <w:bottom w:val="single" w:sz="8" w:color="auto"/>
            </w:tcBorders>
            <w:gridSpan w:val="2"/>
            <w:shd w:val="clear" w:color="auto" w:fill="E5E5E5"/>
          </w:tcPr>
          <w:p>
            <w:pPr>
              <w:jc w:val="right"/>
              <w:ind w:right="240"/>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20"/>
                <w:szCs w:val="20"/>
                <w:color w:val="auto"/>
              </w:rPr>
              <w:t>2,116</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Income Taxes</w:t>
      </w:r>
    </w:p>
    <w:p>
      <w:pPr>
        <w:spacing w:after="0" w:line="234" w:lineRule="exact"/>
        <w:rPr>
          <w:sz w:val="20"/>
          <w:szCs w:val="20"/>
          <w:color w:val="auto"/>
        </w:rPr>
      </w:pPr>
    </w:p>
    <w:p>
      <w:pPr>
        <w:ind w:firstLine="720"/>
        <w:spacing w:after="0" w:line="305" w:lineRule="auto"/>
        <w:rPr>
          <w:sz w:val="20"/>
          <w:szCs w:val="20"/>
          <w:color w:val="auto"/>
        </w:rPr>
      </w:pPr>
      <w:r>
        <w:rPr>
          <w:rFonts w:ascii="Arial" w:cs="Arial" w:eastAsia="Arial" w:hAnsi="Arial"/>
          <w:sz w:val="19"/>
          <w:szCs w:val="19"/>
          <w:color w:val="auto"/>
        </w:rPr>
        <w:t>During the years ended December 31, 2025 and 2024, the Company did not record an income tax benefit for net operating losses incurred in each year due to the uncertainty of realizing a benefit from those items.</w:t>
      </w:r>
    </w:p>
    <w:p>
      <w:pPr>
        <w:spacing w:after="0" w:line="13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Loss before income taxes is allocated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174"/>
        </w:trPr>
        <w:tc>
          <w:tcPr>
            <w:tcW w:w="71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80"/>
              <w:spacing w:after="0" w:line="175"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5"/>
              <w:spacing w:after="0" w:line="175"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3"/>
        </w:trPr>
        <w:tc>
          <w:tcPr>
            <w:tcW w:w="7180" w:type="dxa"/>
            <w:vAlign w:val="bottom"/>
            <w:shd w:val="clear" w:color="auto" w:fill="E5E5E5"/>
          </w:tcPr>
          <w:p>
            <w:pPr>
              <w:spacing w:after="0"/>
              <w:rPr>
                <w:sz w:val="20"/>
                <w:szCs w:val="20"/>
                <w:color w:val="auto"/>
              </w:rPr>
            </w:pPr>
            <w:r>
              <w:rPr>
                <w:rFonts w:ascii="Arial" w:cs="Arial" w:eastAsia="Arial" w:hAnsi="Arial"/>
                <w:sz w:val="20"/>
                <w:szCs w:val="20"/>
                <w:color w:val="auto"/>
              </w:rPr>
              <w:t>U.S. operations</w:t>
            </w:r>
          </w:p>
        </w:tc>
        <w:tc>
          <w:tcPr>
            <w:tcW w:w="220" w:type="dxa"/>
            <w:vAlign w:val="bottom"/>
            <w:shd w:val="clear" w:color="auto" w:fill="E5E5E5"/>
          </w:tcPr>
          <w:p>
            <w:pPr>
              <w:spacing w:after="0"/>
              <w:rPr>
                <w:sz w:val="21"/>
                <w:szCs w:val="21"/>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20"/>
                <w:szCs w:val="20"/>
                <w:color w:val="auto"/>
                <w:w w:val="71"/>
                <w:shd w:val="clear" w:color="auto" w:fill="E5E5E5"/>
              </w:rPr>
              <w:t>$</w:t>
            </w:r>
          </w:p>
        </w:tc>
        <w:tc>
          <w:tcPr>
            <w:tcW w:w="860" w:type="dxa"/>
            <w:vAlign w:val="bottom"/>
            <w:shd w:val="clear" w:color="auto" w:fill="E5E5E5"/>
          </w:tcPr>
          <w:p>
            <w:pPr>
              <w:ind w:left="180"/>
              <w:spacing w:after="0"/>
              <w:rPr>
                <w:sz w:val="20"/>
                <w:szCs w:val="20"/>
                <w:color w:val="auto"/>
              </w:rPr>
            </w:pPr>
            <w:r>
              <w:rPr>
                <w:rFonts w:ascii="Arial" w:cs="Arial" w:eastAsia="Arial" w:hAnsi="Arial"/>
                <w:sz w:val="20"/>
                <w:szCs w:val="20"/>
                <w:color w:val="auto"/>
                <w:w w:val="88"/>
                <w:shd w:val="clear" w:color="auto" w:fill="E5E5E5"/>
              </w:rPr>
              <w:t>(64,923)</w:t>
            </w:r>
          </w:p>
        </w:tc>
        <w:tc>
          <w:tcPr>
            <w:tcW w:w="220" w:type="dxa"/>
            <w:vAlign w:val="bottom"/>
            <w:shd w:val="clear" w:color="auto" w:fill="E5E5E5"/>
          </w:tcPr>
          <w:p>
            <w:pPr>
              <w:spacing w:after="0"/>
              <w:rPr>
                <w:sz w:val="21"/>
                <w:szCs w:val="21"/>
                <w:color w:val="auto"/>
              </w:rPr>
            </w:pPr>
          </w:p>
        </w:tc>
        <w:tc>
          <w:tcPr>
            <w:tcW w:w="200" w:type="dxa"/>
            <w:vAlign w:val="bottom"/>
            <w:gridSpan w:val="2"/>
            <w:shd w:val="clear" w:color="auto" w:fill="E5E5E5"/>
          </w:tcPr>
          <w:p>
            <w:pPr>
              <w:jc w:val="right"/>
              <w:ind w:right="80"/>
              <w:spacing w:after="0"/>
              <w:rPr>
                <w:sz w:val="20"/>
                <w:szCs w:val="20"/>
                <w:color w:val="auto"/>
              </w:rPr>
            </w:pPr>
            <w:r>
              <w:rPr>
                <w:rFonts w:ascii="Arial" w:cs="Arial" w:eastAsia="Arial" w:hAnsi="Arial"/>
                <w:sz w:val="20"/>
                <w:szCs w:val="20"/>
                <w:color w:val="auto"/>
                <w:w w:val="89"/>
                <w:shd w:val="clear" w:color="auto" w:fill="E5E5E5"/>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w w:val="98"/>
                <w:shd w:val="clear" w:color="auto" w:fill="E5E5E5"/>
              </w:rPr>
              <w:t>(132,065)</w:t>
            </w:r>
          </w:p>
        </w:tc>
        <w:tc>
          <w:tcPr>
            <w:tcW w:w="0" w:type="dxa"/>
            <w:vAlign w:val="bottom"/>
          </w:tcPr>
          <w:p>
            <w:pPr>
              <w:spacing w:after="0"/>
              <w:rPr>
                <w:sz w:val="1"/>
                <w:szCs w:val="1"/>
                <w:color w:val="auto"/>
              </w:rPr>
            </w:pPr>
          </w:p>
        </w:tc>
      </w:tr>
      <w:tr>
        <w:trPr>
          <w:trHeight w:val="252"/>
        </w:trPr>
        <w:tc>
          <w:tcPr>
            <w:tcW w:w="7180" w:type="dxa"/>
            <w:vAlign w:val="bottom"/>
            <w:tcBorders>
              <w:bottom w:val="single" w:sz="8" w:color="E5E5E5"/>
            </w:tcBorders>
          </w:tcPr>
          <w:p>
            <w:pPr>
              <w:spacing w:after="0"/>
              <w:rPr>
                <w:sz w:val="20"/>
                <w:szCs w:val="20"/>
                <w:color w:val="auto"/>
              </w:rPr>
            </w:pPr>
            <w:r>
              <w:rPr>
                <w:rFonts w:ascii="Arial" w:cs="Arial" w:eastAsia="Arial" w:hAnsi="Arial"/>
                <w:sz w:val="20"/>
                <w:szCs w:val="20"/>
                <w:color w:val="auto"/>
              </w:rPr>
              <w:t>Foreign operations</w:t>
            </w:r>
          </w:p>
        </w:tc>
        <w:tc>
          <w:tcPr>
            <w:tcW w:w="220" w:type="dxa"/>
            <w:vAlign w:val="bottom"/>
            <w:tcBorders>
              <w:bottom w:val="single" w:sz="8" w:color="E5E5E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7180" w:type="dxa"/>
            <w:vAlign w:val="bottom"/>
            <w:shd w:val="clear" w:color="auto" w:fill="E5E5E5"/>
          </w:tcPr>
          <w:p>
            <w:pPr>
              <w:spacing w:after="0"/>
              <w:rPr>
                <w:sz w:val="20"/>
                <w:szCs w:val="20"/>
                <w:color w:val="auto"/>
              </w:rPr>
            </w:pPr>
            <w:r>
              <w:rPr>
                <w:rFonts w:ascii="Arial" w:cs="Arial" w:eastAsia="Arial" w:hAnsi="Arial"/>
                <w:sz w:val="20"/>
                <w:szCs w:val="20"/>
                <w:color w:val="auto"/>
              </w:rPr>
              <w:t>Loss before income taxes</w:t>
            </w:r>
          </w:p>
        </w:tc>
        <w:tc>
          <w:tcPr>
            <w:tcW w:w="220" w:type="dxa"/>
            <w:vAlign w:val="bottom"/>
            <w:shd w:val="clear" w:color="auto" w:fill="E5E5E5"/>
          </w:tcPr>
          <w:p>
            <w:pPr>
              <w:spacing w:after="0"/>
              <w:rPr>
                <w:sz w:val="22"/>
                <w:szCs w:val="22"/>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71"/>
                <w:shd w:val="clear" w:color="auto" w:fill="E5E5E5"/>
              </w:rPr>
              <w:t>$</w:t>
            </w:r>
          </w:p>
        </w:tc>
        <w:tc>
          <w:tcPr>
            <w:tcW w:w="8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20"/>
                <w:szCs w:val="20"/>
                <w:color w:val="auto"/>
                <w:w w:val="88"/>
                <w:shd w:val="clear" w:color="auto" w:fill="E5E5E5"/>
              </w:rPr>
              <w:t>(64,923)</w:t>
            </w:r>
          </w:p>
        </w:tc>
        <w:tc>
          <w:tcPr>
            <w:tcW w:w="220" w:type="dxa"/>
            <w:vAlign w:val="bottom"/>
            <w:shd w:val="clear" w:color="auto" w:fill="E5E5E5"/>
          </w:tcPr>
          <w:p>
            <w:pPr>
              <w:spacing w:after="0"/>
              <w:rPr>
                <w:sz w:val="22"/>
                <w:szCs w:val="22"/>
                <w:color w:val="auto"/>
              </w:rPr>
            </w:pPr>
          </w:p>
        </w:tc>
        <w:tc>
          <w:tcPr>
            <w:tcW w:w="200" w:type="dxa"/>
            <w:vAlign w:val="bottom"/>
            <w:tcBorders>
              <w:bottom w:val="single" w:sz="8" w:color="auto"/>
            </w:tcBorders>
            <w:gridSpan w:val="2"/>
            <w:shd w:val="clear" w:color="auto" w:fill="E5E5E5"/>
          </w:tcPr>
          <w:p>
            <w:pPr>
              <w:jc w:val="right"/>
              <w:ind w:right="80"/>
              <w:spacing w:after="0"/>
              <w:rPr>
                <w:sz w:val="20"/>
                <w:szCs w:val="20"/>
                <w:color w:val="auto"/>
              </w:rPr>
            </w:pPr>
            <w:r>
              <w:rPr>
                <w:rFonts w:ascii="Arial" w:cs="Arial" w:eastAsia="Arial" w:hAnsi="Arial"/>
                <w:sz w:val="20"/>
                <w:szCs w:val="20"/>
                <w:color w:val="auto"/>
                <w:w w:val="89"/>
                <w:shd w:val="clear" w:color="auto" w:fill="E5E5E5"/>
              </w:rPr>
              <w:t>$</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w w:val="98"/>
                <w:shd w:val="clear" w:color="auto" w:fill="E5E5E5"/>
              </w:rPr>
              <w:t>(132,065)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880" w:h="15480" w:orient="portrait"/>
          <w:cols w:equalWidth="0" w:num="1">
            <w:col w:w="9720"/>
          </w:cols>
          <w:pgMar w:left="1080" w:top="1177" w:right="1080" w:bottom="0" w:gutter="0" w:footer="0" w:header="0"/>
          <w:type w:val="continuous"/>
        </w:sectPr>
      </w:pPr>
    </w:p>
    <w:bookmarkStart w:id="103" w:name="page104"/>
    <w:bookmarkEnd w:id="103"/>
    <w:p>
      <w:pPr>
        <w:ind w:firstLine="720"/>
        <w:spacing w:after="0" w:line="305" w:lineRule="auto"/>
        <w:rPr>
          <w:sz w:val="20"/>
          <w:szCs w:val="20"/>
          <w:color w:val="auto"/>
        </w:rPr>
      </w:pPr>
      <w:r>
        <w:rPr>
          <w:rFonts w:ascii="Arial" w:cs="Arial" w:eastAsia="Arial" w:hAnsi="Arial"/>
          <w:sz w:val="19"/>
          <w:szCs w:val="19"/>
          <w:color w:val="auto"/>
        </w:rPr>
        <w:t>A reconciliation of the provision for income taxes to the amount computed by applying the 21% U.S. federal statutory income tax rate to income before income taxes after the adoption of ASU 2023-09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7"/>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3"/>
        </w:trPr>
        <w:tc>
          <w:tcPr>
            <w:tcW w:w="75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50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Federal taxes at U.S. statutory income tax rate</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w:t>
            </w:r>
          </w:p>
        </w:tc>
        <w:tc>
          <w:tcPr>
            <w:tcW w:w="920" w:type="dxa"/>
            <w:vAlign w:val="bottom"/>
            <w:gridSpan w:val="2"/>
            <w:shd w:val="clear" w:color="auto" w:fill="E5E5E5"/>
          </w:tcPr>
          <w:p>
            <w:pPr>
              <w:jc w:val="right"/>
              <w:ind w:right="200"/>
              <w:spacing w:after="0" w:line="220" w:lineRule="exact"/>
              <w:rPr>
                <w:sz w:val="20"/>
                <w:szCs w:val="20"/>
                <w:color w:val="auto"/>
              </w:rPr>
            </w:pPr>
            <w:r>
              <w:rPr>
                <w:rFonts w:ascii="Arial" w:cs="Arial" w:eastAsia="Arial" w:hAnsi="Arial"/>
                <w:sz w:val="20"/>
                <w:szCs w:val="20"/>
                <w:color w:val="auto"/>
                <w:w w:val="93"/>
              </w:rPr>
              <w:t>(13,634)</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20"/>
                <w:szCs w:val="20"/>
                <w:color w:val="auto"/>
              </w:rPr>
              <w:t>Tax credits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E5E5E5"/>
          </w:tcPr>
          <w:p>
            <w:pPr>
              <w:ind w:left="240"/>
              <w:spacing w:after="0"/>
              <w:rPr>
                <w:sz w:val="20"/>
                <w:szCs w:val="20"/>
                <w:color w:val="auto"/>
              </w:rPr>
            </w:pPr>
            <w:r>
              <w:rPr>
                <w:rFonts w:ascii="Arial" w:cs="Arial" w:eastAsia="Arial" w:hAnsi="Arial"/>
                <w:sz w:val="20"/>
                <w:szCs w:val="20"/>
                <w:color w:val="auto"/>
              </w:rPr>
              <w:t>Research and development tax credits</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20" w:type="dxa"/>
            <w:vAlign w:val="bottom"/>
            <w:gridSpan w:val="2"/>
            <w:shd w:val="clear" w:color="auto" w:fill="E5E5E5"/>
          </w:tcPr>
          <w:p>
            <w:pPr>
              <w:jc w:val="right"/>
              <w:ind w:right="200"/>
              <w:spacing w:after="0"/>
              <w:rPr>
                <w:sz w:val="20"/>
                <w:szCs w:val="20"/>
                <w:color w:val="auto"/>
              </w:rPr>
            </w:pPr>
            <w:r>
              <w:rPr>
                <w:rFonts w:ascii="Arial" w:cs="Arial" w:eastAsia="Arial" w:hAnsi="Arial"/>
                <w:sz w:val="20"/>
                <w:szCs w:val="20"/>
                <w:color w:val="auto"/>
              </w:rPr>
              <w:t>(2,531)</w:t>
            </w:r>
          </w:p>
        </w:tc>
        <w:tc>
          <w:tcPr>
            <w:tcW w:w="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ind w:right="80"/>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20"/>
                <w:szCs w:val="20"/>
                <w:color w:val="auto"/>
              </w:rPr>
              <w:t>Change in valuation allowance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14,366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22.1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E5E5E5"/>
          </w:tcPr>
          <w:p>
            <w:pPr>
              <w:spacing w:after="0"/>
              <w:rPr>
                <w:sz w:val="20"/>
                <w:szCs w:val="20"/>
                <w:color w:val="auto"/>
              </w:rPr>
            </w:pPr>
            <w:r>
              <w:rPr>
                <w:rFonts w:ascii="Arial" w:cs="Arial" w:eastAsia="Arial" w:hAnsi="Arial"/>
                <w:sz w:val="20"/>
                <w:szCs w:val="20"/>
                <w:color w:val="auto"/>
              </w:rPr>
              <w:t>Non-taxable or non-deductible items</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40"/>
              <w:spacing w:after="0"/>
              <w:rPr>
                <w:sz w:val="20"/>
                <w:szCs w:val="20"/>
                <w:color w:val="auto"/>
              </w:rPr>
            </w:pPr>
            <w:r>
              <w:rPr>
                <w:rFonts w:ascii="Arial" w:cs="Arial" w:eastAsia="Arial" w:hAnsi="Arial"/>
                <w:sz w:val="20"/>
                <w:szCs w:val="20"/>
                <w:color w:val="auto"/>
              </w:rPr>
              <w:t>Non-deductible royalty payments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E5E5E5"/>
          </w:tcPr>
          <w:p>
            <w:pPr>
              <w:ind w:left="240"/>
              <w:spacing w:after="0"/>
              <w:rPr>
                <w:sz w:val="20"/>
                <w:szCs w:val="20"/>
                <w:color w:val="auto"/>
              </w:rPr>
            </w:pPr>
            <w:r>
              <w:rPr>
                <w:rFonts w:ascii="Arial" w:cs="Arial" w:eastAsia="Arial" w:hAnsi="Arial"/>
                <w:sz w:val="20"/>
                <w:szCs w:val="20"/>
                <w:color w:val="auto"/>
              </w:rPr>
              <w:t>Other non-deductible items</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1,073</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tcBorders>
              <w:bottom w:val="single" w:sz="8" w:color="auto"/>
            </w:tcBorders>
            <w:shd w:val="clear" w:color="auto" w:fill="E5E5E5"/>
          </w:tcPr>
          <w:p>
            <w:pPr>
              <w:spacing w:after="0"/>
              <w:rPr>
                <w:sz w:val="20"/>
                <w:szCs w:val="20"/>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1.7</w:t>
            </w:r>
          </w:p>
        </w:tc>
        <w:tc>
          <w:tcPr>
            <w:tcW w:w="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tcPr>
          <w:p>
            <w:pPr>
              <w:spacing w:after="0" w:line="221" w:lineRule="exact"/>
              <w:rPr>
                <w:sz w:val="20"/>
                <w:szCs w:val="20"/>
                <w:color w:val="auto"/>
              </w:rPr>
            </w:pPr>
            <w:r>
              <w:rPr>
                <w:rFonts w:ascii="Arial" w:cs="Arial" w:eastAsia="Arial" w:hAnsi="Arial"/>
                <w:sz w:val="20"/>
                <w:szCs w:val="20"/>
                <w:color w:val="auto"/>
              </w:rPr>
              <w:t>Effective income tax rate</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line="221" w:lineRule="exact"/>
              <w:rPr>
                <w:sz w:val="20"/>
                <w:szCs w:val="20"/>
                <w:color w:val="auto"/>
              </w:rPr>
            </w:pPr>
            <w:r>
              <w:rPr>
                <w:rFonts w:ascii="Arial" w:cs="Arial" w:eastAsia="Arial" w:hAnsi="Arial"/>
                <w:sz w:val="20"/>
                <w:szCs w:val="20"/>
                <w:color w:val="auto"/>
              </w:rPr>
              <w:t>$</w:t>
            </w:r>
          </w:p>
        </w:tc>
        <w:tc>
          <w:tcPr>
            <w:tcW w:w="7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0.0</w:t>
            </w:r>
          </w:p>
        </w:tc>
        <w:tc>
          <w:tcPr>
            <w:tcW w:w="180" w:type="dxa"/>
            <w:vAlign w:val="bottom"/>
          </w:tcPr>
          <w:p>
            <w:pPr>
              <w:jc w:val="right"/>
              <w:spacing w:after="0" w:line="221"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18"/>
          <w:szCs w:val="18"/>
          <w:color w:val="auto"/>
        </w:rPr>
        <w:t>A reconciliation of the provision for income taxes to the amount computed by applying the 21% U.S. federal statutory income tax rate to income before income taxes for years prior to the adoption of ASU 2023-09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203"/>
        </w:trPr>
        <w:tc>
          <w:tcPr>
            <w:tcW w:w="98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4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20" w:type="dxa"/>
            <w:vAlign w:val="bottom"/>
            <w:gridSpan w:val="2"/>
            <w:shd w:val="clear" w:color="auto" w:fill="E5E5E5"/>
          </w:tcPr>
          <w:p>
            <w:pPr>
              <w:spacing w:after="0" w:line="220" w:lineRule="exact"/>
              <w:rPr>
                <w:sz w:val="20"/>
                <w:szCs w:val="20"/>
                <w:color w:val="auto"/>
              </w:rPr>
            </w:pPr>
            <w:r>
              <w:rPr>
                <w:rFonts w:ascii="Arial" w:cs="Arial" w:eastAsia="Arial" w:hAnsi="Arial"/>
                <w:sz w:val="20"/>
                <w:szCs w:val="20"/>
                <w:color w:val="auto"/>
              </w:rPr>
              <w:t>Federal statutory income tax rate</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860" w:type="dxa"/>
            <w:vAlign w:val="bottom"/>
            <w:gridSpan w:val="3"/>
            <w:shd w:val="clear" w:color="auto" w:fill="E5E5E5"/>
          </w:tcPr>
          <w:p>
            <w:pPr>
              <w:jc w:val="right"/>
              <w:spacing w:after="0" w:line="220" w:lineRule="exact"/>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40"/>
              <w:spacing w:after="0"/>
              <w:rPr>
                <w:sz w:val="20"/>
                <w:szCs w:val="20"/>
                <w:color w:val="auto"/>
              </w:rPr>
            </w:pPr>
            <w:r>
              <w:rPr>
                <w:rFonts w:ascii="Arial" w:cs="Arial" w:eastAsia="Arial" w:hAnsi="Arial"/>
                <w:sz w:val="20"/>
                <w:szCs w:val="20"/>
                <w:color w:val="auto"/>
              </w:rPr>
              <w:t>State taxes, net of federal benefit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right"/>
              <w:ind w:right="18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E5E5E5"/>
          </w:tcPr>
          <w:p>
            <w:pPr>
              <w:ind w:left="240"/>
              <w:spacing w:after="0"/>
              <w:rPr>
                <w:sz w:val="20"/>
                <w:szCs w:val="20"/>
                <w:color w:val="auto"/>
              </w:rPr>
            </w:pPr>
            <w:r>
              <w:rPr>
                <w:rFonts w:ascii="Arial" w:cs="Arial" w:eastAsia="Arial" w:hAnsi="Arial"/>
                <w:sz w:val="20"/>
                <w:szCs w:val="20"/>
                <w:color w:val="auto"/>
              </w:rPr>
              <w:t>Impact of state rate changes</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860" w:type="dxa"/>
            <w:vAlign w:val="bottom"/>
            <w:gridSpan w:val="3"/>
            <w:shd w:val="clear" w:color="auto" w:fill="E5E5E5"/>
          </w:tcPr>
          <w:p>
            <w:pPr>
              <w:jc w:val="right"/>
              <w:ind w:right="180"/>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40"/>
              <w:spacing w:after="0"/>
              <w:rPr>
                <w:sz w:val="20"/>
                <w:szCs w:val="20"/>
                <w:color w:val="auto"/>
              </w:rPr>
            </w:pPr>
            <w:r>
              <w:rPr>
                <w:rFonts w:ascii="Arial" w:cs="Arial" w:eastAsia="Arial" w:hAnsi="Arial"/>
                <w:sz w:val="20"/>
                <w:szCs w:val="20"/>
                <w:color w:val="auto"/>
              </w:rPr>
              <w:t>Research and development tax credits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right"/>
              <w:ind w:right="180"/>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E5E5E5"/>
          </w:tcPr>
          <w:p>
            <w:pPr>
              <w:ind w:left="240"/>
              <w:spacing w:after="0"/>
              <w:rPr>
                <w:sz w:val="20"/>
                <w:szCs w:val="20"/>
                <w:color w:val="auto"/>
              </w:rPr>
            </w:pPr>
            <w:r>
              <w:rPr>
                <w:rFonts w:ascii="Arial" w:cs="Arial" w:eastAsia="Arial" w:hAnsi="Arial"/>
                <w:sz w:val="20"/>
                <w:szCs w:val="20"/>
                <w:color w:val="auto"/>
              </w:rPr>
              <w:t>Excess equity compensation tax benefit, net of officer limitation</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80" w:type="dxa"/>
            <w:vAlign w:val="bottom"/>
            <w:gridSpan w:val="2"/>
            <w:shd w:val="clear" w:color="auto" w:fill="E5E5E5"/>
          </w:tcPr>
          <w:p>
            <w:pPr>
              <w:jc w:val="right"/>
              <w:ind w:right="60"/>
              <w:spacing w:after="0"/>
              <w:rPr>
                <w:sz w:val="20"/>
                <w:szCs w:val="20"/>
                <w:color w:val="auto"/>
              </w:rPr>
            </w:pPr>
            <w:r>
              <w:rPr>
                <w:rFonts w:ascii="Arial" w:cs="Arial" w:eastAsia="Arial" w:hAnsi="Arial"/>
                <w:sz w:val="20"/>
                <w:szCs w:val="20"/>
                <w:color w:val="auto"/>
              </w:rPr>
              <w:t>0.8</w:t>
            </w:r>
          </w:p>
        </w:tc>
        <w:tc>
          <w:tcPr>
            <w:tcW w:w="18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240"/>
              <w:spacing w:after="0"/>
              <w:rPr>
                <w:sz w:val="20"/>
                <w:szCs w:val="20"/>
                <w:color w:val="auto"/>
              </w:rPr>
            </w:pPr>
            <w:r>
              <w:rPr>
                <w:rFonts w:ascii="Arial" w:cs="Arial" w:eastAsia="Arial" w:hAnsi="Arial"/>
                <w:sz w:val="20"/>
                <w:szCs w:val="20"/>
                <w:color w:val="auto"/>
              </w:rPr>
              <w:t>Revaluation of contingent consideration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20"/>
                <w:szCs w:val="20"/>
                <w:color w:val="auto"/>
              </w:rPr>
              <w:t>0.4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E5E5E5"/>
          </w:tcPr>
          <w:p>
            <w:pPr>
              <w:ind w:left="240"/>
              <w:spacing w:after="0"/>
              <w:rPr>
                <w:sz w:val="20"/>
                <w:szCs w:val="20"/>
                <w:color w:val="auto"/>
              </w:rPr>
            </w:pPr>
            <w:r>
              <w:rPr>
                <w:rFonts w:ascii="Arial" w:cs="Arial" w:eastAsia="Arial" w:hAnsi="Arial"/>
                <w:sz w:val="20"/>
                <w:szCs w:val="20"/>
                <w:color w:val="auto"/>
              </w:rPr>
              <w:t>Non-deductible royalty payments</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680" w:type="dxa"/>
            <w:vAlign w:val="bottom"/>
            <w:gridSpan w:val="2"/>
            <w:shd w:val="clear" w:color="auto" w:fill="E5E5E5"/>
          </w:tcPr>
          <w:p>
            <w:pPr>
              <w:jc w:val="right"/>
              <w:ind w:right="60"/>
              <w:spacing w:after="0"/>
              <w:rPr>
                <w:sz w:val="20"/>
                <w:szCs w:val="20"/>
                <w:color w:val="auto"/>
              </w:rPr>
            </w:pPr>
            <w:r>
              <w:rPr>
                <w:rFonts w:ascii="Arial" w:cs="Arial" w:eastAsia="Arial" w:hAnsi="Arial"/>
                <w:sz w:val="20"/>
                <w:szCs w:val="20"/>
                <w:color w:val="auto"/>
              </w:rPr>
              <w:t>1.8</w:t>
            </w:r>
          </w:p>
        </w:tc>
        <w:tc>
          <w:tcPr>
            <w:tcW w:w="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ind w:left="240"/>
              <w:spacing w:after="0"/>
              <w:rPr>
                <w:sz w:val="20"/>
                <w:szCs w:val="20"/>
                <w:color w:val="auto"/>
              </w:rPr>
            </w:pPr>
            <w:r>
              <w:rPr>
                <w:rFonts w:ascii="Arial" w:cs="Arial" w:eastAsia="Arial" w:hAnsi="Arial"/>
                <w:sz w:val="20"/>
                <w:szCs w:val="20"/>
                <w:color w:val="auto"/>
              </w:rPr>
              <w:t>Change in deferred tax asset valuation allowance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20"/>
                <w:szCs w:val="20"/>
                <w:color w:val="auto"/>
              </w:rPr>
              <w:t>22.1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E5E5E5"/>
          </w:tcPr>
          <w:p>
            <w:pPr>
              <w:ind w:left="240"/>
              <w:spacing w:after="0"/>
              <w:rPr>
                <w:sz w:val="20"/>
                <w:szCs w:val="20"/>
                <w:color w:val="auto"/>
              </w:rPr>
            </w:pPr>
            <w:r>
              <w:rPr>
                <w:rFonts w:ascii="Arial" w:cs="Arial" w:eastAsia="Arial" w:hAnsi="Arial"/>
                <w:sz w:val="20"/>
                <w:szCs w:val="20"/>
                <w:color w:val="auto"/>
              </w:rPr>
              <w:t>Other</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80" w:type="dxa"/>
            <w:vAlign w:val="bottom"/>
            <w:shd w:val="clear" w:color="auto" w:fill="E5E5E5"/>
          </w:tcPr>
          <w:p>
            <w:pPr>
              <w:spacing w:after="0"/>
              <w:rPr>
                <w:sz w:val="20"/>
                <w:szCs w:val="20"/>
                <w:color w:val="auto"/>
              </w:rPr>
            </w:pP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tcBorders>
              <w:bottom w:val="single" w:sz="8" w:color="auto"/>
            </w:tcBorders>
            <w:shd w:val="clear" w:color="auto" w:fill="E5E5E5"/>
          </w:tcPr>
          <w:p>
            <w:pPr>
              <w:spacing w:after="0"/>
              <w:rPr>
                <w:sz w:val="20"/>
                <w:szCs w:val="20"/>
                <w:color w:val="auto"/>
              </w:rPr>
            </w:pPr>
          </w:p>
        </w:tc>
        <w:tc>
          <w:tcPr>
            <w:tcW w:w="168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20"/>
                <w:szCs w:val="20"/>
                <w:color w:val="auto"/>
              </w:rPr>
              <w:t>0.2</w:t>
            </w:r>
          </w:p>
        </w:tc>
        <w:tc>
          <w:tcPr>
            <w:tcW w:w="1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line="221" w:lineRule="exact"/>
              <w:rPr>
                <w:sz w:val="20"/>
                <w:szCs w:val="20"/>
                <w:color w:val="auto"/>
              </w:rPr>
            </w:pPr>
            <w:r>
              <w:rPr>
                <w:rFonts w:ascii="Arial" w:cs="Arial" w:eastAsia="Arial" w:hAnsi="Arial"/>
                <w:sz w:val="20"/>
                <w:szCs w:val="20"/>
                <w:color w:val="auto"/>
              </w:rPr>
              <w:t>Effective income tax rate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right"/>
              <w:spacing w:after="0" w:line="221"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476"/>
        </w:trPr>
        <w:tc>
          <w:tcPr>
            <w:tcW w:w="6220" w:type="dxa"/>
            <w:vAlign w:val="bottom"/>
            <w:gridSpan w:val="2"/>
          </w:tcPr>
          <w:p>
            <w:pPr>
              <w:ind w:left="720"/>
              <w:spacing w:after="0"/>
              <w:rPr>
                <w:sz w:val="20"/>
                <w:szCs w:val="20"/>
                <w:color w:val="auto"/>
              </w:rPr>
            </w:pPr>
            <w:r>
              <w:rPr>
                <w:rFonts w:ascii="Arial" w:cs="Arial" w:eastAsia="Arial" w:hAnsi="Arial"/>
                <w:sz w:val="20"/>
                <w:szCs w:val="20"/>
                <w:color w:val="auto"/>
              </w:rPr>
              <w:t>Deferred tax liabilities, net consisted of the following:</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10"/>
          </w:tcPr>
          <w:p>
            <w:pPr>
              <w:jc w:val="right"/>
              <w:ind w:right="16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980" w:type="dxa"/>
            <w:vAlign w:val="bottom"/>
          </w:tcPr>
          <w:p>
            <w:pPr>
              <w:spacing w:after="0"/>
              <w:rPr>
                <w:sz w:val="15"/>
                <w:szCs w:val="15"/>
                <w:color w:val="auto"/>
              </w:rPr>
            </w:pPr>
          </w:p>
        </w:tc>
        <w:tc>
          <w:tcPr>
            <w:tcW w:w="52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82"/>
              <w:spacing w:after="0" w:line="175" w:lineRule="exact"/>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bottom w:val="single" w:sz="8" w:color="E5E5E5"/>
            </w:tcBorders>
          </w:tcPr>
          <w:p>
            <w:pPr>
              <w:spacing w:after="0"/>
              <w:rPr>
                <w:sz w:val="15"/>
                <w:szCs w:val="15"/>
                <w:color w:val="auto"/>
              </w:rPr>
            </w:pPr>
          </w:p>
        </w:tc>
        <w:tc>
          <w:tcPr>
            <w:tcW w:w="120" w:type="dxa"/>
            <w:vAlign w:val="bottom"/>
            <w:tcBorders>
              <w:top w:val="single" w:sz="8" w:color="auto"/>
              <w:bottom w:val="single" w:sz="8" w:color="E5E5E5"/>
            </w:tcBorders>
          </w:tcPr>
          <w:p>
            <w:pPr>
              <w:spacing w:after="0"/>
              <w:rPr>
                <w:sz w:val="15"/>
                <w:szCs w:val="15"/>
                <w:color w:val="auto"/>
              </w:rPr>
            </w:pPr>
          </w:p>
        </w:tc>
        <w:tc>
          <w:tcPr>
            <w:tcW w:w="20" w:type="dxa"/>
            <w:vAlign w:val="bottom"/>
            <w:tcBorders>
              <w:top w:val="single" w:sz="8" w:color="auto"/>
              <w:bottom w:val="single" w:sz="8" w:color="E5E5E5"/>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61"/>
              <w:spacing w:after="0" w:line="175" w:lineRule="exact"/>
              <w:rPr>
                <w:sz w:val="20"/>
                <w:szCs w:val="20"/>
                <w:color w:val="auto"/>
              </w:rPr>
            </w:pPr>
            <w:r>
              <w:rPr>
                <w:rFonts w:ascii="Arial" w:cs="Arial" w:eastAsia="Arial" w:hAnsi="Arial"/>
                <w:sz w:val="16"/>
                <w:szCs w:val="16"/>
                <w:b w:val="1"/>
                <w:bCs w:val="1"/>
                <w:color w:val="auto"/>
              </w:rPr>
              <w:t>2024</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24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Deferred tax assets:</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20"/>
                <w:szCs w:val="20"/>
                <w:color w:val="auto"/>
              </w:rPr>
              <w:t>Net operating loss carryforwards</w:t>
            </w:r>
          </w:p>
        </w:tc>
        <w:tc>
          <w:tcPr>
            <w:tcW w:w="38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123,685</w:t>
            </w:r>
          </w:p>
        </w:tc>
        <w:tc>
          <w:tcPr>
            <w:tcW w:w="60" w:type="dxa"/>
            <w:vAlign w:val="bottom"/>
          </w:tcPr>
          <w:p>
            <w:pPr>
              <w:spacing w:after="0"/>
              <w:rPr>
                <w:sz w:val="19"/>
                <w:szCs w:val="19"/>
                <w:color w:val="auto"/>
              </w:rPr>
            </w:pPr>
          </w:p>
        </w:tc>
        <w:tc>
          <w:tcPr>
            <w:tcW w:w="32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120,361</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Capitalized start-up costs</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2,949</w:t>
            </w: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3,469</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20"/>
                <w:szCs w:val="20"/>
                <w:color w:val="auto"/>
              </w:rPr>
              <w:t>Research and development tax credit carryforwards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21,954</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52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Section 174 research and development capitalization</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21,396</w:t>
            </w:r>
          </w:p>
        </w:tc>
        <w:tc>
          <w:tcPr>
            <w:tcW w:w="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31,185</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20"/>
                <w:szCs w:val="20"/>
                <w:color w:val="auto"/>
              </w:rPr>
              <w:t>Capitalized research and development expense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2,145</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Stock based compensation expense</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20,093</w:t>
            </w: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19,101</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20"/>
                <w:szCs w:val="20"/>
                <w:color w:val="auto"/>
              </w:rPr>
              <w:t>Accrued compensation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791</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Lease liabilities</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474</w:t>
            </w: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588</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20"/>
                <w:szCs w:val="20"/>
                <w:color w:val="auto"/>
              </w:rPr>
              <w:t>Deferred income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5,510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IPR&amp;D</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19,534</w:t>
            </w: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20,004</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tcBorders>
              <w:bottom w:val="single" w:sz="8" w:color="E5E5E5"/>
            </w:tcBorders>
          </w:tcPr>
          <w:p>
            <w:pPr>
              <w:ind w:left="240"/>
              <w:spacing w:after="0"/>
              <w:rPr>
                <w:sz w:val="20"/>
                <w:szCs w:val="20"/>
                <w:color w:val="auto"/>
              </w:rPr>
            </w:pPr>
            <w:r>
              <w:rPr>
                <w:rFonts w:ascii="Arial" w:cs="Arial" w:eastAsia="Arial" w:hAnsi="Arial"/>
                <w:sz w:val="20"/>
                <w:szCs w:val="20"/>
                <w:color w:val="auto"/>
              </w:rPr>
              <w:t>Other</w:t>
            </w:r>
          </w:p>
        </w:tc>
        <w:tc>
          <w:tcPr>
            <w:tcW w:w="18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w:t>
            </w:r>
          </w:p>
        </w:tc>
        <w:tc>
          <w:tcPr>
            <w:tcW w:w="60" w:type="dxa"/>
            <w:vAlign w:val="bottom"/>
            <w:tcBorders>
              <w:bottom w:val="single" w:sz="8" w:color="E5E5E5"/>
            </w:tcBorders>
          </w:tcPr>
          <w:p>
            <w:pPr>
              <w:spacing w:after="0"/>
              <w:rPr>
                <w:sz w:val="20"/>
                <w:szCs w:val="20"/>
                <w:color w:val="auto"/>
              </w:rPr>
            </w:pPr>
          </w:p>
        </w:tc>
        <w:tc>
          <w:tcPr>
            <w:tcW w:w="12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240" w:type="dxa"/>
            <w:vAlign w:val="bottom"/>
            <w:shd w:val="clear" w:color="auto" w:fill="E5E5E5"/>
          </w:tcPr>
          <w:p>
            <w:pPr>
              <w:ind w:left="360"/>
              <w:spacing w:after="0" w:line="220" w:lineRule="exact"/>
              <w:rPr>
                <w:sz w:val="20"/>
                <w:szCs w:val="20"/>
                <w:color w:val="auto"/>
              </w:rPr>
            </w:pPr>
            <w:r>
              <w:rPr>
                <w:rFonts w:ascii="Arial" w:cs="Arial" w:eastAsia="Arial" w:hAnsi="Arial"/>
                <w:sz w:val="20"/>
                <w:szCs w:val="20"/>
                <w:color w:val="auto"/>
              </w:rPr>
              <w:t>Total deferred tax assets</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88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198,211</w:t>
            </w:r>
          </w:p>
        </w:tc>
        <w:tc>
          <w:tcPr>
            <w:tcW w:w="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40" w:type="dxa"/>
            <w:vAlign w:val="bottom"/>
            <w:tcBorders>
              <w:bottom w:val="single" w:sz="8" w:color="auto"/>
            </w:tcBorders>
            <w:shd w:val="clear" w:color="auto" w:fill="E5E5E5"/>
          </w:tcPr>
          <w:p>
            <w:pPr>
              <w:spacing w:after="0"/>
              <w:rPr>
                <w:sz w:val="19"/>
                <w:szCs w:val="19"/>
                <w:color w:val="auto"/>
              </w:rPr>
            </w:pPr>
          </w:p>
        </w:tc>
        <w:tc>
          <w:tcPr>
            <w:tcW w:w="20" w:type="dxa"/>
            <w:vAlign w:val="bottom"/>
            <w:tcBorders>
              <w:bottom w:val="single" w:sz="8" w:color="auto"/>
            </w:tcBorders>
            <w:shd w:val="clear" w:color="auto" w:fill="E5E5E5"/>
          </w:tcPr>
          <w:p>
            <w:pPr>
              <w:spacing w:after="0"/>
              <w:rPr>
                <w:sz w:val="19"/>
                <w:szCs w:val="19"/>
                <w:color w:val="auto"/>
              </w:rPr>
            </w:pPr>
          </w:p>
        </w:tc>
        <w:tc>
          <w:tcPr>
            <w:tcW w:w="120" w:type="dxa"/>
            <w:vAlign w:val="bottom"/>
            <w:tcBorders>
              <w:bottom w:val="single" w:sz="8" w:color="auto"/>
            </w:tcBorders>
            <w:shd w:val="clear" w:color="auto" w:fill="E5E5E5"/>
          </w:tcPr>
          <w:p>
            <w:pPr>
              <w:spacing w:after="0"/>
              <w:rPr>
                <w:sz w:val="19"/>
                <w:szCs w:val="19"/>
                <w:color w:val="auto"/>
              </w:rPr>
            </w:pPr>
          </w:p>
        </w:tc>
        <w:tc>
          <w:tcPr>
            <w:tcW w:w="880" w:type="dxa"/>
            <w:vAlign w:val="bottom"/>
            <w:tcBorders>
              <w:bottom w:val="single" w:sz="8" w:color="auto"/>
            </w:tcBorders>
            <w:shd w:val="clear" w:color="auto" w:fill="E5E5E5"/>
          </w:tcPr>
          <w:p>
            <w:pPr>
              <w:jc w:val="right"/>
              <w:spacing w:after="0" w:line="220" w:lineRule="exact"/>
              <w:rPr>
                <w:sz w:val="20"/>
                <w:szCs w:val="20"/>
                <w:color w:val="auto"/>
              </w:rPr>
            </w:pPr>
            <w:r>
              <w:rPr>
                <w:rFonts w:ascii="Arial" w:cs="Arial" w:eastAsia="Arial" w:hAnsi="Arial"/>
                <w:sz w:val="20"/>
                <w:szCs w:val="20"/>
                <w:color w:val="auto"/>
              </w:rPr>
              <w:t>225,516</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240" w:type="dxa"/>
            <w:vAlign w:val="bottom"/>
          </w:tcPr>
          <w:p>
            <w:pPr>
              <w:spacing w:after="0" w:line="220" w:lineRule="exact"/>
              <w:rPr>
                <w:sz w:val="20"/>
                <w:szCs w:val="20"/>
                <w:color w:val="auto"/>
              </w:rPr>
            </w:pPr>
            <w:r>
              <w:rPr>
                <w:rFonts w:ascii="Arial" w:cs="Arial" w:eastAsia="Arial" w:hAnsi="Arial"/>
                <w:sz w:val="20"/>
                <w:szCs w:val="20"/>
                <w:color w:val="auto"/>
              </w:rPr>
              <w:t>Deferred tax liabilities: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52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Property and equipment</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(31)</w:t>
            </w:r>
          </w:p>
        </w:tc>
        <w:tc>
          <w:tcPr>
            <w:tcW w:w="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(56)</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tcPr>
          <w:p>
            <w:pPr>
              <w:ind w:left="240"/>
              <w:spacing w:after="0"/>
              <w:rPr>
                <w:sz w:val="20"/>
                <w:szCs w:val="20"/>
                <w:color w:val="auto"/>
              </w:rPr>
            </w:pPr>
            <w:r>
              <w:rPr>
                <w:rFonts w:ascii="Arial" w:cs="Arial" w:eastAsia="Arial" w:hAnsi="Arial"/>
                <w:sz w:val="20"/>
                <w:szCs w:val="20"/>
                <w:color w:val="auto"/>
              </w:rPr>
              <w:t>Right-to-use assets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(510)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(642)</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shd w:val="clear" w:color="auto" w:fill="E5E5E5"/>
          </w:tcPr>
          <w:p>
            <w:pPr>
              <w:ind w:left="240"/>
              <w:spacing w:after="0"/>
              <w:rPr>
                <w:sz w:val="20"/>
                <w:szCs w:val="20"/>
                <w:color w:val="auto"/>
              </w:rPr>
            </w:pPr>
            <w:r>
              <w:rPr>
                <w:rFonts w:ascii="Arial" w:cs="Arial" w:eastAsia="Arial" w:hAnsi="Arial"/>
                <w:sz w:val="20"/>
                <w:szCs w:val="20"/>
                <w:color w:val="auto"/>
              </w:rPr>
              <w:t>Other</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spacing w:after="0"/>
              <w:rPr>
                <w:sz w:val="20"/>
                <w:szCs w:val="20"/>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(559)</w:t>
            </w:r>
          </w:p>
        </w:tc>
        <w:tc>
          <w:tcPr>
            <w:tcW w:w="6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0" w:type="dxa"/>
            <w:vAlign w:val="bottom"/>
            <w:tcBorders>
              <w:bottom w:val="single" w:sz="8" w:color="auto"/>
            </w:tcBorders>
            <w:shd w:val="clear" w:color="auto" w:fill="E5E5E5"/>
          </w:tcPr>
          <w:p>
            <w:pPr>
              <w:spacing w:after="0"/>
              <w:rPr>
                <w:sz w:val="20"/>
                <w:szCs w:val="20"/>
                <w:color w:val="auto"/>
              </w:rPr>
            </w:pPr>
          </w:p>
        </w:tc>
        <w:tc>
          <w:tcPr>
            <w:tcW w:w="20" w:type="dxa"/>
            <w:vAlign w:val="bottom"/>
            <w:tcBorders>
              <w:bottom w:val="single" w:sz="8" w:color="auto"/>
            </w:tcBorders>
            <w:shd w:val="clear" w:color="auto" w:fill="E5E5E5"/>
          </w:tcPr>
          <w:p>
            <w:pPr>
              <w:spacing w:after="0"/>
              <w:rPr>
                <w:sz w:val="20"/>
                <w:szCs w:val="20"/>
                <w:color w:val="auto"/>
              </w:rPr>
            </w:pPr>
          </w:p>
        </w:tc>
        <w:tc>
          <w:tcPr>
            <w:tcW w:w="120" w:type="dxa"/>
            <w:vAlign w:val="bottom"/>
            <w:tcBorders>
              <w:bottom w:val="single" w:sz="8" w:color="auto"/>
            </w:tcBorders>
            <w:shd w:val="clear" w:color="auto" w:fill="E5E5E5"/>
          </w:tcPr>
          <w:p>
            <w:pPr>
              <w:spacing w:after="0"/>
              <w:rPr>
                <w:sz w:val="20"/>
                <w:szCs w:val="20"/>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(458)</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240" w:type="dxa"/>
            <w:vAlign w:val="bottom"/>
            <w:tcBorders>
              <w:bottom w:val="single" w:sz="8" w:color="E5E5E5"/>
            </w:tcBorders>
          </w:tcPr>
          <w:p>
            <w:pPr>
              <w:ind w:left="360"/>
              <w:spacing w:after="0" w:line="220" w:lineRule="exact"/>
              <w:rPr>
                <w:sz w:val="20"/>
                <w:szCs w:val="20"/>
                <w:color w:val="auto"/>
              </w:rPr>
            </w:pPr>
            <w:r>
              <w:rPr>
                <w:rFonts w:ascii="Arial" w:cs="Arial" w:eastAsia="Arial" w:hAnsi="Arial"/>
                <w:sz w:val="20"/>
                <w:szCs w:val="20"/>
                <w:color w:val="auto"/>
              </w:rPr>
              <w:t>Total deferred tax liabilities</w:t>
            </w:r>
          </w:p>
        </w:tc>
        <w:tc>
          <w:tcPr>
            <w:tcW w:w="18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(1,100)</w:t>
            </w:r>
          </w:p>
        </w:tc>
        <w:tc>
          <w:tcPr>
            <w:tcW w:w="60" w:type="dxa"/>
            <w:vAlign w:val="bottom"/>
            <w:tcBorders>
              <w:bottom w:val="single" w:sz="8" w:color="E5E5E5"/>
            </w:tcBorders>
          </w:tcPr>
          <w:p>
            <w:pPr>
              <w:spacing w:after="0"/>
              <w:rPr>
                <w:sz w:val="19"/>
                <w:szCs w:val="19"/>
                <w:color w:val="auto"/>
              </w:rPr>
            </w:pPr>
          </w:p>
        </w:tc>
        <w:tc>
          <w:tcPr>
            <w:tcW w:w="120" w:type="dxa"/>
            <w:vAlign w:val="bottom"/>
            <w:tcBorders>
              <w:bottom w:val="single" w:sz="8" w:color="E5E5E5"/>
            </w:tcBorders>
          </w:tcPr>
          <w:p>
            <w:pPr>
              <w:spacing w:after="0"/>
              <w:rPr>
                <w:sz w:val="19"/>
                <w:szCs w:val="19"/>
                <w:color w:val="auto"/>
              </w:rPr>
            </w:pPr>
          </w:p>
        </w:tc>
        <w:tc>
          <w:tcPr>
            <w:tcW w:w="20" w:type="dxa"/>
            <w:vAlign w:val="bottom"/>
            <w:tcBorders>
              <w:bottom w:val="single" w:sz="8" w:color="E5E5E5"/>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(1,156)</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0" w:type="dxa"/>
            <w:vAlign w:val="bottom"/>
          </w:tcPr>
          <w:p>
            <w:pPr>
              <w:spacing w:after="0"/>
              <w:rPr>
                <w:sz w:val="19"/>
                <w:szCs w:val="19"/>
                <w:color w:val="auto"/>
              </w:rPr>
            </w:pPr>
          </w:p>
        </w:tc>
        <w:tc>
          <w:tcPr>
            <w:tcW w:w="524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Valuation allowance</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60"/>
              <w:spacing w:after="0" w:line="220" w:lineRule="exact"/>
              <w:rPr>
                <w:sz w:val="20"/>
                <w:szCs w:val="20"/>
                <w:color w:val="auto"/>
              </w:rPr>
            </w:pPr>
            <w:r>
              <w:rPr>
                <w:rFonts w:ascii="Arial" w:cs="Arial" w:eastAsia="Arial" w:hAnsi="Arial"/>
                <w:sz w:val="20"/>
                <w:szCs w:val="20"/>
                <w:color w:val="auto"/>
              </w:rPr>
              <w:t>(197,111)</w:t>
            </w:r>
          </w:p>
        </w:tc>
        <w:tc>
          <w:tcPr>
            <w:tcW w:w="1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(224,360)</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5240" w:type="dxa"/>
            <w:vAlign w:val="bottom"/>
          </w:tcPr>
          <w:p>
            <w:pPr>
              <w:ind w:left="360"/>
              <w:spacing w:after="0" w:line="221" w:lineRule="exact"/>
              <w:rPr>
                <w:sz w:val="20"/>
                <w:szCs w:val="20"/>
                <w:color w:val="auto"/>
              </w:rPr>
            </w:pPr>
            <w:r>
              <w:rPr>
                <w:rFonts w:ascii="Arial" w:cs="Arial" w:eastAsia="Arial" w:hAnsi="Arial"/>
                <w:sz w:val="20"/>
                <w:szCs w:val="20"/>
                <w:color w:val="auto"/>
              </w:rPr>
              <w:t>Deferred tax liabilities, net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gridSpan w:val="3"/>
          </w:tcPr>
          <w:p>
            <w:pPr>
              <w:jc w:val="right"/>
              <w:spacing w:after="0" w:line="221" w:lineRule="exact"/>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rPr>
              <w:t>—</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880" w:h="15480" w:orient="portrait"/>
          <w:cols w:equalWidth="0" w:num="1">
            <w:col w:w="9720"/>
          </w:cols>
          <w:pgMar w:left="1080" w:top="1177" w:right="1080" w:bottom="0" w:gutter="0" w:footer="0" w:header="0"/>
          <w:type w:val="continuous"/>
        </w:sectPr>
      </w:pPr>
    </w:p>
    <w:bookmarkStart w:id="104" w:name="page105"/>
    <w:bookmarkEnd w:id="104"/>
    <w:p>
      <w:pPr>
        <w:jc w:val="both"/>
        <w:ind w:firstLine="720"/>
        <w:spacing w:after="0" w:line="301" w:lineRule="auto"/>
        <w:rPr>
          <w:sz w:val="20"/>
          <w:szCs w:val="20"/>
          <w:color w:val="auto"/>
        </w:rPr>
      </w:pPr>
      <w:r>
        <w:rPr>
          <w:rFonts w:ascii="Arial" w:cs="Arial" w:eastAsia="Arial" w:hAnsi="Arial"/>
          <w:sz w:val="18"/>
          <w:szCs w:val="18"/>
          <w:color w:val="auto"/>
        </w:rPr>
        <w:t>As of December 31, 2025, the Company had federal and state net operating loss (“NOL”) carryforwards of $568.2 million and $100.7 million, respectively, which will begin to expire in 2032. As of December 31, 2025, the Company also had federal research and development tax credit carryforwards of $2.5 million which will begin to expire in 2045.</w:t>
      </w:r>
    </w:p>
    <w:p>
      <w:pPr>
        <w:spacing w:after="0" w:line="142"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Utilization of the NOLs and research and development tax credit carryforwards in the United States are subject to annual limitations under Section 382 of the Internal Revenue Code of 1986 due to ownership changes that have occurred previously or that could occur in the future. In general, an ownership change, as defined by Section 382, results from transactions increasing the ownership of certain stockholders or public groups in the stock of a corporation by more than 50% over a three-year period.</w:t>
      </w:r>
    </w:p>
    <w:p>
      <w:pPr>
        <w:spacing w:after="0" w:line="187"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The Company completed an analysis under Section 382 for NOLs generated through December 31, 2024, and concluded that an ownership change occurred as of December 30, 2024. As a result of this ownership change a component of the Company’s research and development credits and state NOL carryforwards will expire prior to utilization. Accordingly, the Company has recorded an adjustment to write down its research and development credit and state NOL deferred tax assets in the amount of $21.9 million and $19.0 million, respectively. The write down of these deferred tax assets resulted in a corresponding adjustment to the Company’s valuation allowance.</w:t>
      </w:r>
    </w:p>
    <w:p>
      <w:pPr>
        <w:spacing w:after="0" w:line="173"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Company may experience ownership changes in the future as a result of subsequent shifts in its stock ownership, some of which may be outside of the Company’s control. These future ownership changes may limit the amount of carryforwards that can be utilized annually to offset future taxable income.</w:t>
      </w:r>
    </w:p>
    <w:p>
      <w:pPr>
        <w:spacing w:after="0" w:line="179"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9"/>
          <w:szCs w:val="19"/>
          <w:color w:val="auto"/>
        </w:rPr>
        <w:t>The Company has evaluated the positive and negative evidence bearing upon its ability to realize the deferred tax assets. The Company considered its history of cumulative net losses incurred since inception, its lack of substantial revenue generated to date, and its forecasted future operating losses and concluded that it is more likely than not that the Company will not realize the benefits of its deferred tax assets. Accordingly, a full valuation allowance has been established against the deferred tax assets as of December 31, 2025 and 2024. The Company evaluates positive and negative evidence of its ability to realize deferred tax assets at each reporting period.</w:t>
      </w:r>
    </w:p>
    <w:p>
      <w:pPr>
        <w:spacing w:after="0" w:line="173" w:lineRule="exact"/>
        <w:rPr>
          <w:sz w:val="20"/>
          <w:szCs w:val="20"/>
          <w:color w:val="auto"/>
        </w:rPr>
      </w:pPr>
    </w:p>
    <w:p>
      <w:pPr>
        <w:jc w:val="both"/>
        <w:ind w:firstLine="720"/>
        <w:spacing w:after="0" w:line="311" w:lineRule="auto"/>
        <w:rPr>
          <w:sz w:val="20"/>
          <w:szCs w:val="20"/>
          <w:color w:val="auto"/>
        </w:rPr>
      </w:pPr>
      <w:r>
        <w:rPr>
          <w:rFonts w:ascii="Arial" w:cs="Arial" w:eastAsia="Arial" w:hAnsi="Arial"/>
          <w:sz w:val="17"/>
          <w:szCs w:val="17"/>
          <w:color w:val="auto"/>
        </w:rPr>
        <w:t>Changes in the valuation allowance for deferred tax assets during the years ended December 31, 2025 and 2024, which related primarily to the increases in NOLs, capitalized research and development costs, and research and development tax credit carryforwards, offset by decreases to deferred tax assets associated with research and development tax credits and state NOL carryforwards due to the Section 382 ownership change described above,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7"/>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3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87"/>
              <w:spacing w:after="0" w:line="175" w:lineRule="exact"/>
              <w:rPr>
                <w:sz w:val="20"/>
                <w:szCs w:val="20"/>
                <w:color w:val="auto"/>
              </w:rPr>
            </w:pPr>
            <w:r>
              <w:rPr>
                <w:rFonts w:ascii="Arial" w:cs="Arial" w:eastAsia="Arial" w:hAnsi="Arial"/>
                <w:sz w:val="16"/>
                <w:szCs w:val="16"/>
                <w:b w:val="1"/>
                <w:bCs w:val="1"/>
                <w:color w:val="auto"/>
              </w:rPr>
              <w:t>2025</w:t>
            </w:r>
          </w:p>
        </w:tc>
        <w:tc>
          <w:tcPr>
            <w:tcW w:w="20" w:type="dxa"/>
            <w:vAlign w:val="bottom"/>
            <w:tcBorders>
              <w:top w:val="single" w:sz="8" w:color="auto"/>
              <w:bottom w:val="single" w:sz="8" w:color="E5E5E5"/>
            </w:tcBorders>
          </w:tcPr>
          <w:p>
            <w:pPr>
              <w:spacing w:after="0"/>
              <w:rPr>
                <w:sz w:val="15"/>
                <w:szCs w:val="15"/>
                <w:color w:val="auto"/>
              </w:rPr>
            </w:pPr>
          </w:p>
        </w:tc>
        <w:tc>
          <w:tcPr>
            <w:tcW w:w="160" w:type="dxa"/>
            <w:vAlign w:val="bottom"/>
            <w:tcBorders>
              <w:top w:val="single" w:sz="8" w:color="auto"/>
              <w:bottom w:val="single" w:sz="8" w:color="E5E5E5"/>
            </w:tcBorders>
          </w:tcPr>
          <w:p>
            <w:pPr>
              <w:spacing w:after="0"/>
              <w:rPr>
                <w:sz w:val="15"/>
                <w:szCs w:val="15"/>
                <w:color w:val="auto"/>
              </w:rPr>
            </w:pPr>
          </w:p>
        </w:tc>
        <w:tc>
          <w:tcPr>
            <w:tcW w:w="20" w:type="dxa"/>
            <w:vAlign w:val="bottom"/>
            <w:tcBorders>
              <w:top w:val="single" w:sz="8" w:color="auto"/>
              <w:bottom w:val="single" w:sz="8" w:color="E5E5E5"/>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84"/>
              <w:spacing w:after="0" w:line="175"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38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Valuation allowance at beginning of year</w:t>
            </w:r>
          </w:p>
        </w:tc>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2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w w:val="71"/>
              </w:rPr>
              <w:t>$</w:t>
            </w:r>
          </w:p>
        </w:tc>
        <w:tc>
          <w:tcPr>
            <w:tcW w:w="1020" w:type="dxa"/>
            <w:vAlign w:val="bottom"/>
            <w:gridSpan w:val="3"/>
            <w:shd w:val="clear" w:color="auto" w:fill="E5E5E5"/>
          </w:tcPr>
          <w:p>
            <w:pPr>
              <w:jc w:val="right"/>
              <w:ind w:right="180"/>
              <w:spacing w:after="0" w:line="220" w:lineRule="exact"/>
              <w:rPr>
                <w:sz w:val="20"/>
                <w:szCs w:val="20"/>
                <w:color w:val="auto"/>
              </w:rPr>
            </w:pPr>
            <w:r>
              <w:rPr>
                <w:rFonts w:ascii="Arial" w:cs="Arial" w:eastAsia="Arial" w:hAnsi="Arial"/>
                <w:sz w:val="20"/>
                <w:szCs w:val="20"/>
                <w:color w:val="auto"/>
                <w:w w:val="95"/>
              </w:rPr>
              <w:t>(224,360)</w:t>
            </w:r>
          </w:p>
        </w:tc>
        <w:tc>
          <w:tcPr>
            <w:tcW w:w="16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w w:val="89"/>
              </w:rPr>
              <w:t>$</w:t>
            </w:r>
          </w:p>
        </w:tc>
        <w:tc>
          <w:tcPr>
            <w:tcW w:w="84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w w:val="95"/>
              </w:rPr>
              <w:t>(195,124)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40"/>
              <w:spacing w:after="0"/>
              <w:rPr>
                <w:sz w:val="20"/>
                <w:szCs w:val="20"/>
                <w:color w:val="auto"/>
              </w:rPr>
            </w:pPr>
            <w:r>
              <w:rPr>
                <w:rFonts w:ascii="Arial" w:cs="Arial" w:eastAsia="Arial" w:hAnsi="Arial"/>
                <w:sz w:val="20"/>
                <w:szCs w:val="20"/>
                <w:color w:val="auto"/>
              </w:rPr>
              <w:t>Decreases recorded as benefit to income tax provision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27,249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E5E5E5"/>
          </w:tcPr>
          <w:p>
            <w:pPr>
              <w:ind w:left="240"/>
              <w:spacing w:after="0"/>
              <w:rPr>
                <w:sz w:val="20"/>
                <w:szCs w:val="20"/>
                <w:color w:val="auto"/>
              </w:rPr>
            </w:pPr>
            <w:r>
              <w:rPr>
                <w:rFonts w:ascii="Arial" w:cs="Arial" w:eastAsia="Arial" w:hAnsi="Arial"/>
                <w:sz w:val="20"/>
                <w:szCs w:val="20"/>
                <w:color w:val="auto"/>
              </w:rPr>
              <w:t>Increases recorded to income tax provision</w:t>
            </w: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020" w:type="dxa"/>
            <w:vAlign w:val="bottom"/>
            <w:gridSpan w:val="3"/>
            <w:shd w:val="clear" w:color="auto" w:fill="E5E5E5"/>
          </w:tcPr>
          <w:p>
            <w:pPr>
              <w:jc w:val="right"/>
              <w:ind w:right="240"/>
              <w:spacing w:after="0"/>
              <w:rPr>
                <w:sz w:val="20"/>
                <w:szCs w:val="20"/>
                <w:color w:val="auto"/>
              </w:rPr>
            </w:pPr>
            <w:r>
              <w:rPr>
                <w:rFonts w:ascii="Arial" w:cs="Arial" w:eastAsia="Arial" w:hAnsi="Arial"/>
                <w:sz w:val="20"/>
                <w:szCs w:val="20"/>
                <w:color w:val="auto"/>
              </w:rPr>
              <w:t>—</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(29,236)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line="221" w:lineRule="exact"/>
              <w:rPr>
                <w:sz w:val="20"/>
                <w:szCs w:val="20"/>
                <w:color w:val="auto"/>
              </w:rPr>
            </w:pPr>
            <w:r>
              <w:rPr>
                <w:rFonts w:ascii="Arial" w:cs="Arial" w:eastAsia="Arial" w:hAnsi="Arial"/>
                <w:sz w:val="20"/>
                <w:szCs w:val="20"/>
                <w:color w:val="auto"/>
              </w:rPr>
              <w:t>Valuation allowance as of end of year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5"/>
              </w:rPr>
              <w:t>(197,111)</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Arial" w:cs="Arial" w:eastAsia="Arial" w:hAnsi="Arial"/>
                <w:sz w:val="20"/>
                <w:szCs w:val="20"/>
                <w:color w:val="auto"/>
                <w:w w:val="95"/>
              </w:rPr>
              <w:t>(224,360)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2022 to the present. All open years may be examined to the extent that tax credits or NOLs are used in future periods. The Company’s policy is to record interest and penalties related to income taxes as part of its income tax provision. The Company has not recorded any amounts for unrecognized tax benefits as of December 31, 2025 and 2024.</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Related Party Transaction</w:t>
      </w:r>
    </w:p>
    <w:p>
      <w:pPr>
        <w:spacing w:after="0" w:line="234" w:lineRule="exact"/>
        <w:rPr>
          <w:sz w:val="20"/>
          <w:szCs w:val="20"/>
          <w:color w:val="auto"/>
        </w:rPr>
      </w:pPr>
    </w:p>
    <w:p>
      <w:pPr>
        <w:jc w:val="both"/>
        <w:ind w:firstLine="720"/>
        <w:spacing w:after="0" w:line="305" w:lineRule="auto"/>
        <w:rPr>
          <w:sz w:val="20"/>
          <w:szCs w:val="20"/>
          <w:color w:val="auto"/>
        </w:rPr>
      </w:pPr>
      <w:r>
        <w:rPr>
          <w:rFonts w:ascii="Arial" w:cs="Arial" w:eastAsia="Arial" w:hAnsi="Arial"/>
          <w:sz w:val="19"/>
          <w:szCs w:val="19"/>
          <w:color w:val="auto"/>
        </w:rPr>
        <w:t>In November 2024, Anand Mehra, a member of the Company’s board of directors, purchased 666,666 shares of the Company’s common stock at a price per share of $2.25 in connection with a private placement.</w:t>
      </w:r>
    </w:p>
    <w:p>
      <w:pPr>
        <w:spacing w:after="0" w:line="131" w:lineRule="exact"/>
        <w:rPr>
          <w:sz w:val="20"/>
          <w:szCs w:val="20"/>
          <w:color w:val="auto"/>
        </w:rPr>
      </w:pPr>
    </w:p>
    <w:p>
      <w:pPr>
        <w:ind w:left="720" w:right="5220" w:hanging="713"/>
        <w:spacing w:after="0" w:line="567" w:lineRule="auto"/>
        <w:tabs>
          <w:tab w:leader="none" w:pos="30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Agreements Related to Intellectual Property Exclusive License Agreement – Biosion, Inc.</w:t>
      </w:r>
    </w:p>
    <w:p>
      <w:pPr>
        <w:spacing w:after="0" w:line="1" w:lineRule="exact"/>
        <w:rPr>
          <w:rFonts w:ascii="Arial" w:cs="Arial" w:eastAsia="Arial" w:hAnsi="Arial"/>
          <w:sz w:val="17"/>
          <w:szCs w:val="17"/>
          <w:b w:val="1"/>
          <w:bCs w:val="1"/>
          <w:color w:val="auto"/>
        </w:rPr>
      </w:pPr>
    </w:p>
    <w:p>
      <w:pPr>
        <w:ind w:left="720"/>
        <w:spacing w:after="0"/>
        <w:rPr>
          <w:rFonts w:ascii="Arial" w:cs="Arial" w:eastAsia="Arial" w:hAnsi="Arial"/>
          <w:sz w:val="17"/>
          <w:szCs w:val="17"/>
          <w:b w:val="1"/>
          <w:bCs w:val="1"/>
          <w:color w:val="auto"/>
        </w:rPr>
      </w:pPr>
      <w:r>
        <w:rPr>
          <w:rFonts w:ascii="Arial" w:cs="Arial" w:eastAsia="Arial" w:hAnsi="Arial"/>
          <w:sz w:val="18"/>
          <w:szCs w:val="18"/>
          <w:color w:val="auto"/>
        </w:rPr>
        <w:t>In November 2024, the Company entered into an exclusive license agreement (the “Biosion Agreement”) with</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880" w:h="15480" w:orient="portrait"/>
          <w:cols w:equalWidth="0" w:num="1">
            <w:col w:w="9720"/>
          </w:cols>
          <w:pgMar w:left="1080" w:top="1177" w:right="1080" w:bottom="0" w:gutter="0" w:footer="0" w:header="0"/>
          <w:type w:val="continuous"/>
        </w:sectPr>
      </w:pPr>
    </w:p>
    <w:bookmarkStart w:id="105" w:name="page106"/>
    <w:bookmarkEnd w:id="105"/>
    <w:p>
      <w:pPr>
        <w:jc w:val="both"/>
        <w:spacing w:after="0" w:line="249" w:lineRule="auto"/>
        <w:rPr>
          <w:sz w:val="20"/>
          <w:szCs w:val="20"/>
          <w:color w:val="auto"/>
        </w:rPr>
      </w:pPr>
      <w:r>
        <w:rPr>
          <w:rFonts w:ascii="Arial" w:cs="Arial" w:eastAsia="Arial" w:hAnsi="Arial"/>
          <w:sz w:val="20"/>
          <w:szCs w:val="20"/>
          <w:color w:val="auto"/>
        </w:rPr>
        <w:t>Biosion, pursuant to which it received the exclusive rights to develop, manufacture and commercialize bosakitug (ATI-045) and ATI-052 worldwide, excluding Mainland China, Macau, Hong Kong and Taiwan (“Greater China”). In connection with the Biosion Agreement, the Company also entered into a collaboration agreement (the “CTTQ Agreement”, and together with the Biosion Agreement, the ‘Biosion Agreements”) with Biosion and CTTQ, a licensee of bosakitug in Greater China.</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As partial consideration for the rights and licenses under the Biosion Agreements, the Company, in the aggregate,</w:t>
      </w:r>
    </w:p>
    <w:p>
      <w:pPr>
        <w:spacing w:after="0" w:line="63" w:lineRule="exact"/>
        <w:rPr>
          <w:sz w:val="20"/>
          <w:szCs w:val="20"/>
          <w:color w:val="auto"/>
        </w:rPr>
      </w:pPr>
    </w:p>
    <w:p>
      <w:pPr>
        <w:ind w:left="240" w:hanging="233"/>
        <w:spacing w:after="0"/>
        <w:tabs>
          <w:tab w:leader="none" w:pos="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paid $30.0 million in upfront cash consideration, plus $4.5 million for the reimbursement of certain development costs,</w:t>
      </w:r>
    </w:p>
    <w:p>
      <w:pPr>
        <w:spacing w:after="0" w:line="22" w:lineRule="exact"/>
        <w:rPr>
          <w:rFonts w:ascii="Arial" w:cs="Arial" w:eastAsia="Arial" w:hAnsi="Arial"/>
          <w:sz w:val="18"/>
          <w:szCs w:val="18"/>
          <w:color w:val="auto"/>
        </w:rPr>
      </w:pPr>
    </w:p>
    <w:p>
      <w:pPr>
        <w:jc w:val="both"/>
        <w:ind w:firstLine="8"/>
        <w:spacing w:after="0" w:line="244" w:lineRule="auto"/>
        <w:tabs>
          <w:tab w:leader="none" w:pos="294" w:val="left"/>
        </w:tabs>
        <w:numPr>
          <w:ilvl w:val="0"/>
          <w:numId w:val="50"/>
        </w:numPr>
        <w:rPr>
          <w:rFonts w:ascii="Arial" w:cs="Arial" w:eastAsia="Arial" w:hAnsi="Arial"/>
          <w:sz w:val="20"/>
          <w:szCs w:val="20"/>
          <w:color w:val="auto"/>
        </w:rPr>
      </w:pPr>
      <w:r>
        <w:rPr>
          <w:rFonts w:ascii="Arial" w:cs="Arial" w:eastAsia="Arial" w:hAnsi="Arial"/>
          <w:sz w:val="20"/>
          <w:szCs w:val="20"/>
          <w:color w:val="auto"/>
        </w:rPr>
        <w:t>issued the Warrants, and (iii) paid $6.2 million for the reimbursement of certain development costs and drug product material. The Company made cash payments of $6.2 million and $34.5 million as set forth in the Biosion Agreements during the years ended December 31, 2025 and 2024, respectively.</w:t>
      </w:r>
    </w:p>
    <w:p>
      <w:pPr>
        <w:spacing w:after="0" w:line="191"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In addition, the Company agreed to pay, in the aggregate, (i) up to $125 million upon the achievement of specified regulatory milestones commencing with product approval, (ii) up to $795 million upon the achievement of specified sales milestones, (iii) a tiered low-to-mid single digit royalty based upon a percentage of annual net sales, subject to specified reductions as set forth in the Biosion Agreement, and (iv) a portion of any sublicense consideration received from the grant of any sublicense or similar rights under any of the rights or licenses granted to the Company under the Biosion Agreement. The Company will expense these payments in the period when either they are determined to be probable of occurring or when the payment is triggered.</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License Agreement – Sun Pharmaceutical Industries, Inc.</w:t>
      </w:r>
    </w:p>
    <w:p>
      <w:pPr>
        <w:spacing w:after="0" w:line="234"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color w:val="auto"/>
        </w:rPr>
        <w:t>In December 2023, the Company entered into an exclusive patent license agreement with Sun Pharmaceutical Industries, Inc. (“Sun Pharma”). Under the license agreement, the Company granted Sun Pharma exclusive rights under certain patents that the Company exclusively licenses from a third party. The patents relate to the use of deuruxolitinib, Sun Pharma’s Janus kinase (“JAK”) inhibitor, or other isotopic forms of ruxolitinib, to treat alopecia areata or androgenetic alopecia. Under the license agreement, Sun Pharma has paid the Company upfront, regulatory and commercial milestone payments, and has agreed to pay the Company other regulatory and commercial milestone payments upon the achievement of specified milestones set forth in the agreement, and a mid single-digit tiered royalty calculated as a percentage of Sun Pharma’s net sales. The Company has separate contractual obligations under which the Company has agreed to pay to third parties a portion of the consideration it may receive under the license agreement.</w:t>
      </w:r>
    </w:p>
    <w:p>
      <w:pPr>
        <w:spacing w:after="0" w:line="166"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20"/>
          <w:szCs w:val="20"/>
          <w:color w:val="auto"/>
        </w:rPr>
        <w:t>The Company recognized $1.2 million and $3.0 million of licensing revenue during the years ended December 31, 2025 and 2024, respectively, a portion of which was payable to third parties.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License Agreement – Pediatrix Therapeutics, Inc.</w:t>
      </w:r>
    </w:p>
    <w:p>
      <w:pPr>
        <w:spacing w:after="0" w:line="188"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In November 2022, the Company entered into a license agreement with Pediatrix Therapeutics, Inc. (“Pediatrix”), under which the Company granted Pediatrix the exclusive rights to develop, manufacture and commercialize lepzacitinib in Greater China. Pediatrix has paid the Company an upfront payment, and has agreed to pay the Company development, regulatory and commercial milestone payments upon the achievement of specified milestones set forth in the agreement, and a tiered royalty ranging from a low-to-high single digit percentage of net sales of lepzacitinib by Pediatrix in Greater China. A portion of the consideration received from Pediatrix is payable to the former Confluence equity holders as described below under the caption “—Agreement and Plan of Merger - Confluence.”</w:t>
      </w:r>
    </w:p>
    <w:p>
      <w:pPr>
        <w:spacing w:after="0" w:line="15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License Agreement – Eli Lilly and Company</w:t>
      </w:r>
    </w:p>
    <w:p>
      <w:pPr>
        <w:spacing w:after="0" w:line="234" w:lineRule="exact"/>
        <w:rPr>
          <w:sz w:val="20"/>
          <w:szCs w:val="20"/>
          <w:color w:val="auto"/>
        </w:rPr>
      </w:pPr>
    </w:p>
    <w:p>
      <w:pPr>
        <w:jc w:val="both"/>
        <w:ind w:firstLine="720"/>
        <w:spacing w:after="0" w:line="292" w:lineRule="auto"/>
        <w:rPr>
          <w:sz w:val="20"/>
          <w:szCs w:val="20"/>
          <w:color w:val="auto"/>
        </w:rPr>
      </w:pPr>
      <w:r>
        <w:rPr>
          <w:rFonts w:ascii="Arial" w:cs="Arial" w:eastAsia="Arial" w:hAnsi="Arial"/>
          <w:sz w:val="17"/>
          <w:szCs w:val="17"/>
          <w:color w:val="auto"/>
        </w:rPr>
        <w:t>In August 2022, the Company entered into a non-exclusive patent license agreement with Eli Lilly and Company (“Lilly”). Under the license agreement, the Company granted Lilly non-exclusive rights under certain patents and patent applications that the Company exclusively licenses from a third party. The patents and patent applications relate to the use of baricitinib, Lilly’s JAK inhibitor, to treat alopecia areata. Under the license agreement, Lilly has paid the Company upfront, anniversary, regulatory and commercial milestone payments. In addition, Lilly has agreed to pay the Company other commercial milestone payments upon the achievement of specified milestones and additional anniversary payments as set forth in the agreement, as well as a low single-digit royalty calculated as a percentage of Lilly’s net sales of baricitinib for the treatment of alopecia areata. The Company has separate contractual obligations under which the Company has agreed to pay to third parties an amount equal to any regulatory and commercial milestone payments it receives under the Lilly license agreement, as well as a portion of the upfront consideration and a portion of the royalties it may receive under</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880" w:h="15480" w:orient="portrait"/>
          <w:cols w:equalWidth="0" w:num="1">
            <w:col w:w="9720"/>
          </w:cols>
          <w:pgMar w:left="1080" w:top="1177" w:right="1080" w:bottom="0" w:gutter="0" w:footer="0" w:header="0"/>
          <w:type w:val="continuous"/>
        </w:sectPr>
      </w:pPr>
    </w:p>
    <w:bookmarkStart w:id="106" w:name="page107"/>
    <w:bookmarkEnd w:id="106"/>
    <w:p>
      <w:pPr>
        <w:jc w:val="both"/>
        <w:spacing w:after="0" w:line="252" w:lineRule="auto"/>
        <w:rPr>
          <w:sz w:val="20"/>
          <w:szCs w:val="20"/>
          <w:color w:val="auto"/>
        </w:rPr>
      </w:pPr>
      <w:r>
        <w:rPr>
          <w:rFonts w:ascii="Arial" w:cs="Arial" w:eastAsia="Arial" w:hAnsi="Arial"/>
          <w:sz w:val="20"/>
          <w:szCs w:val="20"/>
          <w:color w:val="auto"/>
        </w:rPr>
        <w:t>the license agreement. In July 2024, the Company entered into a royalty purchase agreement with OCM IP Healthcare Portfolio LP, an investment vehicle for Ontario Municipal Employees Retirement System (“OMERS”), pursuant to which the Company sold to OMERS a portion of the Company’s future royalty payments and the remaining anniversary milestones associated with the license to Lilly (see Note 12).</w:t>
      </w:r>
    </w:p>
    <w:p>
      <w:pPr>
        <w:spacing w:after="0" w:line="195"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During the year ended December 31, 2025, the Company recognized licensing revenue of $4.8 million, all of which was payable to third parties. During the year ended December 31, 2024, the Company recognized licensing revenue of $ 13.2 million, a portion of which was payable to third parties. As of December 31, 2024, a receivable of $8.6 million was recognized in other current assets, which represents licensing revenue that was due to third parties.</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Asset Purchase Agreement – EPI Health, LLC</w:t>
      </w:r>
    </w:p>
    <w:p>
      <w:pPr>
        <w:spacing w:after="0" w:line="243"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18"/>
          <w:szCs w:val="18"/>
          <w:color w:val="auto"/>
        </w:rPr>
        <w:t>In October 2019, the Company sold RHOFADE (oxymetazoline hydrochloride) cream, 1% (“RHOFADE”) to EPI Health, LLC (“EPI Health”) pursuant to an asset purchase agreement. In July 2023, EPI Health filed a voluntary petition for relief under Chapter 11 of the United States Bankruptcy Code. Through the bankruptcy process, EPI Health and its parent company, Novan, Inc., sold the RHOFADE assets to a third party, which excluded the Company’s asset purchase agreement with EPI Health and the outstanding amounts due. The sale was approved by the bankruptcy court in September 2023. As a result of the bankruptcy proceedings, all amounts that were due and outstanding by EPI Health had been fully reserved. In September 2025, the Company sold all of its right, title and interest in its bankruptcy claims against EPI Health and wrote off the remaining reserved balance as it was deemed uncollectible.</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Agreement and Plan of Merger – Confluence</w:t>
      </w:r>
    </w:p>
    <w:p>
      <w:pPr>
        <w:spacing w:after="0" w:line="234"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8"/>
          <w:szCs w:val="18"/>
          <w:color w:val="auto"/>
        </w:rPr>
        <w:t>In August 2017, the Company entered into an Agreement and Plan of Merger, pursuant to which it acquired Confluence (the “Confluence Agreement”). Under the Confluence Agreement, the Company agreed to pay the former Confluence equity holders aggregate remaining contingent consideration of up to $75.0 million based upon the achievement of specified regulatory and commercial milestones set forth in the Confluence Agreement. In addition, the Company agreed to pay the former Confluence equity holders future royalty payments calculated as a low single-digit percentage of annual net sales, subject to specified reductions, limitations and other adjustments, until the date that all of the patent rights for that product have expired, as determined on a country-by-country and product-by -product basis or, in specified circumstances, ten years from the first commercial sale of such product. In addition to the payments described above, if the Company sells, licenses or transfers any of the intellectual property acquired from Confluence pursuant to the Confluence Agreement to a third party, the Company will be obligated to pay the former Confluence equity holders a portion of any consideration received from such sale, license or transfer in specified circumstances.</w:t>
      </w:r>
    </w:p>
    <w:p>
      <w:pPr>
        <w:spacing w:after="0" w:line="171"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As of December 31, 2025 and 2024, the balance of the Company’s contingent consideration liability was $11.0 million and $8.7 million, respectively (see Note 3).</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880" w:h="15480" w:orient="portrait"/>
          <w:cols w:equalWidth="0" w:num="1">
            <w:col w:w="9720"/>
          </w:cols>
          <w:pgMar w:left="1080" w:top="1177" w:right="108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12. Sale of Future Royalties</w:t>
      </w:r>
    </w:p>
    <w:p>
      <w:pPr>
        <w:spacing w:after="0" w:line="234"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In July 2024, the Company entered into a royalty purchase agreement with OMERS. Under the royalty purchase agreement, the Company sold to OMERS a portion of the Company’s future royalty payments and the remaining anniversary payments associated with the Company’s existing license to Lilly relating to OLUMIANT® (baricitinib) for the treatment of alopecia areata.</w:t>
      </w:r>
    </w:p>
    <w:p>
      <w:pPr>
        <w:spacing w:after="0" w:line="185"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Under the terms of the royalty purchase agreement, the Company received an upfront payment of $26.5 million. In exchange, OMERS acquired a portion of the royalty payable by Lilly to the Company for worldwide net sales of OLUMIANT for the treatment of alopecia areata from April 1, 2024 through the remainder of the royalty term under the Company’s license agreement with Lilly, and 100% of the remaining anniversary milestone payments payable by Lilly to the Company under the license agreement.</w:t>
      </w:r>
    </w:p>
    <w:p>
      <w:pPr>
        <w:spacing w:after="0" w:line="187"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The Company evaluated the arrangement and concluded that the proceeds from the sale of future royalties should be recorded as deferred income on the consolidated balance sheet, as the criteria for debt classification were not met in accordance with ASC Topic 470. In particular, the Company does not have significant continuing involvement in the generation of the cash flows due to OMERS and there are no guaranteed rates of return to OMERS. The Company recognizes non-cash royalty income under the “units-of-revenue” method in the consolidated statements of operations and comprehensive loss. For the years ended December 31, 2025 and 2024, the Company recognized $3.8 million and $1.9 million of non-cash royalty income, respectively. As of December 31, 2025, the current and non-current portions of the remaining deferred income recognized under the units-of revenue method were $3.9 million and $16.2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Restructuring Charges</w:t>
      </w:r>
    </w:p>
    <w:p>
      <w:pPr>
        <w:spacing w:after="0" w:line="234"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In December 2023, the Company’s board of directors approved a reduction of the Company’s workforce by approximately 46%, which was completed as of December 31, 2024. During the year ended December 31, 2025, the Company made cash severance payments of $0.2 million to impacted employees. During the year ended December 31, 2024, the Company recognized severance expense of $2.7 million and made cash severance payments of $5.6 million to impacted employees.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Segment Information</w:t>
      </w:r>
    </w:p>
    <w:p>
      <w:pPr>
        <w:spacing w:after="0" w:line="235"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Company operates and reports as one reportable segment, which focuses on identifying and developing innovative therapies to address significant unmet needs for immuno-inflammatory diseases. The segment earns revenue through the licensing of the Company’s intellectual property and the provision of laboratory services. All customers and revenue pertaining to the reportable segment are based in the United States.</w:t>
      </w:r>
    </w:p>
    <w:p>
      <w:pPr>
        <w:spacing w:after="0" w:line="167" w:lineRule="exact"/>
        <w:rPr>
          <w:sz w:val="20"/>
          <w:szCs w:val="20"/>
          <w:color w:val="auto"/>
        </w:rPr>
      </w:pPr>
    </w:p>
    <w:p>
      <w:pPr>
        <w:jc w:val="both"/>
        <w:ind w:firstLine="720"/>
        <w:spacing w:after="0" w:line="283" w:lineRule="auto"/>
        <w:rPr>
          <w:sz w:val="20"/>
          <w:szCs w:val="20"/>
          <w:color w:val="auto"/>
        </w:rPr>
      </w:pPr>
      <w:r>
        <w:rPr>
          <w:rFonts w:ascii="Arial" w:cs="Arial" w:eastAsia="Arial" w:hAnsi="Arial"/>
          <w:sz w:val="18"/>
          <w:szCs w:val="18"/>
          <w:color w:val="auto"/>
        </w:rPr>
        <w:t>When evaluating the Company’s financial performance, the CODM regularly reviews consolidated segment loss, total expense, and direct expenses by project. The CODM allocates resources based on the Company’s available cash resources and forecasted expenditures on a consolidated basis. Segment asset information regularly provided to the CODM is consistent with that reported on the consolidated balance sheet with particular emphasis on the Company’s available liquidity, including its cash, cash equivalents and marketable securities balances.</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880" w:h="15480" w:orient="portrait"/>
          <w:cols w:equalWidth="0" w:num="1">
            <w:col w:w="9720"/>
          </w:cols>
          <w:pgMar w:left="1080" w:top="1173" w:right="1080" w:bottom="0" w:gutter="0" w:footer="0" w:header="0"/>
          <w:type w:val="continuous"/>
        </w:sectPr>
      </w:pPr>
    </w:p>
    <w:bookmarkStart w:id="108" w:name="page109"/>
    <w:bookmarkEnd w:id="108"/>
    <w:p>
      <w:pPr>
        <w:ind w:left="720"/>
        <w:spacing w:after="0"/>
        <w:rPr>
          <w:sz w:val="20"/>
          <w:szCs w:val="20"/>
          <w:color w:val="auto"/>
        </w:rPr>
      </w:pPr>
      <w:r>
        <w:rPr>
          <w:rFonts w:ascii="Arial" w:cs="Arial" w:eastAsia="Arial" w:hAnsi="Arial"/>
          <w:sz w:val="17"/>
          <w:szCs w:val="17"/>
          <w:color w:val="auto"/>
        </w:rPr>
        <w:t>The following table presents the significant segment expenses and other segment items regularly reviewed by the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CODM for the years ended December 31, 2025 and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560" w:type="dxa"/>
            <w:vAlign w:val="bottom"/>
            <w:tcBorders>
              <w:bottom w:val="single" w:sz="8" w:color="E5E5E5"/>
            </w:tcBorders>
            <w:vMerge w:val="continue"/>
          </w:tcPr>
          <w:p>
            <w:pPr>
              <w:spacing w:after="0"/>
              <w:rPr>
                <w:sz w:val="15"/>
                <w:szCs w:val="15"/>
                <w:color w:val="auto"/>
              </w:rPr>
            </w:pPr>
          </w:p>
        </w:tc>
        <w:tc>
          <w:tcPr>
            <w:tcW w:w="144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2"/>
              <w:spacing w:after="0" w:line="175" w:lineRule="exact"/>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5E5E5"/>
            </w:tcBorders>
          </w:tcPr>
          <w:p>
            <w:pPr>
              <w:spacing w:after="0"/>
              <w:rPr>
                <w:sz w:val="15"/>
                <w:szCs w:val="15"/>
                <w:color w:val="auto"/>
              </w:rPr>
            </w:pPr>
          </w:p>
        </w:tc>
        <w:tc>
          <w:tcPr>
            <w:tcW w:w="80" w:type="dxa"/>
            <w:vAlign w:val="bottom"/>
            <w:tcBorders>
              <w:bottom w:val="single" w:sz="8" w:color="E5E5E5"/>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1"/>
              <w:spacing w:after="0" w:line="175" w:lineRule="exact"/>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Contract research</w:t>
            </w:r>
          </w:p>
        </w:tc>
        <w:tc>
          <w:tcPr>
            <w:tcW w:w="14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80"/>
              <w:spacing w:after="0" w:line="220" w:lineRule="exact"/>
              <w:rPr>
                <w:sz w:val="20"/>
                <w:szCs w:val="20"/>
                <w:color w:val="auto"/>
              </w:rPr>
            </w:pPr>
            <w:r>
              <w:rPr>
                <w:rFonts w:ascii="Arial" w:cs="Arial" w:eastAsia="Arial" w:hAnsi="Arial"/>
                <w:sz w:val="20"/>
                <w:szCs w:val="20"/>
                <w:color w:val="auto"/>
                <w:w w:val="71"/>
              </w:rPr>
              <w:t>$</w:t>
            </w:r>
          </w:p>
        </w:tc>
        <w:tc>
          <w:tcPr>
            <w:tcW w:w="9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1,872</w:t>
            </w:r>
          </w:p>
        </w:tc>
        <w:tc>
          <w:tcPr>
            <w:tcW w:w="100" w:type="dxa"/>
            <w:vAlign w:val="bottom"/>
            <w:shd w:val="clear" w:color="auto" w:fill="E5E5E5"/>
          </w:tcPr>
          <w:p>
            <w:pPr>
              <w:spacing w:after="0"/>
              <w:rPr>
                <w:sz w:val="19"/>
                <w:szCs w:val="19"/>
                <w:color w:val="auto"/>
              </w:rPr>
            </w:pPr>
          </w:p>
        </w:tc>
        <w:tc>
          <w:tcPr>
            <w:tcW w:w="500" w:type="dxa"/>
            <w:vAlign w:val="bottom"/>
            <w:gridSpan w:val="2"/>
            <w:shd w:val="clear" w:color="auto" w:fill="E5E5E5"/>
          </w:tcPr>
          <w:p>
            <w:pPr>
              <w:jc w:val="right"/>
              <w:ind w:right="320"/>
              <w:spacing w:after="0" w:line="220" w:lineRule="exact"/>
              <w:rPr>
                <w:sz w:val="20"/>
                <w:szCs w:val="20"/>
                <w:color w:val="auto"/>
              </w:rPr>
            </w:pPr>
            <w:r>
              <w:rPr>
                <w:rFonts w:ascii="Arial" w:cs="Arial" w:eastAsia="Arial" w:hAnsi="Arial"/>
                <w:sz w:val="20"/>
                <w:szCs w:val="20"/>
                <w:color w:val="auto"/>
              </w:rPr>
              <w:t>$</w:t>
            </w: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2,541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E5E5E5"/>
            </w:tcBorders>
          </w:tcPr>
          <w:p>
            <w:pPr>
              <w:spacing w:after="0"/>
              <w:rPr>
                <w:sz w:val="20"/>
                <w:szCs w:val="20"/>
                <w:color w:val="auto"/>
              </w:rPr>
            </w:pPr>
            <w:r>
              <w:rPr>
                <w:rFonts w:ascii="Arial" w:cs="Arial" w:eastAsia="Arial" w:hAnsi="Arial"/>
                <w:sz w:val="20"/>
                <w:szCs w:val="20"/>
                <w:color w:val="auto"/>
              </w:rPr>
              <w:t>Licensing revenue</w:t>
            </w:r>
          </w:p>
        </w:tc>
        <w:tc>
          <w:tcPr>
            <w:tcW w:w="1440" w:type="dxa"/>
            <w:vAlign w:val="bottom"/>
            <w:tcBorders>
              <w:bottom w:val="single" w:sz="8" w:color="E5E5E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5,954</w:t>
            </w:r>
          </w:p>
        </w:tc>
        <w:tc>
          <w:tcPr>
            <w:tcW w:w="100" w:type="dxa"/>
            <w:vAlign w:val="bottom"/>
            <w:tcBorders>
              <w:bottom w:val="single" w:sz="8" w:color="E5E5E5"/>
            </w:tcBorders>
          </w:tcPr>
          <w:p>
            <w:pPr>
              <w:spacing w:after="0"/>
              <w:rPr>
                <w:sz w:val="20"/>
                <w:szCs w:val="20"/>
                <w:color w:val="auto"/>
              </w:rPr>
            </w:pPr>
          </w:p>
        </w:tc>
        <w:tc>
          <w:tcPr>
            <w:tcW w:w="80" w:type="dxa"/>
            <w:vAlign w:val="bottom"/>
            <w:tcBorders>
              <w:bottom w:val="single" w:sz="8" w:color="E5E5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Total revenue</w:t>
            </w:r>
          </w:p>
        </w:tc>
        <w:tc>
          <w:tcPr>
            <w:tcW w:w="14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7,826</w:t>
            </w:r>
          </w:p>
        </w:tc>
        <w:tc>
          <w:tcPr>
            <w:tcW w:w="1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18,720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20"/>
                <w:szCs w:val="20"/>
                <w:color w:val="auto"/>
              </w:rPr>
              <w:t>Cost of revenue</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2,091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E5E5E5"/>
          </w:tcPr>
          <w:p>
            <w:pPr>
              <w:spacing w:after="0" w:line="230" w:lineRule="exact"/>
              <w:rPr>
                <w:sz w:val="20"/>
                <w:szCs w:val="20"/>
                <w:color w:val="auto"/>
              </w:rPr>
            </w:pPr>
            <w:r>
              <w:rPr>
                <w:rFonts w:ascii="Arial" w:cs="Arial" w:eastAsia="Arial" w:hAnsi="Arial"/>
                <w:sz w:val="20"/>
                <w:szCs w:val="20"/>
                <w:color w:val="auto"/>
              </w:rPr>
              <w:t>Research and development:</w:t>
            </w:r>
            <w:r>
              <w:rPr>
                <w:rFonts w:ascii="Arial" w:cs="Arial" w:eastAsia="Arial" w:hAnsi="Arial"/>
                <w:sz w:val="25"/>
                <w:szCs w:val="25"/>
                <w:color w:val="auto"/>
                <w:vertAlign w:val="superscript"/>
              </w:rPr>
              <w:t>(1)</w:t>
            </w:r>
          </w:p>
        </w:tc>
        <w:tc>
          <w:tcPr>
            <w:tcW w:w="144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Arial" w:cs="Arial" w:eastAsia="Arial" w:hAnsi="Arial"/>
                <w:sz w:val="20"/>
                <w:szCs w:val="20"/>
                <w:color w:val="auto"/>
              </w:rPr>
              <w:t>Bosakitug</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13,845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E5E5E5"/>
          </w:tcPr>
          <w:p>
            <w:pPr>
              <w:ind w:left="200"/>
              <w:spacing w:after="0"/>
              <w:rPr>
                <w:sz w:val="20"/>
                <w:szCs w:val="20"/>
                <w:color w:val="auto"/>
              </w:rPr>
            </w:pPr>
            <w:r>
              <w:rPr>
                <w:rFonts w:ascii="Arial" w:cs="Arial" w:eastAsia="Arial" w:hAnsi="Arial"/>
                <w:sz w:val="20"/>
                <w:szCs w:val="20"/>
                <w:color w:val="auto"/>
              </w:rPr>
              <w:t>ATI-052</w:t>
            </w:r>
          </w:p>
        </w:tc>
        <w:tc>
          <w:tcPr>
            <w:tcW w:w="14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7,074</w:t>
            </w:r>
          </w:p>
        </w:tc>
        <w:tc>
          <w:tcPr>
            <w:tcW w:w="1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Arial" w:cs="Arial" w:eastAsia="Arial" w:hAnsi="Arial"/>
                <w:sz w:val="20"/>
                <w:szCs w:val="20"/>
                <w:color w:val="auto"/>
              </w:rPr>
              <w:t>ATI-2138</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E5E5E5"/>
          </w:tcPr>
          <w:p>
            <w:pPr>
              <w:ind w:left="200"/>
              <w:spacing w:after="0"/>
              <w:rPr>
                <w:sz w:val="20"/>
                <w:szCs w:val="20"/>
                <w:color w:val="auto"/>
              </w:rPr>
            </w:pPr>
            <w:r>
              <w:rPr>
                <w:rFonts w:ascii="Arial" w:cs="Arial" w:eastAsia="Arial" w:hAnsi="Arial"/>
                <w:sz w:val="20"/>
                <w:szCs w:val="20"/>
                <w:color w:val="auto"/>
              </w:rPr>
              <w:t>ATI-9494</w:t>
            </w:r>
          </w:p>
        </w:tc>
        <w:tc>
          <w:tcPr>
            <w:tcW w:w="144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5,371</w:t>
            </w:r>
          </w:p>
        </w:tc>
        <w:tc>
          <w:tcPr>
            <w:tcW w:w="1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E5E5E5"/>
            </w:tcBorders>
          </w:tcPr>
          <w:p>
            <w:pPr>
              <w:ind w:left="200"/>
              <w:spacing w:after="0"/>
              <w:rPr>
                <w:sz w:val="20"/>
                <w:szCs w:val="20"/>
                <w:color w:val="auto"/>
              </w:rPr>
            </w:pPr>
            <w:r>
              <w:rPr>
                <w:rFonts w:ascii="Arial" w:cs="Arial" w:eastAsia="Arial" w:hAnsi="Arial"/>
                <w:sz w:val="20"/>
                <w:szCs w:val="20"/>
                <w:color w:val="auto"/>
              </w:rPr>
              <w:t>Discovery</w:t>
            </w:r>
          </w:p>
        </w:tc>
        <w:tc>
          <w:tcPr>
            <w:tcW w:w="1440" w:type="dxa"/>
            <w:vAlign w:val="bottom"/>
            <w:tcBorders>
              <w:bottom w:val="single" w:sz="8" w:color="E5E5E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3,872</w:t>
            </w:r>
          </w:p>
        </w:tc>
        <w:tc>
          <w:tcPr>
            <w:tcW w:w="100" w:type="dxa"/>
            <w:vAlign w:val="bottom"/>
            <w:tcBorders>
              <w:bottom w:val="single" w:sz="8" w:color="E5E5E5"/>
            </w:tcBorders>
          </w:tcPr>
          <w:p>
            <w:pPr>
              <w:spacing w:after="0"/>
              <w:rPr>
                <w:sz w:val="19"/>
                <w:szCs w:val="19"/>
                <w:color w:val="auto"/>
              </w:rPr>
            </w:pPr>
          </w:p>
        </w:tc>
        <w:tc>
          <w:tcPr>
            <w:tcW w:w="80" w:type="dxa"/>
            <w:vAlign w:val="bottom"/>
            <w:tcBorders>
              <w:bottom w:val="single" w:sz="8" w:color="E5E5E5"/>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E5E5E5"/>
          </w:tcPr>
          <w:p>
            <w:pPr>
              <w:ind w:left="200"/>
              <w:spacing w:after="0" w:line="220" w:lineRule="exact"/>
              <w:rPr>
                <w:sz w:val="20"/>
                <w:szCs w:val="20"/>
                <w:color w:val="auto"/>
              </w:rPr>
            </w:pPr>
            <w:r>
              <w:rPr>
                <w:rFonts w:ascii="Arial" w:cs="Arial" w:eastAsia="Arial" w:hAnsi="Arial"/>
                <w:sz w:val="20"/>
                <w:szCs w:val="20"/>
                <w:color w:val="auto"/>
              </w:rPr>
              <w:t>Total research and development project expenses</w:t>
            </w:r>
          </w:p>
        </w:tc>
        <w:tc>
          <w:tcPr>
            <w:tcW w:w="14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35,083</w:t>
            </w:r>
          </w:p>
        </w:tc>
        <w:tc>
          <w:tcPr>
            <w:tcW w:w="1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12,178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0"/>
              <w:spacing w:after="0"/>
              <w:rPr>
                <w:sz w:val="20"/>
                <w:szCs w:val="20"/>
                <w:color w:val="auto"/>
              </w:rPr>
            </w:pPr>
            <w:r>
              <w:rPr>
                <w:rFonts w:ascii="Arial" w:cs="Arial" w:eastAsia="Arial" w:hAnsi="Arial"/>
                <w:sz w:val="20"/>
                <w:szCs w:val="20"/>
                <w:color w:val="auto"/>
              </w:rPr>
              <w:t>Personnel</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11,816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11,446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E5E5E5"/>
          </w:tcPr>
          <w:p>
            <w:pPr>
              <w:ind w:left="200"/>
              <w:spacing w:after="0" w:line="230" w:lineRule="exact"/>
              <w:rPr>
                <w:sz w:val="20"/>
                <w:szCs w:val="20"/>
                <w:color w:val="auto"/>
              </w:rPr>
            </w:pPr>
            <w:r>
              <w:rPr>
                <w:rFonts w:ascii="Arial" w:cs="Arial" w:eastAsia="Arial" w:hAnsi="Arial"/>
                <w:sz w:val="20"/>
                <w:szCs w:val="20"/>
                <w:color w:val="auto"/>
              </w:rPr>
              <w:t>Other research and development</w:t>
            </w:r>
            <w:r>
              <w:rPr>
                <w:rFonts w:ascii="Arial" w:cs="Arial" w:eastAsia="Arial" w:hAnsi="Arial"/>
                <w:sz w:val="25"/>
                <w:szCs w:val="25"/>
                <w:color w:val="auto"/>
                <w:vertAlign w:val="superscript"/>
              </w:rPr>
              <w:t>(2)</w:t>
            </w:r>
          </w:p>
        </w:tc>
        <w:tc>
          <w:tcPr>
            <w:tcW w:w="1440" w:type="dxa"/>
            <w:vAlign w:val="bottom"/>
            <w:shd w:val="clear" w:color="auto" w:fill="E5E5E5"/>
          </w:tcPr>
          <w:p>
            <w:pPr>
              <w:spacing w:after="0"/>
              <w:rPr>
                <w:sz w:val="20"/>
                <w:szCs w:val="20"/>
                <w:color w:val="auto"/>
              </w:rPr>
            </w:pPr>
          </w:p>
        </w:tc>
        <w:tc>
          <w:tcPr>
            <w:tcW w:w="280" w:type="dxa"/>
            <w:vAlign w:val="bottom"/>
            <w:tcBorders>
              <w:bottom w:val="single" w:sz="8" w:color="auto"/>
            </w:tcBorders>
            <w:shd w:val="clear" w:color="auto" w:fill="E5E5E5"/>
          </w:tcPr>
          <w:p>
            <w:pPr>
              <w:spacing w:after="0"/>
              <w:rPr>
                <w:sz w:val="20"/>
                <w:szCs w:val="20"/>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5,746</w:t>
            </w:r>
          </w:p>
        </w:tc>
        <w:tc>
          <w:tcPr>
            <w:tcW w:w="1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spacing w:after="0"/>
              <w:rPr>
                <w:sz w:val="20"/>
                <w:szCs w:val="20"/>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20"/>
                <w:szCs w:val="20"/>
                <w:color w:val="auto"/>
              </w:rPr>
              <w:t>9,962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560" w:type="dxa"/>
            <w:vAlign w:val="bottom"/>
          </w:tcPr>
          <w:p>
            <w:pPr>
              <w:spacing w:after="0" w:line="219" w:lineRule="exact"/>
              <w:rPr>
                <w:sz w:val="20"/>
                <w:szCs w:val="20"/>
                <w:color w:val="auto"/>
              </w:rPr>
            </w:pPr>
            <w:r>
              <w:rPr>
                <w:rFonts w:ascii="Arial" w:cs="Arial" w:eastAsia="Arial" w:hAnsi="Arial"/>
                <w:sz w:val="20"/>
                <w:szCs w:val="20"/>
                <w:color w:val="auto"/>
              </w:rPr>
              <w:t>Total research and development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Arial" w:cs="Arial" w:eastAsia="Arial" w:hAnsi="Arial"/>
                <w:sz w:val="20"/>
                <w:szCs w:val="20"/>
                <w:color w:val="auto"/>
              </w:rPr>
              <w:t>52,645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line="219" w:lineRule="exact"/>
              <w:rPr>
                <w:sz w:val="20"/>
                <w:szCs w:val="20"/>
                <w:color w:val="auto"/>
              </w:rPr>
            </w:pPr>
            <w:r>
              <w:rPr>
                <w:rFonts w:ascii="Arial" w:cs="Arial" w:eastAsia="Arial" w:hAnsi="Arial"/>
                <w:sz w:val="20"/>
                <w:szCs w:val="20"/>
                <w:color w:val="auto"/>
              </w:rPr>
              <w:t>33,586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E5E5E5"/>
          </w:tcPr>
          <w:p>
            <w:pPr>
              <w:spacing w:after="0" w:line="230" w:lineRule="exact"/>
              <w:rPr>
                <w:sz w:val="20"/>
                <w:szCs w:val="20"/>
                <w:color w:val="auto"/>
              </w:rPr>
            </w:pPr>
            <w:r>
              <w:rPr>
                <w:rFonts w:ascii="Arial" w:cs="Arial" w:eastAsia="Arial" w:hAnsi="Arial"/>
                <w:sz w:val="20"/>
                <w:szCs w:val="20"/>
                <w:color w:val="auto"/>
              </w:rPr>
              <w:t>General and administrative</w:t>
            </w:r>
            <w:r>
              <w:rPr>
                <w:rFonts w:ascii="Arial" w:cs="Arial" w:eastAsia="Arial" w:hAnsi="Arial"/>
                <w:sz w:val="25"/>
                <w:szCs w:val="25"/>
                <w:color w:val="auto"/>
                <w:vertAlign w:val="superscript"/>
              </w:rPr>
              <w:t>(3)</w:t>
            </w:r>
          </w:p>
        </w:tc>
        <w:tc>
          <w:tcPr>
            <w:tcW w:w="144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21,972</w:t>
            </w:r>
          </w:p>
        </w:tc>
        <w:tc>
          <w:tcPr>
            <w:tcW w:w="100" w:type="dxa"/>
            <w:vAlign w:val="bottom"/>
            <w:shd w:val="clear" w:color="auto" w:fill="E5E5E5"/>
          </w:tcPr>
          <w:p>
            <w:pPr>
              <w:spacing w:after="0"/>
              <w:rPr>
                <w:sz w:val="20"/>
                <w:szCs w:val="20"/>
                <w:color w:val="auto"/>
              </w:rPr>
            </w:pPr>
          </w:p>
        </w:tc>
        <w:tc>
          <w:tcPr>
            <w:tcW w:w="8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22,203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20"/>
                <w:szCs w:val="20"/>
                <w:color w:val="auto"/>
              </w:rPr>
              <w:t>Licensing</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5,193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12,666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E5E5E5"/>
          </w:tcPr>
          <w:p>
            <w:pPr>
              <w:spacing w:after="0"/>
              <w:rPr>
                <w:sz w:val="20"/>
                <w:szCs w:val="20"/>
                <w:color w:val="auto"/>
              </w:rPr>
            </w:pPr>
            <w:r>
              <w:rPr>
                <w:rFonts w:ascii="Arial" w:cs="Arial" w:eastAsia="Arial" w:hAnsi="Arial"/>
                <w:sz w:val="20"/>
                <w:szCs w:val="20"/>
                <w:color w:val="auto"/>
              </w:rPr>
              <w:t>Revaluation of contingent consideration</w:t>
            </w:r>
          </w:p>
        </w:tc>
        <w:tc>
          <w:tcPr>
            <w:tcW w:w="14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2,300</w:t>
            </w:r>
          </w:p>
        </w:tc>
        <w:tc>
          <w:tcPr>
            <w:tcW w:w="1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E5E5E5"/>
            </w:tcBorders>
          </w:tcPr>
          <w:p>
            <w:pPr>
              <w:spacing w:after="0"/>
              <w:rPr>
                <w:sz w:val="20"/>
                <w:szCs w:val="20"/>
                <w:color w:val="auto"/>
              </w:rPr>
            </w:pPr>
            <w:r>
              <w:rPr>
                <w:rFonts w:ascii="Arial" w:cs="Arial" w:eastAsia="Arial" w:hAnsi="Arial"/>
                <w:sz w:val="20"/>
                <w:szCs w:val="20"/>
                <w:color w:val="auto"/>
              </w:rPr>
              <w:t>In-process research and development</w:t>
            </w:r>
          </w:p>
        </w:tc>
        <w:tc>
          <w:tcPr>
            <w:tcW w:w="1440" w:type="dxa"/>
            <w:vAlign w:val="bottom"/>
            <w:tcBorders>
              <w:bottom w:val="single" w:sz="8" w:color="E5E5E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E5E5E5"/>
            </w:tcBorders>
          </w:tcPr>
          <w:p>
            <w:pPr>
              <w:spacing w:after="0"/>
              <w:rPr>
                <w:sz w:val="20"/>
                <w:szCs w:val="20"/>
                <w:color w:val="auto"/>
              </w:rPr>
            </w:pPr>
          </w:p>
        </w:tc>
        <w:tc>
          <w:tcPr>
            <w:tcW w:w="80" w:type="dxa"/>
            <w:vAlign w:val="bottom"/>
            <w:tcBorders>
              <w:bottom w:val="single" w:sz="8" w:color="E5E5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Segment operating loss</w:t>
            </w:r>
          </w:p>
        </w:tc>
        <w:tc>
          <w:tcPr>
            <w:tcW w:w="1720" w:type="dxa"/>
            <w:vAlign w:val="bottom"/>
            <w:gridSpan w:val="2"/>
            <w:shd w:val="clear" w:color="auto" w:fill="E5E5E5"/>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1080" w:type="dxa"/>
            <w:vAlign w:val="bottom"/>
            <w:gridSpan w:val="2"/>
            <w:shd w:val="clear" w:color="auto" w:fill="E5E5E5"/>
          </w:tcPr>
          <w:p>
            <w:pPr>
              <w:jc w:val="right"/>
              <w:ind w:right="100"/>
              <w:spacing w:after="0" w:line="220" w:lineRule="exact"/>
              <w:rPr>
                <w:sz w:val="20"/>
                <w:szCs w:val="20"/>
                <w:color w:val="auto"/>
              </w:rPr>
            </w:pPr>
            <w:r>
              <w:rPr>
                <w:rFonts w:ascii="Arial" w:cs="Arial" w:eastAsia="Arial" w:hAnsi="Arial"/>
                <w:sz w:val="20"/>
                <w:szCs w:val="20"/>
                <w:color w:val="auto"/>
              </w:rPr>
              <w:t>(76,375)</w:t>
            </w:r>
          </w:p>
        </w:tc>
        <w:tc>
          <w:tcPr>
            <w:tcW w:w="500" w:type="dxa"/>
            <w:vAlign w:val="bottom"/>
            <w:gridSpan w:val="2"/>
            <w:shd w:val="clear" w:color="auto" w:fill="E5E5E5"/>
          </w:tcPr>
          <w:p>
            <w:pPr>
              <w:jc w:val="right"/>
              <w:ind w:right="320"/>
              <w:spacing w:after="0" w:line="220" w:lineRule="exact"/>
              <w:rPr>
                <w:sz w:val="20"/>
                <w:szCs w:val="20"/>
                <w:color w:val="auto"/>
              </w:rPr>
            </w:pPr>
            <w:r>
              <w:rPr>
                <w:rFonts w:ascii="Arial" w:cs="Arial" w:eastAsia="Arial" w:hAnsi="Arial"/>
                <w:sz w:val="20"/>
                <w:szCs w:val="20"/>
                <w:color w:val="auto"/>
              </w:rPr>
              <w:t>$</w:t>
            </w: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w w:val="98"/>
              </w:rPr>
              <w:t>(141,932)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E5E5E5"/>
            </w:tcBorders>
          </w:tcPr>
          <w:p>
            <w:pPr>
              <w:spacing w:after="0"/>
              <w:rPr>
                <w:sz w:val="20"/>
                <w:szCs w:val="20"/>
                <w:color w:val="auto"/>
              </w:rPr>
            </w:pPr>
            <w:r>
              <w:rPr>
                <w:rFonts w:ascii="Arial" w:cs="Arial" w:eastAsia="Arial" w:hAnsi="Arial"/>
                <w:sz w:val="20"/>
                <w:szCs w:val="20"/>
                <w:color w:val="auto"/>
              </w:rPr>
              <w:t>Other income</w:t>
            </w:r>
          </w:p>
        </w:tc>
        <w:tc>
          <w:tcPr>
            <w:tcW w:w="1440" w:type="dxa"/>
            <w:vAlign w:val="bottom"/>
            <w:tcBorders>
              <w:bottom w:val="single" w:sz="8" w:color="E5E5E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11,452</w:t>
            </w:r>
          </w:p>
        </w:tc>
        <w:tc>
          <w:tcPr>
            <w:tcW w:w="100" w:type="dxa"/>
            <w:vAlign w:val="bottom"/>
            <w:tcBorders>
              <w:bottom w:val="single" w:sz="8" w:color="E5E5E5"/>
            </w:tcBorders>
          </w:tcPr>
          <w:p>
            <w:pPr>
              <w:spacing w:after="0"/>
              <w:rPr>
                <w:sz w:val="20"/>
                <w:szCs w:val="20"/>
                <w:color w:val="auto"/>
              </w:rPr>
            </w:pPr>
          </w:p>
        </w:tc>
        <w:tc>
          <w:tcPr>
            <w:tcW w:w="80" w:type="dxa"/>
            <w:vAlign w:val="bottom"/>
            <w:tcBorders>
              <w:bottom w:val="single" w:sz="8" w:color="E5E5E5"/>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Segment loss before income taxes</w:t>
            </w:r>
          </w:p>
        </w:tc>
        <w:tc>
          <w:tcPr>
            <w:tcW w:w="1720" w:type="dxa"/>
            <w:vAlign w:val="bottom"/>
            <w:gridSpan w:val="2"/>
            <w:shd w:val="clear" w:color="auto" w:fill="E5E5E5"/>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1080" w:type="dxa"/>
            <w:vAlign w:val="bottom"/>
            <w:gridSpan w:val="2"/>
            <w:shd w:val="clear" w:color="auto" w:fill="E5E5E5"/>
          </w:tcPr>
          <w:p>
            <w:pPr>
              <w:jc w:val="right"/>
              <w:ind w:right="100"/>
              <w:spacing w:after="0" w:line="220" w:lineRule="exact"/>
              <w:rPr>
                <w:sz w:val="20"/>
                <w:szCs w:val="20"/>
                <w:color w:val="auto"/>
              </w:rPr>
            </w:pPr>
            <w:r>
              <w:rPr>
                <w:rFonts w:ascii="Arial" w:cs="Arial" w:eastAsia="Arial" w:hAnsi="Arial"/>
                <w:sz w:val="20"/>
                <w:szCs w:val="20"/>
                <w:color w:val="auto"/>
              </w:rPr>
              <w:t>(64,923)</w:t>
            </w:r>
          </w:p>
        </w:tc>
        <w:tc>
          <w:tcPr>
            <w:tcW w:w="500" w:type="dxa"/>
            <w:vAlign w:val="bottom"/>
            <w:gridSpan w:val="2"/>
            <w:shd w:val="clear" w:color="auto" w:fill="E5E5E5"/>
          </w:tcPr>
          <w:p>
            <w:pPr>
              <w:jc w:val="right"/>
              <w:ind w:right="320"/>
              <w:spacing w:after="0" w:line="220" w:lineRule="exact"/>
              <w:rPr>
                <w:sz w:val="20"/>
                <w:szCs w:val="20"/>
                <w:color w:val="auto"/>
              </w:rPr>
            </w:pPr>
            <w:r>
              <w:rPr>
                <w:rFonts w:ascii="Arial" w:cs="Arial" w:eastAsia="Arial" w:hAnsi="Arial"/>
                <w:sz w:val="20"/>
                <w:szCs w:val="20"/>
                <w:color w:val="auto"/>
              </w:rPr>
              <w:t>$</w:t>
            </w:r>
          </w:p>
        </w:tc>
        <w:tc>
          <w:tcPr>
            <w:tcW w:w="8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w w:val="98"/>
              </w:rPr>
              <w:t>(132,065)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ind w:left="360" w:hanging="353"/>
        <w:spacing w:after="0" w:line="254" w:lineRule="auto"/>
        <w:tabs>
          <w:tab w:leader="none" w:pos="3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Research and development expenses primarily consist of direct costs incurred to specific programs, including costs to conduct clinical trials and to manufacture clinical drug supply.</w:t>
      </w:r>
    </w:p>
    <w:p>
      <w:pPr>
        <w:jc w:val="both"/>
        <w:ind w:left="360" w:hanging="353"/>
        <w:spacing w:after="0"/>
        <w:tabs>
          <w:tab w:leader="none" w:pos="3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Other research and development expenses primarily consist of indirect costs incurred in support of overall research and development activities and non-specific programs, including activities that benefit multiple programs, as well as stock-based compensation.</w:t>
      </w:r>
    </w:p>
    <w:p>
      <w:pPr>
        <w:jc w:val="both"/>
        <w:ind w:left="360" w:hanging="353"/>
        <w:spacing w:after="0" w:line="264" w:lineRule="auto"/>
        <w:tabs>
          <w:tab w:leader="none" w:pos="3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General and administrative expenses consist principally of salaries and related costs, including stock-based compensation, for personnel in executive, administrative, finance and legal functions, as well as facility-related costs, professional fees, business development costs, insurance costs, and travel expenses.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880" w:h="15480" w:orient="portrait"/>
          <w:cols w:equalWidth="0" w:num="1">
            <w:col w:w="9720"/>
          </w:cols>
          <w:pgMar w:left="1080" w:top="1177" w:right="1080"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36"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Evaluation of Disclosure Controls and Procedures</w:t>
      </w:r>
    </w:p>
    <w:p>
      <w:pPr>
        <w:spacing w:after="0" w:line="228"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Under the supervision of and with the participation of our management, including our principal executive officer and our principal financial officer, we conducted an evaluation of the effectiveness of our disclosure controls and procedures as of December 31, 2025, the end of the period covered by this Annual Report. The term “disclosure controls and procedures,” as set forth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December 31, 2025, our principal executive officer and principal financial officer concluded that, as of such date, our disclosure controls and procedures were effective at the reasonable assurance level.</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Management’s Report on Internal Control over Financial Reporting</w:t>
      </w:r>
    </w:p>
    <w:p>
      <w:pPr>
        <w:spacing w:after="0" w:line="229"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 xml:space="preserve">Our management is responsible for establishing and maintaining adequate internal control over financial reporting, as defined in Rules 13a-15(f) and 15d-15(f) of the Exchange Act. Management conducted an assessment of our internal control over financial reporting based on the framework established in 2013 by the Committee of Sponsoring Organizations of the Treadway Commission in </w:t>
      </w:r>
      <w:r>
        <w:rPr>
          <w:rFonts w:ascii="Arial" w:cs="Arial" w:eastAsia="Arial" w:hAnsi="Arial"/>
          <w:sz w:val="19"/>
          <w:szCs w:val="19"/>
          <w:i w:val="1"/>
          <w:iCs w:val="1"/>
          <w:color w:val="auto"/>
        </w:rPr>
        <w:t>Internal Control—Integrated Framework</w:t>
      </w:r>
      <w:r>
        <w:rPr>
          <w:rFonts w:ascii="Arial" w:cs="Arial" w:eastAsia="Arial" w:hAnsi="Arial"/>
          <w:sz w:val="19"/>
          <w:szCs w:val="19"/>
          <w:color w:val="auto"/>
        </w:rPr>
        <w:t>. Based on the assessment, management concluded that our internal control over financial reporting was effective as of December 31, 2025 to provide reasonable assurance regarding the reliability of financial reporting and the preparation of financial statements for external purposes in accordance with U.S. GAAP.</w:t>
      </w:r>
    </w:p>
    <w:p>
      <w:pPr>
        <w:spacing w:after="0" w:line="175"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This Annual Report does not include an attestation report of our registered public accounting firm regarding internal control over financial reporting as required by Section 404(b) of the Sarbanes-Oxley Act of 2002. Because we are a non-accelerated filer under the SEC rules, management’s report was not subject to attestation by our independent registered public accounting firm.</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Changes in Internal Control over Financial Reporting</w:t>
      </w:r>
    </w:p>
    <w:p>
      <w:pPr>
        <w:spacing w:after="0" w:line="229"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quarter ended December 31, 2025 that has materially affected, or is reasonably likely to materially affect, our internal control over financial reporting.</w:t>
      </w:r>
    </w:p>
    <w:p>
      <w:pPr>
        <w:spacing w:after="0" w:line="142" w:lineRule="exact"/>
        <w:rPr>
          <w:sz w:val="20"/>
          <w:szCs w:val="20"/>
          <w:color w:val="auto"/>
        </w:rPr>
      </w:pPr>
    </w:p>
    <w:p>
      <w:pPr>
        <w:jc w:val="both"/>
        <w:ind w:firstLine="720"/>
        <w:spacing w:after="0" w:line="276" w:lineRule="auto"/>
        <w:rPr>
          <w:sz w:val="20"/>
          <w:szCs w:val="20"/>
          <w:color w:val="auto"/>
        </w:rPr>
      </w:pPr>
      <w:r>
        <w:rPr>
          <w:rFonts w:ascii="Arial" w:cs="Arial" w:eastAsia="Arial" w:hAnsi="Arial"/>
          <w:sz w:val="20"/>
          <w:szCs w:val="20"/>
          <w:i w:val="1"/>
          <w:iCs w:val="1"/>
          <w:color w:val="auto"/>
        </w:rPr>
        <w:t>Limitations on Effectiveness of Disclosure Controls and Procedures and Internal Control over Financial Reporting</w:t>
      </w:r>
    </w:p>
    <w:p>
      <w:pPr>
        <w:spacing w:after="0" w:line="159"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880" w:h="15480" w:orient="portrait"/>
          <w:cols w:equalWidth="0" w:num="1">
            <w:col w:w="9720"/>
          </w:cols>
          <w:pgMar w:left="1080" w:top="1173" w:right="108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Item 9B.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Adoption, Modification and Termination of Rule 10b5-1 Plans and Certain Other Trading Arrangements</w:t>
      </w:r>
    </w:p>
    <w:p>
      <w:pPr>
        <w:spacing w:after="0" w:line="229"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During the quarter ended December 31, 2025, none of our directors or officers (as defined in Rule 16a-1(f) under the Exchange Act) adopted, modified or terminated a “Rule 10b5-1 trading arrangement” or a “non-Rule 10b5-1 trading arrangement” (as each term is defined in Item 408 of Regulation S-K).</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880" w:h="15480" w:orient="portrait"/>
          <w:cols w:equalWidth="0" w:num="1">
            <w:col w:w="9720"/>
          </w:cols>
          <w:pgMar w:left="1080" w:top="1173" w:right="1080" w:bottom="0" w:gutter="0" w:footer="0" w:header="0"/>
          <w:type w:val="continuous"/>
        </w:sectPr>
      </w:pPr>
    </w:p>
    <w:bookmarkStart w:id="111" w:name="page112"/>
    <w:bookmarkEnd w:id="111"/>
    <w:p>
      <w:pPr>
        <w:ind w:left="4440"/>
        <w:spacing w:after="0"/>
        <w:rPr>
          <w:sz w:val="20"/>
          <w:szCs w:val="20"/>
          <w:color w:val="auto"/>
        </w:rPr>
      </w:pPr>
      <w:r>
        <w:rPr>
          <w:rFonts w:ascii="Arial" w:cs="Arial" w:eastAsia="Arial" w:hAnsi="Arial"/>
          <w:sz w:val="20"/>
          <w:szCs w:val="20"/>
          <w:b w:val="1"/>
          <w:bCs w:val="1"/>
          <w:color w:val="auto"/>
        </w:rPr>
        <w:t>PART III</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04" w:lineRule="exact"/>
        <w:rPr>
          <w:sz w:val="20"/>
          <w:szCs w:val="20"/>
          <w:color w:val="auto"/>
        </w:rPr>
      </w:pPr>
    </w:p>
    <w:p>
      <w:pPr>
        <w:jc w:val="both"/>
        <w:ind w:firstLine="720"/>
        <w:spacing w:after="0" w:line="305" w:lineRule="auto"/>
        <w:rPr>
          <w:sz w:val="20"/>
          <w:szCs w:val="20"/>
          <w:color w:val="auto"/>
        </w:rPr>
      </w:pPr>
      <w:r>
        <w:rPr>
          <w:rFonts w:ascii="Arial" w:cs="Arial" w:eastAsia="Arial" w:hAnsi="Arial"/>
          <w:sz w:val="19"/>
          <w:szCs w:val="19"/>
          <w:color w:val="auto"/>
        </w:rPr>
        <w:t>The following table sets forth information concerning our directors and executive officers, including their ages as of February 9, 2026. There are no family relationships among any of our directors or executive officers.</w:t>
      </w:r>
    </w:p>
    <w:p>
      <w:pPr>
        <w:spacing w:after="0" w:line="105"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For our directors, the biographies below include information, as of February 9, 2026, regarding the specific and particular experience, qualifications, attributes or skills that led to the conclusion that the person should serve as a director of our company.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2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26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20"/>
                <w:szCs w:val="20"/>
                <w:b w:val="1"/>
                <w:bCs w:val="1"/>
                <w:color w:val="auto"/>
              </w:rPr>
              <w:t>Age</w:t>
            </w:r>
          </w:p>
        </w:tc>
        <w:tc>
          <w:tcPr>
            <w:tcW w:w="5220" w:type="dxa"/>
            <w:vAlign w:val="bottom"/>
            <w:gridSpan w:val="2"/>
          </w:tcPr>
          <w:p>
            <w:pPr>
              <w:ind w:left="280"/>
              <w:spacing w:after="0"/>
              <w:rPr>
                <w:sz w:val="20"/>
                <w:szCs w:val="20"/>
                <w:color w:val="auto"/>
              </w:rPr>
            </w:pPr>
            <w:r>
              <w:rPr>
                <w:rFonts w:ascii="Arial" w:cs="Arial" w:eastAsia="Arial" w:hAnsi="Arial"/>
                <w:sz w:val="20"/>
                <w:szCs w:val="20"/>
                <w:b w:val="1"/>
                <w:bCs w:val="1"/>
                <w:color w:val="auto"/>
              </w:rPr>
              <w:t>Position</w:t>
            </w:r>
          </w:p>
        </w:tc>
      </w:tr>
      <w:tr>
        <w:trPr>
          <w:trHeight w:val="220"/>
        </w:trPr>
        <w:tc>
          <w:tcPr>
            <w:tcW w:w="3620" w:type="dxa"/>
            <w:vAlign w:val="bottom"/>
            <w:tcBorders>
              <w:top w:val="single" w:sz="8" w:color="auto"/>
            </w:tcBorders>
            <w:shd w:val="clear" w:color="auto" w:fill="E5E5E5"/>
          </w:tcPr>
          <w:p>
            <w:pPr>
              <w:spacing w:after="0" w:line="220" w:lineRule="exact"/>
              <w:rPr>
                <w:sz w:val="20"/>
                <w:szCs w:val="20"/>
                <w:color w:val="auto"/>
              </w:rPr>
            </w:pPr>
            <w:r>
              <w:rPr>
                <w:rFonts w:ascii="Arial" w:cs="Arial" w:eastAsia="Arial" w:hAnsi="Arial"/>
                <w:sz w:val="20"/>
                <w:szCs w:val="20"/>
                <w:color w:val="auto"/>
              </w:rPr>
              <w:t>Executive Officers:</w:t>
            </w:r>
          </w:p>
        </w:tc>
        <w:tc>
          <w:tcPr>
            <w:tcW w:w="260" w:type="dxa"/>
            <w:vAlign w:val="bottom"/>
            <w:tcBorders>
              <w:top w:val="single" w:sz="8" w:color="E5E5E5"/>
            </w:tcBorders>
            <w:shd w:val="clear" w:color="auto" w:fill="E5E5E5"/>
          </w:tcPr>
          <w:p>
            <w:pPr>
              <w:spacing w:after="0"/>
              <w:rPr>
                <w:sz w:val="19"/>
                <w:szCs w:val="19"/>
                <w:color w:val="auto"/>
              </w:rPr>
            </w:pPr>
          </w:p>
        </w:tc>
        <w:tc>
          <w:tcPr>
            <w:tcW w:w="620" w:type="dxa"/>
            <w:vAlign w:val="bottom"/>
            <w:tcBorders>
              <w:top w:val="single" w:sz="8" w:color="auto"/>
            </w:tcBorders>
            <w:shd w:val="clear" w:color="auto" w:fill="E5E5E5"/>
          </w:tcPr>
          <w:p>
            <w:pPr>
              <w:spacing w:after="0"/>
              <w:rPr>
                <w:sz w:val="19"/>
                <w:szCs w:val="19"/>
                <w:color w:val="auto"/>
              </w:rPr>
            </w:pPr>
          </w:p>
        </w:tc>
        <w:tc>
          <w:tcPr>
            <w:tcW w:w="280" w:type="dxa"/>
            <w:vAlign w:val="bottom"/>
            <w:tcBorders>
              <w:top w:val="single" w:sz="8" w:color="E5E5E5"/>
            </w:tcBorders>
            <w:shd w:val="clear" w:color="auto" w:fill="E5E5E5"/>
          </w:tcPr>
          <w:p>
            <w:pPr>
              <w:spacing w:after="0"/>
              <w:rPr>
                <w:sz w:val="19"/>
                <w:szCs w:val="19"/>
                <w:color w:val="auto"/>
              </w:rPr>
            </w:pPr>
          </w:p>
        </w:tc>
        <w:tc>
          <w:tcPr>
            <w:tcW w:w="4940" w:type="dxa"/>
            <w:vAlign w:val="bottom"/>
            <w:tcBorders>
              <w:top w:val="single" w:sz="8" w:color="auto"/>
            </w:tcBorders>
            <w:shd w:val="clear" w:color="auto" w:fill="E5E5E5"/>
          </w:tcPr>
          <w:p>
            <w:pPr>
              <w:spacing w:after="0"/>
              <w:rPr>
                <w:sz w:val="19"/>
                <w:szCs w:val="19"/>
                <w:color w:val="auto"/>
              </w:rPr>
            </w:pPr>
          </w:p>
        </w:tc>
      </w:tr>
      <w:tr>
        <w:trPr>
          <w:trHeight w:val="230"/>
        </w:trPr>
        <w:tc>
          <w:tcPr>
            <w:tcW w:w="3620" w:type="dxa"/>
            <w:vAlign w:val="bottom"/>
          </w:tcPr>
          <w:p>
            <w:pPr>
              <w:ind w:left="360"/>
              <w:spacing w:after="0"/>
              <w:rPr>
                <w:sz w:val="20"/>
                <w:szCs w:val="20"/>
                <w:color w:val="auto"/>
              </w:rPr>
            </w:pPr>
            <w:r>
              <w:rPr>
                <w:rFonts w:ascii="Arial" w:cs="Arial" w:eastAsia="Arial" w:hAnsi="Arial"/>
                <w:sz w:val="20"/>
                <w:szCs w:val="20"/>
                <w:color w:val="auto"/>
              </w:rPr>
              <w:t>Neal Walker</w:t>
            </w:r>
          </w:p>
        </w:tc>
        <w:tc>
          <w:tcPr>
            <w:tcW w:w="880" w:type="dxa"/>
            <w:vAlign w:val="bottom"/>
            <w:gridSpan w:val="2"/>
          </w:tcPr>
          <w:p>
            <w:pPr>
              <w:ind w:left="260"/>
              <w:spacing w:after="0"/>
              <w:rPr>
                <w:sz w:val="20"/>
                <w:szCs w:val="20"/>
                <w:color w:val="auto"/>
              </w:rPr>
            </w:pPr>
            <w:r>
              <w:rPr>
                <w:rFonts w:ascii="Arial" w:cs="Arial" w:eastAsia="Arial" w:hAnsi="Arial"/>
                <w:sz w:val="20"/>
                <w:szCs w:val="20"/>
                <w:color w:val="auto"/>
              </w:rPr>
              <w:t>56</w:t>
            </w:r>
          </w:p>
        </w:tc>
        <w:tc>
          <w:tcPr>
            <w:tcW w:w="5220" w:type="dxa"/>
            <w:vAlign w:val="bottom"/>
            <w:gridSpan w:val="2"/>
          </w:tcPr>
          <w:p>
            <w:pPr>
              <w:ind w:left="280"/>
              <w:spacing w:after="0"/>
              <w:rPr>
                <w:sz w:val="20"/>
                <w:szCs w:val="20"/>
                <w:color w:val="auto"/>
              </w:rPr>
            </w:pPr>
            <w:r>
              <w:rPr>
                <w:rFonts w:ascii="Arial" w:cs="Arial" w:eastAsia="Arial" w:hAnsi="Arial"/>
                <w:sz w:val="20"/>
                <w:szCs w:val="20"/>
                <w:color w:val="auto"/>
              </w:rPr>
              <w:t>Chief Executive Officer, Chair of the Board of Directors</w:t>
            </w:r>
          </w:p>
        </w:tc>
      </w:tr>
      <w:tr>
        <w:trPr>
          <w:trHeight w:val="229"/>
        </w:trPr>
        <w:tc>
          <w:tcPr>
            <w:tcW w:w="36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Hugh Davis, Ph.D.</w:t>
            </w:r>
          </w:p>
        </w:tc>
        <w:tc>
          <w:tcPr>
            <w:tcW w:w="880" w:type="dxa"/>
            <w:vAlign w:val="bottom"/>
            <w:gridSpan w:val="2"/>
            <w:shd w:val="clear" w:color="auto" w:fill="E5E5E5"/>
          </w:tcPr>
          <w:p>
            <w:pPr>
              <w:ind w:left="260"/>
              <w:spacing w:after="0"/>
              <w:rPr>
                <w:sz w:val="20"/>
                <w:szCs w:val="20"/>
                <w:color w:val="auto"/>
              </w:rPr>
            </w:pPr>
            <w:r>
              <w:rPr>
                <w:rFonts w:ascii="Arial" w:cs="Arial" w:eastAsia="Arial" w:hAnsi="Arial"/>
                <w:sz w:val="20"/>
                <w:szCs w:val="20"/>
                <w:color w:val="auto"/>
              </w:rPr>
              <w:t>67</w:t>
            </w:r>
          </w:p>
        </w:tc>
        <w:tc>
          <w:tcPr>
            <w:tcW w:w="5220" w:type="dxa"/>
            <w:vAlign w:val="bottom"/>
            <w:gridSpan w:val="2"/>
            <w:shd w:val="clear" w:color="auto" w:fill="E5E5E5"/>
          </w:tcPr>
          <w:p>
            <w:pPr>
              <w:ind w:left="280"/>
              <w:spacing w:after="0"/>
              <w:rPr>
                <w:sz w:val="20"/>
                <w:szCs w:val="20"/>
                <w:color w:val="auto"/>
              </w:rPr>
            </w:pPr>
            <w:r>
              <w:rPr>
                <w:rFonts w:ascii="Arial" w:cs="Arial" w:eastAsia="Arial" w:hAnsi="Arial"/>
                <w:sz w:val="20"/>
                <w:szCs w:val="20"/>
                <w:color w:val="auto"/>
              </w:rPr>
              <w:t>President, Chief Operating Officer and Director</w:t>
            </w:r>
          </w:p>
        </w:tc>
      </w:tr>
      <w:tr>
        <w:trPr>
          <w:trHeight w:val="230"/>
        </w:trPr>
        <w:tc>
          <w:tcPr>
            <w:tcW w:w="3620" w:type="dxa"/>
            <w:vAlign w:val="bottom"/>
          </w:tcPr>
          <w:p>
            <w:pPr>
              <w:ind w:left="360"/>
              <w:spacing w:after="0"/>
              <w:rPr>
                <w:sz w:val="20"/>
                <w:szCs w:val="20"/>
                <w:color w:val="auto"/>
              </w:rPr>
            </w:pPr>
            <w:r>
              <w:rPr>
                <w:rFonts w:ascii="Arial" w:cs="Arial" w:eastAsia="Arial" w:hAnsi="Arial"/>
                <w:sz w:val="20"/>
                <w:szCs w:val="20"/>
                <w:color w:val="auto"/>
              </w:rPr>
              <w:t>Kevin Balthaser</w:t>
            </w:r>
          </w:p>
        </w:tc>
        <w:tc>
          <w:tcPr>
            <w:tcW w:w="880" w:type="dxa"/>
            <w:vAlign w:val="bottom"/>
            <w:gridSpan w:val="2"/>
          </w:tcPr>
          <w:p>
            <w:pPr>
              <w:ind w:left="260"/>
              <w:spacing w:after="0"/>
              <w:rPr>
                <w:sz w:val="20"/>
                <w:szCs w:val="20"/>
                <w:color w:val="auto"/>
              </w:rPr>
            </w:pPr>
            <w:r>
              <w:rPr>
                <w:rFonts w:ascii="Arial" w:cs="Arial" w:eastAsia="Arial" w:hAnsi="Arial"/>
                <w:sz w:val="20"/>
                <w:szCs w:val="20"/>
                <w:color w:val="auto"/>
              </w:rPr>
              <w:t>39</w:t>
            </w:r>
          </w:p>
        </w:tc>
        <w:tc>
          <w:tcPr>
            <w:tcW w:w="5220" w:type="dxa"/>
            <w:vAlign w:val="bottom"/>
            <w:gridSpan w:val="2"/>
          </w:tcPr>
          <w:p>
            <w:pPr>
              <w:ind w:left="280"/>
              <w:spacing w:after="0"/>
              <w:rPr>
                <w:sz w:val="20"/>
                <w:szCs w:val="20"/>
                <w:color w:val="auto"/>
              </w:rPr>
            </w:pPr>
            <w:r>
              <w:rPr>
                <w:rFonts w:ascii="Arial" w:cs="Arial" w:eastAsia="Arial" w:hAnsi="Arial"/>
                <w:sz w:val="20"/>
                <w:szCs w:val="20"/>
                <w:color w:val="auto"/>
              </w:rPr>
              <w:t>Chief Financial Officer</w:t>
            </w:r>
          </w:p>
        </w:tc>
      </w:tr>
      <w:tr>
        <w:trPr>
          <w:trHeight w:val="230"/>
        </w:trPr>
        <w:tc>
          <w:tcPr>
            <w:tcW w:w="36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Roland Kolbeck, Ph.D.</w:t>
            </w:r>
          </w:p>
        </w:tc>
        <w:tc>
          <w:tcPr>
            <w:tcW w:w="880" w:type="dxa"/>
            <w:vAlign w:val="bottom"/>
            <w:gridSpan w:val="2"/>
            <w:shd w:val="clear" w:color="auto" w:fill="E5E5E5"/>
          </w:tcPr>
          <w:p>
            <w:pPr>
              <w:ind w:left="260"/>
              <w:spacing w:after="0"/>
              <w:rPr>
                <w:sz w:val="20"/>
                <w:szCs w:val="20"/>
                <w:color w:val="auto"/>
              </w:rPr>
            </w:pPr>
            <w:r>
              <w:rPr>
                <w:rFonts w:ascii="Arial" w:cs="Arial" w:eastAsia="Arial" w:hAnsi="Arial"/>
                <w:sz w:val="20"/>
                <w:szCs w:val="20"/>
                <w:color w:val="auto"/>
              </w:rPr>
              <w:t>62</w:t>
            </w:r>
          </w:p>
        </w:tc>
        <w:tc>
          <w:tcPr>
            <w:tcW w:w="5220" w:type="dxa"/>
            <w:vAlign w:val="bottom"/>
            <w:gridSpan w:val="2"/>
            <w:shd w:val="clear" w:color="auto" w:fill="E5E5E5"/>
          </w:tcPr>
          <w:p>
            <w:pPr>
              <w:ind w:left="280"/>
              <w:spacing w:after="0"/>
              <w:rPr>
                <w:sz w:val="20"/>
                <w:szCs w:val="20"/>
                <w:color w:val="auto"/>
              </w:rPr>
            </w:pPr>
            <w:r>
              <w:rPr>
                <w:rFonts w:ascii="Arial" w:cs="Arial" w:eastAsia="Arial" w:hAnsi="Arial"/>
                <w:sz w:val="20"/>
                <w:szCs w:val="20"/>
                <w:color w:val="auto"/>
              </w:rPr>
              <w:t>Chief Scientific Officer</w:t>
            </w:r>
          </w:p>
        </w:tc>
      </w:tr>
      <w:tr>
        <w:trPr>
          <w:trHeight w:val="229"/>
        </w:trPr>
        <w:tc>
          <w:tcPr>
            <w:tcW w:w="3620" w:type="dxa"/>
            <w:vAlign w:val="bottom"/>
          </w:tcPr>
          <w:p>
            <w:pPr>
              <w:ind w:left="360"/>
              <w:spacing w:after="0"/>
              <w:rPr>
                <w:sz w:val="20"/>
                <w:szCs w:val="20"/>
                <w:color w:val="auto"/>
              </w:rPr>
            </w:pPr>
            <w:r>
              <w:rPr>
                <w:rFonts w:ascii="Arial" w:cs="Arial" w:eastAsia="Arial" w:hAnsi="Arial"/>
                <w:sz w:val="20"/>
                <w:szCs w:val="20"/>
                <w:color w:val="auto"/>
              </w:rPr>
              <w:t>James Loerop</w:t>
            </w:r>
          </w:p>
        </w:tc>
        <w:tc>
          <w:tcPr>
            <w:tcW w:w="880" w:type="dxa"/>
            <w:vAlign w:val="bottom"/>
            <w:gridSpan w:val="2"/>
          </w:tcPr>
          <w:p>
            <w:pPr>
              <w:ind w:left="260"/>
              <w:spacing w:after="0"/>
              <w:rPr>
                <w:sz w:val="20"/>
                <w:szCs w:val="20"/>
                <w:color w:val="auto"/>
              </w:rPr>
            </w:pPr>
            <w:r>
              <w:rPr>
                <w:rFonts w:ascii="Arial" w:cs="Arial" w:eastAsia="Arial" w:hAnsi="Arial"/>
                <w:sz w:val="20"/>
                <w:szCs w:val="20"/>
                <w:color w:val="auto"/>
              </w:rPr>
              <w:t>62</w:t>
            </w:r>
          </w:p>
        </w:tc>
        <w:tc>
          <w:tcPr>
            <w:tcW w:w="2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Chief Business Officer</w:t>
            </w:r>
          </w:p>
        </w:tc>
      </w:tr>
      <w:tr>
        <w:trPr>
          <w:trHeight w:val="230"/>
        </w:trPr>
        <w:tc>
          <w:tcPr>
            <w:tcW w:w="36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Jesse Hall</w:t>
            </w:r>
          </w:p>
        </w:tc>
        <w:tc>
          <w:tcPr>
            <w:tcW w:w="880" w:type="dxa"/>
            <w:vAlign w:val="bottom"/>
            <w:gridSpan w:val="2"/>
            <w:shd w:val="clear" w:color="auto" w:fill="E5E5E5"/>
          </w:tcPr>
          <w:p>
            <w:pPr>
              <w:ind w:left="260"/>
              <w:spacing w:after="0"/>
              <w:rPr>
                <w:sz w:val="20"/>
                <w:szCs w:val="20"/>
                <w:color w:val="auto"/>
              </w:rPr>
            </w:pPr>
            <w:r>
              <w:rPr>
                <w:rFonts w:ascii="Arial" w:cs="Arial" w:eastAsia="Arial" w:hAnsi="Arial"/>
                <w:sz w:val="20"/>
                <w:szCs w:val="20"/>
                <w:color w:val="auto"/>
              </w:rPr>
              <w:t>52</w:t>
            </w:r>
          </w:p>
        </w:tc>
        <w:tc>
          <w:tcPr>
            <w:tcW w:w="5220" w:type="dxa"/>
            <w:vAlign w:val="bottom"/>
            <w:gridSpan w:val="2"/>
            <w:shd w:val="clear" w:color="auto" w:fill="E5E5E5"/>
          </w:tcPr>
          <w:p>
            <w:pPr>
              <w:ind w:left="280"/>
              <w:spacing w:after="0"/>
              <w:rPr>
                <w:sz w:val="20"/>
                <w:szCs w:val="20"/>
                <w:color w:val="auto"/>
              </w:rPr>
            </w:pPr>
            <w:r>
              <w:rPr>
                <w:rFonts w:ascii="Arial" w:cs="Arial" w:eastAsia="Arial" w:hAnsi="Arial"/>
                <w:sz w:val="20"/>
                <w:szCs w:val="20"/>
                <w:color w:val="auto"/>
              </w:rPr>
              <w:t>Chief Medical Officer</w:t>
            </w:r>
          </w:p>
        </w:tc>
      </w:tr>
      <w:tr>
        <w:trPr>
          <w:trHeight w:val="230"/>
        </w:trPr>
        <w:tc>
          <w:tcPr>
            <w:tcW w:w="3620" w:type="dxa"/>
            <w:vAlign w:val="bottom"/>
          </w:tcPr>
          <w:p>
            <w:pPr>
              <w:spacing w:after="0"/>
              <w:rPr>
                <w:sz w:val="20"/>
                <w:szCs w:val="20"/>
                <w:color w:val="auto"/>
              </w:rPr>
            </w:pPr>
            <w:r>
              <w:rPr>
                <w:rFonts w:ascii="Arial" w:cs="Arial" w:eastAsia="Arial" w:hAnsi="Arial"/>
                <w:sz w:val="20"/>
                <w:szCs w:val="20"/>
                <w:color w:val="auto"/>
              </w:rPr>
              <w:t>Non-management Directors:</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229"/>
        </w:trPr>
        <w:tc>
          <w:tcPr>
            <w:tcW w:w="36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Christopher Molineaux</w:t>
            </w:r>
          </w:p>
        </w:tc>
        <w:tc>
          <w:tcPr>
            <w:tcW w:w="880" w:type="dxa"/>
            <w:vAlign w:val="bottom"/>
            <w:gridSpan w:val="2"/>
            <w:shd w:val="clear" w:color="auto" w:fill="E5E5E5"/>
          </w:tcPr>
          <w:p>
            <w:pPr>
              <w:ind w:left="260"/>
              <w:spacing w:after="0"/>
              <w:rPr>
                <w:sz w:val="20"/>
                <w:szCs w:val="20"/>
                <w:color w:val="auto"/>
              </w:rPr>
            </w:pPr>
            <w:r>
              <w:rPr>
                <w:rFonts w:ascii="Arial" w:cs="Arial" w:eastAsia="Arial" w:hAnsi="Arial"/>
                <w:sz w:val="20"/>
                <w:szCs w:val="20"/>
                <w:color w:val="auto"/>
              </w:rPr>
              <w:t>60</w:t>
            </w:r>
          </w:p>
        </w:tc>
        <w:tc>
          <w:tcPr>
            <w:tcW w:w="5220" w:type="dxa"/>
            <w:vAlign w:val="bottom"/>
            <w:gridSpan w:val="2"/>
            <w:shd w:val="clear" w:color="auto" w:fill="E5E5E5"/>
          </w:tcPr>
          <w:p>
            <w:pPr>
              <w:ind w:left="280"/>
              <w:spacing w:after="0"/>
              <w:rPr>
                <w:sz w:val="20"/>
                <w:szCs w:val="20"/>
                <w:color w:val="auto"/>
              </w:rPr>
            </w:pPr>
            <w:r>
              <w:rPr>
                <w:rFonts w:ascii="Arial" w:cs="Arial" w:eastAsia="Arial" w:hAnsi="Arial"/>
                <w:sz w:val="20"/>
                <w:szCs w:val="20"/>
                <w:color w:val="auto"/>
              </w:rPr>
              <w:t>Lead Independent Director</w:t>
            </w:r>
          </w:p>
        </w:tc>
      </w:tr>
      <w:tr>
        <w:trPr>
          <w:trHeight w:val="230"/>
        </w:trPr>
        <w:tc>
          <w:tcPr>
            <w:tcW w:w="3620" w:type="dxa"/>
            <w:vAlign w:val="bottom"/>
          </w:tcPr>
          <w:p>
            <w:pPr>
              <w:ind w:left="360"/>
              <w:spacing w:after="0"/>
              <w:rPr>
                <w:sz w:val="20"/>
                <w:szCs w:val="20"/>
                <w:color w:val="auto"/>
              </w:rPr>
            </w:pPr>
            <w:r>
              <w:rPr>
                <w:rFonts w:ascii="Arial" w:cs="Arial" w:eastAsia="Arial" w:hAnsi="Arial"/>
                <w:sz w:val="20"/>
                <w:szCs w:val="20"/>
                <w:color w:val="auto"/>
              </w:rPr>
              <w:t>Maxine Gowen, Ph.D.</w:t>
            </w:r>
          </w:p>
        </w:tc>
        <w:tc>
          <w:tcPr>
            <w:tcW w:w="880" w:type="dxa"/>
            <w:vAlign w:val="bottom"/>
            <w:gridSpan w:val="2"/>
          </w:tcPr>
          <w:p>
            <w:pPr>
              <w:ind w:left="260"/>
              <w:spacing w:after="0"/>
              <w:rPr>
                <w:sz w:val="20"/>
                <w:szCs w:val="20"/>
                <w:color w:val="auto"/>
              </w:rPr>
            </w:pPr>
            <w:r>
              <w:rPr>
                <w:rFonts w:ascii="Arial" w:cs="Arial" w:eastAsia="Arial" w:hAnsi="Arial"/>
                <w:sz w:val="20"/>
                <w:szCs w:val="20"/>
                <w:color w:val="auto"/>
              </w:rPr>
              <w:t>67</w:t>
            </w:r>
          </w:p>
        </w:tc>
        <w:tc>
          <w:tcPr>
            <w:tcW w:w="5220" w:type="dxa"/>
            <w:vAlign w:val="bottom"/>
            <w:gridSpan w:val="2"/>
          </w:tcPr>
          <w:p>
            <w:pPr>
              <w:ind w:left="280"/>
              <w:spacing w:after="0"/>
              <w:rPr>
                <w:sz w:val="20"/>
                <w:szCs w:val="20"/>
                <w:color w:val="auto"/>
              </w:rPr>
            </w:pPr>
            <w:r>
              <w:rPr>
                <w:rFonts w:ascii="Arial" w:cs="Arial" w:eastAsia="Arial" w:hAnsi="Arial"/>
                <w:sz w:val="20"/>
                <w:szCs w:val="20"/>
                <w:color w:val="auto"/>
              </w:rPr>
              <w:t>Director</w:t>
            </w:r>
          </w:p>
        </w:tc>
      </w:tr>
      <w:tr>
        <w:trPr>
          <w:trHeight w:val="229"/>
        </w:trPr>
        <w:tc>
          <w:tcPr>
            <w:tcW w:w="36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William Humphries</w:t>
            </w:r>
          </w:p>
        </w:tc>
        <w:tc>
          <w:tcPr>
            <w:tcW w:w="880" w:type="dxa"/>
            <w:vAlign w:val="bottom"/>
            <w:gridSpan w:val="2"/>
            <w:shd w:val="clear" w:color="auto" w:fill="E5E5E5"/>
          </w:tcPr>
          <w:p>
            <w:pPr>
              <w:ind w:left="260"/>
              <w:spacing w:after="0"/>
              <w:rPr>
                <w:sz w:val="20"/>
                <w:szCs w:val="20"/>
                <w:color w:val="auto"/>
              </w:rPr>
            </w:pPr>
            <w:r>
              <w:rPr>
                <w:rFonts w:ascii="Arial" w:cs="Arial" w:eastAsia="Arial" w:hAnsi="Arial"/>
                <w:sz w:val="20"/>
                <w:szCs w:val="20"/>
                <w:color w:val="auto"/>
              </w:rPr>
              <w:t>59</w:t>
            </w:r>
          </w:p>
        </w:tc>
        <w:tc>
          <w:tcPr>
            <w:tcW w:w="5220" w:type="dxa"/>
            <w:vAlign w:val="bottom"/>
            <w:gridSpan w:val="2"/>
            <w:shd w:val="clear" w:color="auto" w:fill="E5E5E5"/>
          </w:tcPr>
          <w:p>
            <w:pPr>
              <w:ind w:left="280"/>
              <w:spacing w:after="0"/>
              <w:rPr>
                <w:sz w:val="20"/>
                <w:szCs w:val="20"/>
                <w:color w:val="auto"/>
              </w:rPr>
            </w:pPr>
            <w:r>
              <w:rPr>
                <w:rFonts w:ascii="Arial" w:cs="Arial" w:eastAsia="Arial" w:hAnsi="Arial"/>
                <w:sz w:val="20"/>
                <w:szCs w:val="20"/>
                <w:color w:val="auto"/>
              </w:rPr>
              <w:t>Director</w:t>
            </w:r>
          </w:p>
        </w:tc>
      </w:tr>
      <w:tr>
        <w:trPr>
          <w:trHeight w:val="230"/>
        </w:trPr>
        <w:tc>
          <w:tcPr>
            <w:tcW w:w="3620" w:type="dxa"/>
            <w:vAlign w:val="bottom"/>
          </w:tcPr>
          <w:p>
            <w:pPr>
              <w:ind w:left="360"/>
              <w:spacing w:after="0"/>
              <w:rPr>
                <w:sz w:val="20"/>
                <w:szCs w:val="20"/>
                <w:color w:val="auto"/>
              </w:rPr>
            </w:pPr>
            <w:r>
              <w:rPr>
                <w:rFonts w:ascii="Arial" w:cs="Arial" w:eastAsia="Arial" w:hAnsi="Arial"/>
                <w:sz w:val="20"/>
                <w:szCs w:val="20"/>
                <w:color w:val="auto"/>
              </w:rPr>
              <w:t>Anand Mehra, M.D.</w:t>
            </w:r>
          </w:p>
        </w:tc>
        <w:tc>
          <w:tcPr>
            <w:tcW w:w="880" w:type="dxa"/>
            <w:vAlign w:val="bottom"/>
            <w:gridSpan w:val="2"/>
          </w:tcPr>
          <w:p>
            <w:pPr>
              <w:ind w:left="260"/>
              <w:spacing w:after="0"/>
              <w:rPr>
                <w:sz w:val="20"/>
                <w:szCs w:val="20"/>
                <w:color w:val="auto"/>
              </w:rPr>
            </w:pPr>
            <w:r>
              <w:rPr>
                <w:rFonts w:ascii="Arial" w:cs="Arial" w:eastAsia="Arial" w:hAnsi="Arial"/>
                <w:sz w:val="20"/>
                <w:szCs w:val="20"/>
                <w:color w:val="auto"/>
              </w:rPr>
              <w:t>50</w:t>
            </w:r>
          </w:p>
        </w:tc>
        <w:tc>
          <w:tcPr>
            <w:tcW w:w="5220" w:type="dxa"/>
            <w:vAlign w:val="bottom"/>
            <w:gridSpan w:val="2"/>
          </w:tcPr>
          <w:p>
            <w:pPr>
              <w:ind w:left="280"/>
              <w:spacing w:after="0"/>
              <w:rPr>
                <w:sz w:val="20"/>
                <w:szCs w:val="20"/>
                <w:color w:val="auto"/>
              </w:rPr>
            </w:pPr>
            <w:r>
              <w:rPr>
                <w:rFonts w:ascii="Arial" w:cs="Arial" w:eastAsia="Arial" w:hAnsi="Arial"/>
                <w:sz w:val="20"/>
                <w:szCs w:val="20"/>
                <w:color w:val="auto"/>
              </w:rPr>
              <w:t>Director</w:t>
            </w:r>
          </w:p>
        </w:tc>
      </w:tr>
      <w:tr>
        <w:trPr>
          <w:trHeight w:val="230"/>
        </w:trPr>
        <w:tc>
          <w:tcPr>
            <w:tcW w:w="3620" w:type="dxa"/>
            <w:vAlign w:val="bottom"/>
            <w:shd w:val="clear" w:color="auto" w:fill="E5E5E5"/>
          </w:tcPr>
          <w:p>
            <w:pPr>
              <w:ind w:left="360"/>
              <w:spacing w:after="0"/>
              <w:rPr>
                <w:sz w:val="20"/>
                <w:szCs w:val="20"/>
                <w:color w:val="auto"/>
              </w:rPr>
            </w:pPr>
            <w:r>
              <w:rPr>
                <w:rFonts w:ascii="Arial" w:cs="Arial" w:eastAsia="Arial" w:hAnsi="Arial"/>
                <w:sz w:val="20"/>
                <w:szCs w:val="20"/>
                <w:color w:val="auto"/>
              </w:rPr>
              <w:t>Vincent Milano</w:t>
            </w:r>
          </w:p>
        </w:tc>
        <w:tc>
          <w:tcPr>
            <w:tcW w:w="880" w:type="dxa"/>
            <w:vAlign w:val="bottom"/>
            <w:gridSpan w:val="2"/>
            <w:shd w:val="clear" w:color="auto" w:fill="E5E5E5"/>
          </w:tcPr>
          <w:p>
            <w:pPr>
              <w:ind w:left="260"/>
              <w:spacing w:after="0"/>
              <w:rPr>
                <w:sz w:val="20"/>
                <w:szCs w:val="20"/>
                <w:color w:val="auto"/>
              </w:rPr>
            </w:pPr>
            <w:r>
              <w:rPr>
                <w:rFonts w:ascii="Arial" w:cs="Arial" w:eastAsia="Arial" w:hAnsi="Arial"/>
                <w:sz w:val="20"/>
                <w:szCs w:val="20"/>
                <w:color w:val="auto"/>
              </w:rPr>
              <w:t>62</w:t>
            </w:r>
          </w:p>
        </w:tc>
        <w:tc>
          <w:tcPr>
            <w:tcW w:w="5220" w:type="dxa"/>
            <w:vAlign w:val="bottom"/>
            <w:gridSpan w:val="2"/>
            <w:shd w:val="clear" w:color="auto" w:fill="E5E5E5"/>
          </w:tcPr>
          <w:p>
            <w:pPr>
              <w:ind w:left="280"/>
              <w:spacing w:after="0"/>
              <w:rPr>
                <w:sz w:val="20"/>
                <w:szCs w:val="20"/>
                <w:color w:val="auto"/>
              </w:rPr>
            </w:pPr>
            <w:r>
              <w:rPr>
                <w:rFonts w:ascii="Arial" w:cs="Arial" w:eastAsia="Arial" w:hAnsi="Arial"/>
                <w:sz w:val="20"/>
                <w:szCs w:val="20"/>
                <w:color w:val="auto"/>
              </w:rPr>
              <w:t>Director</w:t>
            </w:r>
          </w:p>
        </w:tc>
      </w:tr>
      <w:tr>
        <w:trPr>
          <w:trHeight w:val="267"/>
        </w:trPr>
        <w:tc>
          <w:tcPr>
            <w:tcW w:w="3620" w:type="dxa"/>
            <w:vAlign w:val="bottom"/>
          </w:tcPr>
          <w:p>
            <w:pPr>
              <w:ind w:left="360"/>
              <w:spacing w:after="0"/>
              <w:rPr>
                <w:sz w:val="20"/>
                <w:szCs w:val="20"/>
                <w:color w:val="auto"/>
              </w:rPr>
            </w:pPr>
            <w:r>
              <w:rPr>
                <w:rFonts w:ascii="Arial" w:cs="Arial" w:eastAsia="Arial" w:hAnsi="Arial"/>
                <w:sz w:val="20"/>
                <w:szCs w:val="20"/>
                <w:color w:val="auto"/>
              </w:rPr>
              <w:t>Andrew Schiff, M.D.</w:t>
            </w:r>
          </w:p>
        </w:tc>
        <w:tc>
          <w:tcPr>
            <w:tcW w:w="880" w:type="dxa"/>
            <w:vAlign w:val="bottom"/>
            <w:gridSpan w:val="2"/>
          </w:tcPr>
          <w:p>
            <w:pPr>
              <w:ind w:left="260"/>
              <w:spacing w:after="0"/>
              <w:rPr>
                <w:sz w:val="20"/>
                <w:szCs w:val="20"/>
                <w:color w:val="auto"/>
              </w:rPr>
            </w:pPr>
            <w:r>
              <w:rPr>
                <w:rFonts w:ascii="Arial" w:cs="Arial" w:eastAsia="Arial" w:hAnsi="Arial"/>
                <w:sz w:val="20"/>
                <w:szCs w:val="20"/>
                <w:color w:val="auto"/>
              </w:rPr>
              <w:t>60</w:t>
            </w:r>
          </w:p>
        </w:tc>
        <w:tc>
          <w:tcPr>
            <w:tcW w:w="5220" w:type="dxa"/>
            <w:vAlign w:val="bottom"/>
            <w:gridSpan w:val="2"/>
          </w:tcPr>
          <w:p>
            <w:pPr>
              <w:ind w:left="280"/>
              <w:spacing w:after="0"/>
              <w:rPr>
                <w:sz w:val="20"/>
                <w:szCs w:val="20"/>
                <w:color w:val="auto"/>
              </w:rPr>
            </w:pPr>
            <w:r>
              <w:rPr>
                <w:rFonts w:ascii="Arial" w:cs="Arial" w:eastAsia="Arial" w:hAnsi="Arial"/>
                <w:sz w:val="20"/>
                <w:szCs w:val="20"/>
                <w:color w:val="auto"/>
              </w:rPr>
              <w:t>Director</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Neal Walker</w:t>
      </w:r>
    </w:p>
    <w:p>
      <w:pPr>
        <w:spacing w:after="0" w:line="200"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8"/>
          <w:szCs w:val="18"/>
          <w:color w:val="auto"/>
        </w:rPr>
        <w:t>Neal Walker co- founded our company and has served as our Chief Executive Officer since February 2025. He previously served as our Interim Chief Executive Officer from January 2024 to February 2025, as our President from January 2024 to November 2024, and as our Chief Executive Officer and President from our inception in 2012 until December 2022. Dr. Walker has also served as a member of our Board since our inception and currently serves as its Chair. Dr. Walker’s term of office as a director will expire at the 2028 Annual Meeting of Stockholders. Dr. Walker co-founded NeXeption, LLC, a biopharmaceutical assets management company, in 2012. Dr. Walker co-founded and served as President and Chief Executive Officer and a member of the board of directors of Vicept Therapeutics, Inc., a dermatology-focused specialty pharmaceutical company, from 2009 until its acquisition by Allergan, Inc. in 2011. Previously, Dr. Walker co-founded and led a number of life science companies, including Octagon Research Solutions, Inc., a software and services provider to biopharmaceutical companies (acquired by Accenture plc), Trigenesis Therapeutics, Inc., a specialty dermatology company, where he served as Chief Medical Officer (acquired by Dr. Reddy’s Laboratories Inc.), and Cutix Inc., a commercial dermatology company. He began his pharmaceutical industry career at Johnson and Johnson, Inc. Dr. Walker is a director of Aldeyra Therapeutics, Inc., a publicly held biotechnology company, as well as several private companies. Dr. Walker received an M.B.A. degree from The Wharton School of the University of Pennsylvania, a Doctor of Osteopathic Medicine degree from the Philadelphia College of Osteopathic Medicine and a B.A. degree in Biology from Lehigh University. Dr. Walker’s experience as a board-certified dermatologist and the founder of our company and other pharmaceutical companies, his background in clinical and drug development in dermatology and other fields, and his knowledge of the pharmaceutical industry contributed to the conclusion of our Board that he should serve as a director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Hugh Davis</w:t>
      </w:r>
    </w:p>
    <w:p>
      <w:pPr>
        <w:spacing w:after="0" w:line="200"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Hugh Davis has served as our President and Chief Operating Officer, and as a member of our Board, since November 2024. Dr. Davis’s term of office as a director will expire at the 2027 Annual Meeting of Stockholders. He previously held various roles at Biosion, Inc., a biopharmaceutical company, beginning in March 2020, including as Chief Operating Officer of Biosion Inc., President of Biosion USA, Inc., and, most recently, as Biosion’s Chief Business &amp;</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880" w:h="15480" w:orient="portrait"/>
          <w:cols w:equalWidth="0" w:num="1">
            <w:col w:w="9720"/>
          </w:cols>
          <w:pgMar w:left="1080" w:top="1173" w:right="1080" w:bottom="0" w:gutter="0" w:footer="0" w:header="0"/>
          <w:type w:val="continuous"/>
        </w:sectPr>
      </w:pPr>
    </w:p>
    <w:bookmarkStart w:id="112" w:name="page113"/>
    <w:bookmarkEnd w:id="112"/>
    <w:p>
      <w:pPr>
        <w:jc w:val="both"/>
        <w:spacing w:after="0" w:line="260" w:lineRule="auto"/>
        <w:rPr>
          <w:sz w:val="20"/>
          <w:szCs w:val="20"/>
          <w:color w:val="auto"/>
        </w:rPr>
      </w:pPr>
      <w:r>
        <w:rPr>
          <w:rFonts w:ascii="Arial" w:cs="Arial" w:eastAsia="Arial" w:hAnsi="Arial"/>
          <w:sz w:val="19"/>
          <w:szCs w:val="19"/>
          <w:color w:val="auto"/>
        </w:rPr>
        <w:t>Development Officer and President. Dr. Davis has also served as a member of the board of directors of Biosion, Inc. since March 2020. From 2018 to 2020, Dr. Davis served as Chief Business Officer at Frontage Laboratories, Inc. He previously served in a series of leadership roles at Janssen R&amp;D/Johnson &amp; Johnson, including as Vice President &amp; Head, Biologics Development Sciences, Biophysics and Laboratory Operations. Dr. Davis’s previous biopharmaceutical experience includes leadership roles at GlaxoSmithKline and Rhone- Poulenc Rorer. Dr. Davis received Ph.D. and M.S. degrees in Biochemistry from Villanova University and a B.S. degree in Chemistry from Gannon University. Our Board believes that Dr. Davis’ extensive scientific leadership experience with pharmaceutical and biotechnology companies qualifies him to serve as a director of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Kevin Balthaser</w:t>
      </w:r>
    </w:p>
    <w:p>
      <w:pPr>
        <w:spacing w:after="0" w:line="230"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19"/>
          <w:szCs w:val="19"/>
          <w:color w:val="auto"/>
        </w:rPr>
        <w:t>Kevin Balthaser has served as our Chief Financial Officer since January 2023. Mr. Balthaser has served in roles of increasing responsibility at our company since 2017, most recently as Vice President, Finance from January 2022 until his appointment as Chief Financial Officer. Before joining our company, he held positions of increasing responsibility within the accounting and finance department at Lannett Company, Inc., a publicly traded generic pharmaceutical company, where he was also a member of the team responsible for executing capital market transactions and acquisitions. Mr. Balthaser began his career with the accounting firm PricewaterhouseCoopers LLP. Mr. Balthaser is a certified public accountant in Pennsylvania. He received his B.S. degree in finance from Pennsylvania State University and his M.B.A. degree from Villanova University.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Roland Kolbeck, Ph.D.</w:t>
      </w:r>
    </w:p>
    <w:p>
      <w:pPr>
        <w:spacing w:after="0" w:line="230" w:lineRule="exact"/>
        <w:rPr>
          <w:sz w:val="20"/>
          <w:szCs w:val="20"/>
          <w:color w:val="auto"/>
        </w:rPr>
      </w:pPr>
    </w:p>
    <w:p>
      <w:pPr>
        <w:jc w:val="both"/>
        <w:ind w:firstLine="720"/>
        <w:spacing w:after="0" w:line="261" w:lineRule="auto"/>
        <w:rPr>
          <w:sz w:val="20"/>
          <w:szCs w:val="20"/>
          <w:color w:val="auto"/>
        </w:rPr>
      </w:pPr>
      <w:r>
        <w:rPr>
          <w:rFonts w:ascii="Arial" w:cs="Arial" w:eastAsia="Arial" w:hAnsi="Arial"/>
          <w:sz w:val="19"/>
          <w:szCs w:val="19"/>
          <w:color w:val="auto"/>
        </w:rPr>
        <w:t>Roland Kolbeck, Ph.D., has served as our Chief Scientific Officer since July 2025. He most recently served as Chief Scientific Officer for Spirovant Sciences from 2020 to April 2025, where he directed the company’s strategy related to new indications, targets, and investments. Previously, Dr. Kolbeck was Vice President, Head of Respiratory, Inflammation and Autoimmune Research (RIA) at MedImmune, AstraZeneca’s global biologics organization. Prior to Medimmune, he served in senior scientific roles at Peptimmune and Millennium Pharmaceuticals. Dr. Kolbeck received his M.S. and Ph.D. degrees at the University of Regensburg and Max Planck Institute for Neurobiology (now the Max Planck Institute for Biological Intelligence), in Munich, Germany.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James Loerop</w:t>
      </w:r>
    </w:p>
    <w:p>
      <w:pPr>
        <w:spacing w:after="0" w:line="230"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James Loerop has served as our Chief Business Officer since January 2022. From 2019 to January 2022, Mr. Loerop served as Executive Vice President, Business Development and Strategic Planning at Anika Therapeutics, Inc., a publicly held company focused on products for joint preservation, where he was responsible for global business development activities. From 2017 to 2019, Mr. Loerop served as Chief Corporate Development Officer for Lupin Pharmaceuticals, Inc., where he was a member of the company’s Executive Leadership Team and was responsible for global business development and corporate development activities. Prior to joining Lupin, Mr. Loerop held senior leadership roles at various companies in the pharmaceutical and life sciences industry, including at Alexion Pharmaceuticals, Inc. as Senior Vice President of Global Business Development, GlaxoSmithKline as Vice President of North America Business Development, and Stiefel Laboratories, Inc. as Senior Vice President of Global Corporate Development, prior to GSK’s acquisition of Stiefel. Mr. Loerop received a B.S. degree in marketing from Western Michigan University.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Jesse Hall, M.D.</w:t>
      </w:r>
    </w:p>
    <w:p>
      <w:pPr>
        <w:spacing w:after="0" w:line="230"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0"/>
          <w:szCs w:val="20"/>
          <w:color w:val="auto"/>
        </w:rPr>
        <w:t>Jesse Hall, M.D. has served as our Chief Medical Officer since April 2025. He most recently served as Chief Medical Officer for AltruBio from September 2021 until April 2025. Prior to AltruBio, from 2018 to April 2021, Dr. Hall served as Chief Medical Officer and EVP of Scientific and Clinical Affairs at Sublimity Therapeutics. Prior to Sublimity, Dr. Hall served as Chief Medical Officer of Aristea Therapeutics, and prior to that in roles of increasing responsibility at companies including Ardea Biosciences (a wholly owned subsidiary of AstraZeneca), Amgen, and Abbott Laboratories. Dr. Hall received a B.A. degree from the University of San Diego, an M.D. degree from the University of Oklahoma College of Medicine and conducted his surgical training at the Medical College of Pennsylvania and Hahnemann University.</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880" w:h="15480" w:orient="portrait"/>
          <w:cols w:equalWidth="0" w:num="1">
            <w:col w:w="9720"/>
          </w:cols>
          <w:pgMar w:left="1080" w:top="1177" w:right="1080"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Non-Management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Christopher Molineaux</w:t>
      </w:r>
    </w:p>
    <w:p>
      <w:pPr>
        <w:spacing w:after="0" w:line="231"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8"/>
          <w:szCs w:val="18"/>
          <w:color w:val="auto"/>
        </w:rPr>
        <w:t>Christopher Molineaux has served as Lead Independent Director of our Board since January 2023, having previously served as Chair since June 2019. He has served as a member of our Board since 2014. Mr. Molineaux’s term of office as a director will expire at the 2027 Annual Meeting of Stockholders. Since 2010, Mr. Molineaux has served as President and Chief Executive Officer of Life Sciences Pennsylvania, formerly Pennsylvania Bio, a pharmaceutical and biotech industry advocacy organization, and previously served as its Senior Vice President, Membership Services. Mr. Molineaux previously served as worldwide Vice President of Pharmaceutical Communications and Public Affairs for Johnson &amp; Johnson, a global healthcare company. Mr. Molineaux also served as Vice President for Public Affairs at the Pharmaceutical Research and Manufacturers of America (PhRMA). He received a B.A. degree from the College of the Holy Cross. Our Board believes that Mr. Molineaux’s substantial pharmaceutical and biotechnology industry experience qualifies him to serve as a director of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Maxine Gowen, Ph.D.</w:t>
      </w:r>
    </w:p>
    <w:p>
      <w:pPr>
        <w:spacing w:after="0" w:line="230"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9"/>
          <w:szCs w:val="19"/>
          <w:color w:val="auto"/>
        </w:rPr>
        <w:t>Maxine Gowen has served as a member of our Board since July 2019. Dr. Gowen’s term of office as a director will expire at the 2026 Annual Meeting of Stockholders. Dr. Gowen previously served as the part-time Chief Executive Officer of TamuroBio Inc., a biotechnology company, from 2019 to December 2021. Dr. Gowen founded Trevena, Inc., a publicly held biopharmaceutical company, and served as its President and Chief Executive Officer from 2007 until 2018. Prior to this, Dr. Gowen held a variety of leadership roles at GlaxoSmithKline (GSK) over a period of fifteen years. Dr. Gowen was previously President and Managing Partner at SR One, the venture capital subsidiary of GSK, where she led its investments in, and served on the board of directors of, numerous companies. Until 2002, Dr. Gowen was Vice President, Drug Discovery, Musculoskeletal Diseases at GSK, responsible for drug discovery and early development for osteoporosis, arthritis and metastatic bone disease. Dr. Gowen held a tenured academic position in the School of Pharmacology, University of Bath, UK from 1989 to 1992. Dr. Gowen currently serves as the chair of the board of directors of the publicly held company Passage Bio, Inc. Within the past five years, Dr. Gowen served as a director of the publicly held companies Merus N.V., Trevena, Inc., Aceragen, Inc. (formerly known as Idera Pharmaceuticals, Inc.) and Akebia Therapeutics, Inc. Dr. Gowen received a B.Sc. in biochemistry from the University of Bristol, UK, then received a Ph.D. in cell biology from the University of Sheffield, UK, and received an M.B.A from The Wharton School of the University of Pennsylvania. Dr. Gowen also received a D.Sc. from the University of Bath, UK. Our Board believes that Dr. Gowen’s extensive leadership experience with pharmaceutical and biotechnology companies qualifies her to serve as a director of our company.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William Humphries</w:t>
      </w:r>
    </w:p>
    <w:p>
      <w:pPr>
        <w:spacing w:after="0" w:line="240"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8"/>
          <w:szCs w:val="18"/>
          <w:color w:val="auto"/>
        </w:rPr>
        <w:t>William Humphries has served as a member of our Board since 2016. Mr. Humphries’s term of office as a director will expire at the 2028 Annual Meeting of Stockholders. Mr. Humphries has served as the Chief Executive Officer of MedPharm, a contract development and manufacturing organization, since January 2025. From June 2023 to January 2025, he served as the Chief Executive Officer and member of the board of directors of Alcami Corporation, a contract development and manufacturing organization. From May 2021 to May 2023, Mr. Humphries served as the Chief Executive Officer of lsosceles Pharmaceuticals Inc, a biotechnology company. From 2018 to 2020, Mr. Humphries served as President of Ortho Dermatologics, the dermatology division of Bausch Health Companies, Inc., and previously served as its Executive Vice President, Company Group Chairman for Dermatology and OraPharma from 2017 to 2018. From 2012 to 2016, he served as President and Chief Executive Officer of the North American business of Merz, Inc., an affiliate of Merz Pharma Group, a specialty healthcare company. From 2006 to 2012, Mr. Humphries served in a number of leadership positions with Stiefel Laboratories, Inc., a dermatology pharmaceutical company, including as its Chief Commercial Officer and then as President beginning in 2008. Stiefel was acquired by GSK in 2009, after which Mr. Humphries served as the President of Dermatology for Stiefel from 2009 until 2012. Mr. Humphries previously held multiple senior executive roles in sales and marketing, business development and international marketing for Allergan, Inc., concluding as Vice President of its U.S. skincare business. Mr. Humphries currently serves as a director of the publicly held company Clearside Biomedical, Inc. Within the past five years, he served as a member of the boards of directors of the publicly held companies PhaseBio Pharmaceuticals, Inc. and STRATA Skin Sciences, Inc., as well as Bryn Pharmaceuticals and SKNV. He received a B.A. degree from Bucknell University and an M.B.A. degree from Pepperdine University. Our Board believes that Mr. Humphries’ experience as a pharmaceutical company executive provides him with the qualifications and skills to serve as a director of our company.</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880" w:h="15480" w:orient="portrait"/>
          <w:cols w:equalWidth="0" w:num="1">
            <w:col w:w="9720"/>
          </w:cols>
          <w:pgMar w:left="1080" w:top="1173" w:right="1080"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b w:val="1"/>
          <w:bCs w:val="1"/>
          <w:i w:val="1"/>
          <w:iCs w:val="1"/>
          <w:color w:val="auto"/>
        </w:rPr>
        <w:t>Anand Mehra, M.D.</w:t>
      </w:r>
    </w:p>
    <w:p>
      <w:pPr>
        <w:spacing w:after="0" w:line="230"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Anand Mehra, M.D. has served as a member of our Board since 2014. Dr. Mehra’s term of office as a director will expire at the 2026 Annual Meeting of Stockholders. Dr. Mehra has served as a founding partner of Forge Life Science Partners, a biotech investment firm, since its inception in May 2023. Dr. Mehra joined Sofinnova Investments, Inc. (fka Sofinnova Ventures, Inc.), a biotech investment firm, in 2007 and served as a managing general partner until 2020. Prior to joining Sofinnova, Dr. Mehra worked in J.P. Morgan’s private equity and venture capital group, and before that, Dr. Mehra was a consultant in McKinsey &amp; Company’s pharmaceutical practice. Within the past five years, Dr. Mehra served as the chair of the board of directors of the publicly held company Merus N.V. Dr. Mehra received a B.A. degree in political philosophy from the University of Virginia and an M.D. degree from Columbia University’s College of Physicians and Surgeons. Our Board believes that Dr. Mehra’s extensive experience in the life sciences industry, his service on the boards of directors of other public life sciences companies and his extensive leadership experience qualify him to serve as a director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Vincent Milano</w:t>
      </w:r>
    </w:p>
    <w:p>
      <w:pPr>
        <w:spacing w:after="0" w:line="231"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Vincent Milano has served as a member of our Board since January 2020. Mr. Milano’s term of office as a director will expire at the 2027 Annual Meeting of Stockholders. Mr. Milano most recently served as Chair of the board of directors of Aceragen, Inc. (formerly known as Idera Pharmaceuticals, Inc.), a publicly held biopharmaceutical company, from 2022 to August 2023, having previously served as Idera’s President and Chief Executive Officer and a member of Idera’s board of directors since 2014. From 1996 to 2014, Mr. Milano served in increasingly senior roles at ViroPharma Inc., a pharmaceutical company acquired by Shire plc in 2014, most recently as Chairman, President and Chief Executive Officer from 2008 to 2014. From 1985 to 1996, Mr. Milano served in increasingly senior roles, most recently as a senior manager, at KPMG LLP, an independent registered public accounting firm. Mr. Milano currently serves on the boards of directors of BioCryst Pharmaceuticals, Inc., a publicly held company, and Life Sciences Cares Philadelphia, a non-profit organization. Within the past five years, Mr. Milano served on the board of directors of Venatorx Pharmaceuticals, Inc., a privately held company. Mr. Milano received a B.S. degree in Accounting from Rider College. Our Board believes that Mr. Milano’s extensive leadership experience with pharmaceutical and biotechnology companies qualifies him to serve as a director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Andrew Schiff, M.D.</w:t>
      </w:r>
    </w:p>
    <w:p>
      <w:pPr>
        <w:spacing w:after="0" w:line="230"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8"/>
          <w:szCs w:val="18"/>
          <w:color w:val="auto"/>
        </w:rPr>
        <w:t>Andrew Schiff has served as a member of our Board since 2017. Dr. Schiff’s term of office as a director will expire at the 2028 Annual Meeting of Stockholders. Dr. Schiff joined Aisling Capital, an investment firm, in 1999 and currently serves as one of its managing partners. Prior to joining Aisling Capital, Dr. Schiff practiced internal medicine for six years at The New York Presbyterian Hospital, where he maintains his position as a Clinical Assistant Professor of Medicine. Dr. Schiff currently serves on the board of directors of the publicly held company Monte Rosa Therapeutics, Inc. Dr. Schiff also currently serves on the board of directors of the privately held company Dren Bio. He is a board member of the Visiting Nurse Service of New York, as well as other charitable organizations. Dr. Schiff received an M.D. degree from Cornell University Medical College, an M.B.A. degree from Columbia University, and a B.S. degree with honors in Neuroscience from Brown University. Our Board believes that Dr. Schiff’s medical background and venture capital experience qualify him to serve as a director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Code of Ethics</w:t>
      </w:r>
    </w:p>
    <w:p>
      <w:pPr>
        <w:spacing w:after="0" w:line="231"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We have adopted the Aclaris Therapeutics, Inc. Code of Business Conduct and Ethics that applies to all officers, directors and employees. The Code of Business Conduct and Ethics is available on our website at www.aclaristx.com. If we make any substantive amendments to the Code of Business Conduct and Ethics or grant any waiver from a provision of the Code of Business Conduct and Ethics to any executive officer or director, we will promptly disclose the nature of the amendment or waiver on our website.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880" w:h="15480" w:orient="portrait"/>
          <w:cols w:equalWidth="0" w:num="1">
            <w:col w:w="9720"/>
          </w:cols>
          <w:pgMar w:left="1080" w:top="1177" w:right="1080"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i w:val="1"/>
          <w:iCs w:val="1"/>
          <w:color w:val="auto"/>
        </w:rPr>
        <w:t>Audit Committee and Audit Committee Financial Expert</w:t>
      </w:r>
    </w:p>
    <w:p>
      <w:pPr>
        <w:spacing w:after="0" w:line="20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We have a separately designated standing Audit Committee established in accordance with Section 3(a)(58)(A) of the Exchange Act. The Audit Committee is currently composed of three directors: Mr. Milano, Dr. Gowen and Mr. Molineaux. Mr. Milano currently serves as the chair of the Audit Committee.</w:t>
      </w:r>
    </w:p>
    <w:p>
      <w:pPr>
        <w:spacing w:after="0" w:line="146"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The Board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and under Rule 10A-3 under the Exchange Act).</w:t>
      </w:r>
    </w:p>
    <w:p>
      <w:pPr>
        <w:spacing w:after="0" w:line="154"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20"/>
          <w:szCs w:val="20"/>
          <w:color w:val="auto"/>
        </w:rPr>
        <w:t>The Board has also determined that Mr. Milano qualifies as an “audit committee financial expert,” as defined in applicable SEC rules. The Board made a qualitative assessment of Mr. Milano’s level of knowledge and experience based on a number of factors, including his formal education and experience as both a chief executive officer and chief financial officer for public reporting companies.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Insider Trading Policy and Prohibition on Hedging and Pledging</w:t>
      </w:r>
    </w:p>
    <w:p>
      <w:pPr>
        <w:spacing w:after="0" w:line="200"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We have an Insider Trading Policy that is intended to ensure compliance with applicable securities laws and regulations by our officers, directors, and employees. This policy prohibits, among other things, trading in our common stock that would violate these laws and regulations, and it also imposes other restrictions such as trading blackout periods and prior notification and/or pre-clearance requirements for trading intended to protect against inadvertent violations of these laws and regulations. Pursuant to the policy, our company must also comply with applicable laws and regulations relating to insider trading when engaging in transactions in our securities. This policy also prohibits directors, officers, and other employees from engaging in short sales, transactions in put or call options, hedging transactions, margin accounts, pledging or other inherently speculative transactions with respect to our stock at any time. The policy is filed as an exhibit to this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For the year ended December 31, 2025, our named executive officers (“NEOs”) were: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6380" w:type="dxa"/>
            <w:vAlign w:val="bottom"/>
            <w:gridSpan w:val="2"/>
          </w:tcPr>
          <w:p>
            <w:pPr>
              <w:ind w:left="260"/>
              <w:spacing w:after="0"/>
              <w:rPr>
                <w:sz w:val="20"/>
                <w:szCs w:val="20"/>
                <w:color w:val="auto"/>
              </w:rPr>
            </w:pPr>
            <w:r>
              <w:rPr>
                <w:rFonts w:ascii="Arial" w:cs="Arial" w:eastAsia="Arial" w:hAnsi="Arial"/>
                <w:sz w:val="20"/>
                <w:szCs w:val="20"/>
                <w:b w:val="1"/>
                <w:bCs w:val="1"/>
                <w:color w:val="auto"/>
              </w:rPr>
              <w:t>Position</w:t>
            </w:r>
          </w:p>
        </w:tc>
      </w:tr>
      <w:tr>
        <w:trPr>
          <w:trHeight w:val="220"/>
        </w:trPr>
        <w:tc>
          <w:tcPr>
            <w:tcW w:w="3340" w:type="dxa"/>
            <w:vAlign w:val="bottom"/>
            <w:tcBorders>
              <w:top w:val="single" w:sz="8" w:color="auto"/>
            </w:tcBorders>
            <w:shd w:val="clear" w:color="auto" w:fill="E5E5E5"/>
          </w:tcPr>
          <w:p>
            <w:pPr>
              <w:spacing w:after="0" w:line="220" w:lineRule="exact"/>
              <w:rPr>
                <w:sz w:val="20"/>
                <w:szCs w:val="20"/>
                <w:color w:val="auto"/>
              </w:rPr>
            </w:pPr>
            <w:r>
              <w:rPr>
                <w:rFonts w:ascii="Arial" w:cs="Arial" w:eastAsia="Arial" w:hAnsi="Arial"/>
                <w:sz w:val="20"/>
                <w:szCs w:val="20"/>
                <w:color w:val="auto"/>
              </w:rPr>
              <w:t>Neal Walker</w:t>
            </w:r>
          </w:p>
        </w:tc>
        <w:tc>
          <w:tcPr>
            <w:tcW w:w="260" w:type="dxa"/>
            <w:vAlign w:val="bottom"/>
            <w:tcBorders>
              <w:top w:val="single" w:sz="8" w:color="E5E5E5"/>
            </w:tcBorders>
            <w:shd w:val="clear" w:color="auto" w:fill="E5E5E5"/>
          </w:tcPr>
          <w:p>
            <w:pPr>
              <w:spacing w:after="0"/>
              <w:rPr>
                <w:sz w:val="19"/>
                <w:szCs w:val="19"/>
                <w:color w:val="auto"/>
              </w:rPr>
            </w:pPr>
          </w:p>
        </w:tc>
        <w:tc>
          <w:tcPr>
            <w:tcW w:w="6120" w:type="dxa"/>
            <w:vAlign w:val="bottom"/>
            <w:tcBorders>
              <w:top w:val="single" w:sz="8" w:color="auto"/>
            </w:tcBorders>
            <w:shd w:val="clear" w:color="auto" w:fill="E5E5E5"/>
          </w:tcPr>
          <w:p>
            <w:pPr>
              <w:spacing w:after="0" w:line="220" w:lineRule="exact"/>
              <w:rPr>
                <w:sz w:val="20"/>
                <w:szCs w:val="20"/>
                <w:color w:val="auto"/>
              </w:rPr>
            </w:pPr>
            <w:r>
              <w:rPr>
                <w:rFonts w:ascii="Arial" w:cs="Arial" w:eastAsia="Arial" w:hAnsi="Arial"/>
                <w:sz w:val="20"/>
                <w:szCs w:val="20"/>
                <w:color w:val="auto"/>
              </w:rPr>
              <w:t>Chief Executive Officer</w:t>
            </w:r>
          </w:p>
        </w:tc>
      </w:tr>
      <w:tr>
        <w:trPr>
          <w:trHeight w:val="229"/>
        </w:trPr>
        <w:tc>
          <w:tcPr>
            <w:tcW w:w="3340" w:type="dxa"/>
            <w:vAlign w:val="bottom"/>
          </w:tcPr>
          <w:p>
            <w:pPr>
              <w:spacing w:after="0"/>
              <w:rPr>
                <w:sz w:val="20"/>
                <w:szCs w:val="20"/>
                <w:color w:val="auto"/>
              </w:rPr>
            </w:pPr>
            <w:r>
              <w:rPr>
                <w:rFonts w:ascii="Arial" w:cs="Arial" w:eastAsia="Arial" w:hAnsi="Arial"/>
                <w:sz w:val="20"/>
                <w:szCs w:val="20"/>
                <w:color w:val="auto"/>
              </w:rPr>
              <w:t>Kevin Balthaser</w:t>
            </w:r>
          </w:p>
        </w:tc>
        <w:tc>
          <w:tcPr>
            <w:tcW w:w="26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230"/>
        </w:trPr>
        <w:tc>
          <w:tcPr>
            <w:tcW w:w="3340" w:type="dxa"/>
            <w:vAlign w:val="bottom"/>
            <w:shd w:val="clear" w:color="auto" w:fill="E5E5E5"/>
          </w:tcPr>
          <w:p>
            <w:pPr>
              <w:spacing w:after="0"/>
              <w:rPr>
                <w:sz w:val="20"/>
                <w:szCs w:val="20"/>
                <w:color w:val="auto"/>
              </w:rPr>
            </w:pPr>
            <w:r>
              <w:rPr>
                <w:rFonts w:ascii="Arial" w:cs="Arial" w:eastAsia="Arial" w:hAnsi="Arial"/>
                <w:sz w:val="20"/>
                <w:szCs w:val="20"/>
                <w:color w:val="auto"/>
              </w:rPr>
              <w:t>James Loerop</w:t>
            </w:r>
          </w:p>
        </w:tc>
        <w:tc>
          <w:tcPr>
            <w:tcW w:w="260" w:type="dxa"/>
            <w:vAlign w:val="bottom"/>
            <w:shd w:val="clear" w:color="auto" w:fill="E5E5E5"/>
          </w:tcPr>
          <w:p>
            <w:pPr>
              <w:spacing w:after="0"/>
              <w:rPr>
                <w:sz w:val="20"/>
                <w:szCs w:val="20"/>
                <w:color w:val="auto"/>
              </w:rPr>
            </w:pPr>
          </w:p>
        </w:tc>
        <w:tc>
          <w:tcPr>
            <w:tcW w:w="6120" w:type="dxa"/>
            <w:vAlign w:val="bottom"/>
            <w:shd w:val="clear" w:color="auto" w:fill="E5E5E5"/>
          </w:tcPr>
          <w:p>
            <w:pPr>
              <w:spacing w:after="0"/>
              <w:rPr>
                <w:sz w:val="20"/>
                <w:szCs w:val="20"/>
                <w:color w:val="auto"/>
              </w:rPr>
            </w:pPr>
            <w:r>
              <w:rPr>
                <w:rFonts w:ascii="Arial" w:cs="Arial" w:eastAsia="Arial" w:hAnsi="Arial"/>
                <w:sz w:val="20"/>
                <w:szCs w:val="20"/>
                <w:color w:val="auto"/>
              </w:rPr>
              <w:t>Chief Business Officer</w:t>
            </w:r>
          </w:p>
        </w:tc>
      </w:tr>
      <w:tr>
        <w:trPr>
          <w:trHeight w:val="482"/>
        </w:trPr>
        <w:tc>
          <w:tcPr>
            <w:tcW w:w="3340" w:type="dxa"/>
            <w:vAlign w:val="bottom"/>
          </w:tcPr>
          <w:p>
            <w:pPr>
              <w:spacing w:after="0"/>
              <w:rPr>
                <w:sz w:val="20"/>
                <w:szCs w:val="20"/>
                <w:color w:val="auto"/>
              </w:rPr>
            </w:pPr>
            <w:r>
              <w:rPr>
                <w:rFonts w:ascii="Arial" w:cs="Arial" w:eastAsia="Arial" w:hAnsi="Arial"/>
                <w:sz w:val="20"/>
                <w:szCs w:val="20"/>
                <w:b w:val="1"/>
                <w:bCs w:val="1"/>
                <w:color w:val="auto"/>
              </w:rPr>
              <w:t>Summary Compensation Table</w:t>
            </w:r>
          </w:p>
        </w:tc>
        <w:tc>
          <w:tcPr>
            <w:tcW w:w="260" w:type="dxa"/>
            <w:vAlign w:val="bottom"/>
          </w:tcPr>
          <w:p>
            <w:pPr>
              <w:spacing w:after="0"/>
              <w:rPr>
                <w:sz w:val="24"/>
                <w:szCs w:val="24"/>
                <w:color w:val="auto"/>
              </w:rPr>
            </w:pPr>
          </w:p>
        </w:tc>
        <w:tc>
          <w:tcPr>
            <w:tcW w:w="6120" w:type="dxa"/>
            <w:vAlign w:val="bottom"/>
          </w:tcPr>
          <w:p>
            <w:pPr>
              <w:spacing w:after="0"/>
              <w:rPr>
                <w:sz w:val="24"/>
                <w:szCs w:val="24"/>
                <w:color w:val="auto"/>
              </w:rPr>
            </w:pPr>
          </w:p>
        </w:tc>
      </w:tr>
    </w:tbl>
    <w:p>
      <w:pPr>
        <w:spacing w:after="0" w:line="19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 following table presents the compensation awarded to or earned by each of our NEOs for the years ended December 31,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Option</w:t>
            </w: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4"/>
              </w:rPr>
              <w:t>All Other</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b w:val="1"/>
                <w:bCs w:val="1"/>
                <w:color w:val="auto"/>
              </w:rPr>
              <w:t>Salary</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120" w:type="dxa"/>
            <w:vAlign w:val="bottom"/>
            <w:gridSpan w:val="2"/>
          </w:tcPr>
          <w:p>
            <w:pPr>
              <w:jc w:val="center"/>
              <w:ind w:left="23"/>
              <w:spacing w:after="0"/>
              <w:rPr>
                <w:sz w:val="20"/>
                <w:szCs w:val="20"/>
                <w:color w:val="auto"/>
              </w:rPr>
            </w:pPr>
            <w:r>
              <w:rPr>
                <w:rFonts w:ascii="Arial" w:cs="Arial" w:eastAsia="Arial" w:hAnsi="Arial"/>
                <w:sz w:val="16"/>
                <w:szCs w:val="16"/>
                <w:b w:val="1"/>
                <w:bCs w:val="1"/>
                <w:color w:val="auto"/>
                <w:w w:val="89"/>
              </w:rPr>
              <w:t>Compensation</w:t>
            </w:r>
          </w:p>
        </w:tc>
        <w:tc>
          <w:tcPr>
            <w:tcW w:w="160" w:type="dxa"/>
            <w:vAlign w:val="bottom"/>
          </w:tcPr>
          <w:p>
            <w:pPr>
              <w:spacing w:after="0"/>
              <w:rPr>
                <w:sz w:val="16"/>
                <w:szCs w:val="16"/>
                <w:color w:val="auto"/>
              </w:rPr>
            </w:pPr>
          </w:p>
        </w:tc>
        <w:tc>
          <w:tcPr>
            <w:tcW w:w="880" w:type="dxa"/>
            <w:vAlign w:val="bottom"/>
          </w:tcPr>
          <w:p>
            <w:pPr>
              <w:jc w:val="right"/>
              <w:ind w:right="180"/>
              <w:spacing w:after="0"/>
              <w:rPr>
                <w:sz w:val="20"/>
                <w:szCs w:val="20"/>
                <w:color w:val="auto"/>
              </w:rPr>
            </w:pPr>
            <w:r>
              <w:rPr>
                <w:rFonts w:ascii="Arial" w:cs="Arial" w:eastAsia="Arial" w:hAnsi="Arial"/>
                <w:sz w:val="16"/>
                <w:szCs w:val="16"/>
                <w:b w:val="1"/>
                <w:bCs w:val="1"/>
                <w:color w:val="auto"/>
              </w:rPr>
              <w:t>Total</w:t>
            </w:r>
          </w:p>
        </w:tc>
      </w:tr>
      <w:tr>
        <w:trPr>
          <w:trHeight w:val="203"/>
        </w:trPr>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40" w:type="dxa"/>
            <w:vAlign w:val="bottom"/>
            <w:tcBorders>
              <w:bottom w:val="single" w:sz="8" w:color="E5E5E5"/>
            </w:tcBorders>
          </w:tcPr>
          <w:p>
            <w:pPr>
              <w:spacing w:after="0"/>
              <w:rPr>
                <w:sz w:val="17"/>
                <w:szCs w:val="17"/>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Year</w:t>
            </w:r>
          </w:p>
        </w:tc>
        <w:tc>
          <w:tcPr>
            <w:tcW w:w="14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b w:val="1"/>
                <w:bCs w:val="1"/>
                <w:color w:val="auto"/>
                <w:w w:val="85"/>
              </w:rPr>
              <w:t>($)</w:t>
            </w:r>
            <w:r>
              <w:rPr>
                <w:rFonts w:ascii="Arial" w:cs="Arial" w:eastAsia="Arial" w:hAnsi="Arial"/>
                <w:sz w:val="19"/>
                <w:szCs w:val="19"/>
                <w:b w:val="1"/>
                <w:bCs w:val="1"/>
                <w:color w:val="auto"/>
                <w:w w:val="85"/>
                <w:vertAlign w:val="superscript"/>
              </w:rPr>
              <w:t>(1)</w:t>
            </w:r>
          </w:p>
        </w:tc>
        <w:tc>
          <w:tcPr>
            <w:tcW w:w="100" w:type="dxa"/>
            <w:vAlign w:val="bottom"/>
            <w:tcBorders>
              <w:bottom w:val="single" w:sz="8" w:color="E5E5E5"/>
            </w:tcBorders>
          </w:tcPr>
          <w:p>
            <w:pPr>
              <w:spacing w:after="0"/>
              <w:rPr>
                <w:sz w:val="17"/>
                <w:szCs w:val="17"/>
                <w:color w:val="auto"/>
              </w:rPr>
            </w:pPr>
          </w:p>
        </w:tc>
        <w:tc>
          <w:tcPr>
            <w:tcW w:w="86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6"/>
                <w:szCs w:val="16"/>
                <w:b w:val="1"/>
                <w:bCs w:val="1"/>
                <w:color w:val="auto"/>
                <w:w w:val="85"/>
              </w:rPr>
              <w:t>($)</w:t>
            </w:r>
            <w:r>
              <w:rPr>
                <w:rFonts w:ascii="Arial" w:cs="Arial" w:eastAsia="Arial" w:hAnsi="Arial"/>
                <w:sz w:val="19"/>
                <w:szCs w:val="19"/>
                <w:b w:val="1"/>
                <w:bCs w:val="1"/>
                <w:color w:val="auto"/>
                <w:w w:val="85"/>
                <w:vertAlign w:val="superscript"/>
              </w:rPr>
              <w:t>(1)</w:t>
            </w:r>
          </w:p>
        </w:tc>
        <w:tc>
          <w:tcPr>
            <w:tcW w:w="140" w:type="dxa"/>
            <w:vAlign w:val="bottom"/>
            <w:tcBorders>
              <w:bottom w:val="single" w:sz="8" w:color="E5E5E5"/>
            </w:tcBorders>
          </w:tcPr>
          <w:p>
            <w:pPr>
              <w:spacing w:after="0"/>
              <w:rPr>
                <w:sz w:val="17"/>
                <w:szCs w:val="17"/>
                <w:color w:val="auto"/>
              </w:rPr>
            </w:pPr>
          </w:p>
        </w:tc>
        <w:tc>
          <w:tcPr>
            <w:tcW w:w="9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(2)</w:t>
            </w:r>
          </w:p>
        </w:tc>
        <w:tc>
          <w:tcPr>
            <w:tcW w:w="120" w:type="dxa"/>
            <w:vAlign w:val="bottom"/>
            <w:tcBorders>
              <w:bottom w:val="single" w:sz="8" w:color="E5E5E5"/>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E5E5E5"/>
            </w:tcBorders>
          </w:tcPr>
          <w:p>
            <w:pPr>
              <w:spacing w:after="0"/>
              <w:rPr>
                <w:sz w:val="17"/>
                <w:szCs w:val="17"/>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w:t>
            </w:r>
          </w:p>
        </w:tc>
      </w:tr>
      <w:tr>
        <w:trPr>
          <w:trHeight w:val="220"/>
        </w:trPr>
        <w:tc>
          <w:tcPr>
            <w:tcW w:w="304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Neal Walker</w:t>
            </w:r>
            <w:r>
              <w:rPr>
                <w:rFonts w:ascii="Arial" w:cs="Arial" w:eastAsia="Arial" w:hAnsi="Arial"/>
                <w:sz w:val="25"/>
                <w:szCs w:val="25"/>
                <w:color w:val="auto"/>
                <w:vertAlign w:val="superscript"/>
              </w:rPr>
              <w:t>(3)</w:t>
            </w:r>
          </w:p>
        </w:tc>
        <w:tc>
          <w:tcPr>
            <w:tcW w:w="14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2025</w:t>
            </w:r>
          </w:p>
        </w:tc>
        <w:tc>
          <w:tcPr>
            <w:tcW w:w="84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615,000</w:t>
            </w:r>
          </w:p>
        </w:tc>
        <w:tc>
          <w:tcPr>
            <w:tcW w:w="10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w w:val="85"/>
              </w:rPr>
              <w:t>828,426</w:t>
            </w:r>
          </w:p>
        </w:tc>
        <w:tc>
          <w:tcPr>
            <w:tcW w:w="96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w w:val="98"/>
              </w:rPr>
              <w:t>1,581,615</w:t>
            </w:r>
          </w:p>
        </w:tc>
        <w:tc>
          <w:tcPr>
            <w:tcW w:w="112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350,550</w:t>
            </w:r>
          </w:p>
        </w:tc>
        <w:tc>
          <w:tcPr>
            <w:tcW w:w="112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w:t>
            </w:r>
          </w:p>
        </w:tc>
        <w:tc>
          <w:tcPr>
            <w:tcW w:w="104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3,375,591</w:t>
            </w:r>
          </w:p>
        </w:tc>
      </w:tr>
      <w:tr>
        <w:trPr>
          <w:trHeight w:val="230"/>
        </w:trPr>
        <w:tc>
          <w:tcPr>
            <w:tcW w:w="3040" w:type="dxa"/>
            <w:vAlign w:val="bottom"/>
          </w:tcPr>
          <w:p>
            <w:pPr>
              <w:ind w:left="120"/>
              <w:spacing w:after="0"/>
              <w:rPr>
                <w:sz w:val="20"/>
                <w:szCs w:val="20"/>
                <w:color w:val="auto"/>
              </w:rPr>
            </w:pPr>
            <w:r>
              <w:rPr>
                <w:rFonts w:ascii="Arial" w:cs="Arial" w:eastAsia="Arial" w:hAnsi="Arial"/>
                <w:sz w:val="20"/>
                <w:szCs w:val="20"/>
                <w:color w:val="auto"/>
              </w:rPr>
              <w:t>Chief Executive Officer</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2024</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477,431</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w w:val="99"/>
              </w:rPr>
              <w:t>170,400</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421,586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372,396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3,322</w:t>
            </w:r>
          </w:p>
        </w:tc>
        <w:tc>
          <w:tcPr>
            <w:tcW w:w="1040" w:type="dxa"/>
            <w:vAlign w:val="bottom"/>
            <w:gridSpan w:val="2"/>
          </w:tcPr>
          <w:p>
            <w:pPr>
              <w:jc w:val="right"/>
              <w:spacing w:after="0" w:line="230" w:lineRule="exact"/>
              <w:rPr>
                <w:sz w:val="20"/>
                <w:szCs w:val="20"/>
                <w:color w:val="auto"/>
              </w:rPr>
            </w:pPr>
            <w:r>
              <w:rPr>
                <w:rFonts w:ascii="Arial" w:cs="Arial" w:eastAsia="Arial" w:hAnsi="Arial"/>
                <w:sz w:val="25"/>
                <w:szCs w:val="25"/>
                <w:color w:val="auto"/>
                <w:w w:val="83"/>
                <w:vertAlign w:val="superscript"/>
              </w:rPr>
              <w:t>(4)</w:t>
            </w:r>
            <w:r>
              <w:rPr>
                <w:rFonts w:ascii="Arial" w:cs="Arial" w:eastAsia="Arial" w:hAnsi="Arial"/>
                <w:sz w:val="20"/>
                <w:szCs w:val="20"/>
                <w:color w:val="auto"/>
                <w:w w:val="83"/>
              </w:rPr>
              <w:t xml:space="preserve"> 1,445,135</w:t>
            </w:r>
          </w:p>
        </w:tc>
      </w:tr>
      <w:tr>
        <w:trPr>
          <w:trHeight w:val="229"/>
        </w:trPr>
        <w:tc>
          <w:tcPr>
            <w:tcW w:w="3040" w:type="dxa"/>
            <w:vAlign w:val="bottom"/>
            <w:shd w:val="clear" w:color="auto" w:fill="E5E5E5"/>
          </w:tcPr>
          <w:p>
            <w:pPr>
              <w:spacing w:after="0"/>
              <w:rPr>
                <w:sz w:val="20"/>
                <w:szCs w:val="20"/>
                <w:color w:val="auto"/>
              </w:rPr>
            </w:pPr>
            <w:r>
              <w:rPr>
                <w:rFonts w:ascii="Arial" w:cs="Arial" w:eastAsia="Arial" w:hAnsi="Arial"/>
                <w:sz w:val="20"/>
                <w:szCs w:val="20"/>
                <w:color w:val="auto"/>
              </w:rPr>
              <w:t>Kevin Balthaser</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2025</w:t>
            </w: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446,000</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w w:val="99"/>
              </w:rPr>
              <w:t>310,640</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548,440</w:t>
            </w:r>
          </w:p>
        </w:tc>
        <w:tc>
          <w:tcPr>
            <w:tcW w:w="112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171,710</w:t>
            </w:r>
          </w:p>
        </w:tc>
        <w:tc>
          <w:tcPr>
            <w:tcW w:w="112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14,000</w:t>
            </w:r>
          </w:p>
        </w:tc>
        <w:tc>
          <w:tcPr>
            <w:tcW w:w="1040" w:type="dxa"/>
            <w:vAlign w:val="bottom"/>
            <w:gridSpan w:val="2"/>
            <w:shd w:val="clear" w:color="auto" w:fill="E5E5E5"/>
          </w:tcPr>
          <w:p>
            <w:pPr>
              <w:jc w:val="right"/>
              <w:spacing w:after="0" w:line="229" w:lineRule="exact"/>
              <w:rPr>
                <w:sz w:val="20"/>
                <w:szCs w:val="20"/>
                <w:color w:val="auto"/>
              </w:rPr>
            </w:pPr>
            <w:r>
              <w:rPr>
                <w:rFonts w:ascii="Arial" w:cs="Arial" w:eastAsia="Arial" w:hAnsi="Arial"/>
                <w:sz w:val="25"/>
                <w:szCs w:val="25"/>
                <w:color w:val="auto"/>
                <w:w w:val="83"/>
                <w:vertAlign w:val="superscript"/>
              </w:rPr>
              <w:t>(5)</w:t>
            </w:r>
            <w:r>
              <w:rPr>
                <w:rFonts w:ascii="Arial" w:cs="Arial" w:eastAsia="Arial" w:hAnsi="Arial"/>
                <w:sz w:val="20"/>
                <w:szCs w:val="20"/>
                <w:color w:val="auto"/>
                <w:w w:val="83"/>
              </w:rPr>
              <w:t xml:space="preserve"> 1,490,790</w:t>
            </w:r>
          </w:p>
        </w:tc>
      </w:tr>
      <w:tr>
        <w:trPr>
          <w:trHeight w:val="230"/>
        </w:trPr>
        <w:tc>
          <w:tcPr>
            <w:tcW w:w="3040" w:type="dxa"/>
            <w:vAlign w:val="bottom"/>
          </w:tcPr>
          <w:p>
            <w:pPr>
              <w:ind w:left="120"/>
              <w:spacing w:after="0"/>
              <w:rPr>
                <w:sz w:val="20"/>
                <w:szCs w:val="20"/>
                <w:color w:val="auto"/>
              </w:rPr>
            </w:pPr>
            <w:r>
              <w:rPr>
                <w:rFonts w:ascii="Arial" w:cs="Arial" w:eastAsia="Arial" w:hAnsi="Arial"/>
                <w:sz w:val="20"/>
                <w:szCs w:val="20"/>
                <w:color w:val="auto"/>
              </w:rPr>
              <w:t>Chief Financial Officer</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2024</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444,000</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w w:val="99"/>
              </w:rPr>
              <w:t>247,800</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179,003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217,560</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13,800</w:t>
            </w:r>
          </w:p>
        </w:tc>
        <w:tc>
          <w:tcPr>
            <w:tcW w:w="1040" w:type="dxa"/>
            <w:vAlign w:val="bottom"/>
            <w:gridSpan w:val="2"/>
          </w:tcPr>
          <w:p>
            <w:pPr>
              <w:jc w:val="right"/>
              <w:spacing w:after="0" w:line="230" w:lineRule="exact"/>
              <w:rPr>
                <w:sz w:val="20"/>
                <w:szCs w:val="20"/>
                <w:color w:val="auto"/>
              </w:rPr>
            </w:pPr>
            <w:r>
              <w:rPr>
                <w:rFonts w:ascii="Arial" w:cs="Arial" w:eastAsia="Arial" w:hAnsi="Arial"/>
                <w:sz w:val="25"/>
                <w:szCs w:val="25"/>
                <w:color w:val="auto"/>
                <w:w w:val="83"/>
                <w:vertAlign w:val="superscript"/>
              </w:rPr>
              <w:t>(5)</w:t>
            </w:r>
            <w:r>
              <w:rPr>
                <w:rFonts w:ascii="Arial" w:cs="Arial" w:eastAsia="Arial" w:hAnsi="Arial"/>
                <w:sz w:val="20"/>
                <w:szCs w:val="20"/>
                <w:color w:val="auto"/>
                <w:w w:val="83"/>
              </w:rPr>
              <w:t xml:space="preserve"> 1,102,163</w:t>
            </w:r>
          </w:p>
        </w:tc>
      </w:tr>
      <w:tr>
        <w:trPr>
          <w:trHeight w:val="230"/>
        </w:trPr>
        <w:tc>
          <w:tcPr>
            <w:tcW w:w="3040" w:type="dxa"/>
            <w:vAlign w:val="bottom"/>
            <w:shd w:val="clear" w:color="auto" w:fill="E5E5E5"/>
          </w:tcPr>
          <w:p>
            <w:pPr>
              <w:spacing w:after="0" w:line="230" w:lineRule="exact"/>
              <w:rPr>
                <w:sz w:val="20"/>
                <w:szCs w:val="20"/>
                <w:color w:val="auto"/>
              </w:rPr>
            </w:pPr>
            <w:r>
              <w:rPr>
                <w:rFonts w:ascii="Arial" w:cs="Arial" w:eastAsia="Arial" w:hAnsi="Arial"/>
                <w:sz w:val="20"/>
                <w:szCs w:val="20"/>
                <w:color w:val="auto"/>
              </w:rPr>
              <w:t>James Loerop</w:t>
            </w:r>
            <w:r>
              <w:rPr>
                <w:rFonts w:ascii="Arial" w:cs="Arial" w:eastAsia="Arial" w:hAnsi="Arial"/>
                <w:sz w:val="25"/>
                <w:szCs w:val="25"/>
                <w:color w:val="auto"/>
                <w:vertAlign w:val="superscript"/>
              </w:rPr>
              <w:t>(6)</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2025</w:t>
            </w: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416,000</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w w:val="99"/>
              </w:rPr>
              <w:t>336,800</w:t>
            </w: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520,146</w:t>
            </w:r>
          </w:p>
        </w:tc>
        <w:tc>
          <w:tcPr>
            <w:tcW w:w="112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160,160</w:t>
            </w:r>
          </w:p>
        </w:tc>
        <w:tc>
          <w:tcPr>
            <w:tcW w:w="112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14,000</w:t>
            </w:r>
          </w:p>
        </w:tc>
        <w:tc>
          <w:tcPr>
            <w:tcW w:w="1040" w:type="dxa"/>
            <w:vAlign w:val="bottom"/>
            <w:gridSpan w:val="2"/>
            <w:shd w:val="clear" w:color="auto" w:fill="E5E5E5"/>
          </w:tcPr>
          <w:p>
            <w:pPr>
              <w:jc w:val="right"/>
              <w:spacing w:after="0" w:line="230" w:lineRule="exact"/>
              <w:rPr>
                <w:sz w:val="20"/>
                <w:szCs w:val="20"/>
                <w:color w:val="auto"/>
              </w:rPr>
            </w:pPr>
            <w:r>
              <w:rPr>
                <w:rFonts w:ascii="Arial" w:cs="Arial" w:eastAsia="Arial" w:hAnsi="Arial"/>
                <w:sz w:val="25"/>
                <w:szCs w:val="25"/>
                <w:color w:val="auto"/>
                <w:w w:val="83"/>
                <w:vertAlign w:val="superscript"/>
              </w:rPr>
              <w:t>(5)</w:t>
            </w:r>
            <w:r>
              <w:rPr>
                <w:rFonts w:ascii="Arial" w:cs="Arial" w:eastAsia="Arial" w:hAnsi="Arial"/>
                <w:sz w:val="20"/>
                <w:szCs w:val="20"/>
                <w:color w:val="auto"/>
                <w:w w:val="83"/>
              </w:rPr>
              <w:t xml:space="preserve"> 1,447,106</w:t>
            </w:r>
          </w:p>
        </w:tc>
      </w:tr>
      <w:tr>
        <w:trPr>
          <w:trHeight w:val="267"/>
        </w:trPr>
        <w:tc>
          <w:tcPr>
            <w:tcW w:w="3040" w:type="dxa"/>
            <w:vAlign w:val="bottom"/>
          </w:tcPr>
          <w:p>
            <w:pPr>
              <w:ind w:left="120"/>
              <w:spacing w:after="0"/>
              <w:rPr>
                <w:sz w:val="20"/>
                <w:szCs w:val="20"/>
                <w:color w:val="auto"/>
              </w:rPr>
            </w:pPr>
            <w:r>
              <w:rPr>
                <w:rFonts w:ascii="Arial" w:cs="Arial" w:eastAsia="Arial" w:hAnsi="Arial"/>
                <w:sz w:val="20"/>
                <w:szCs w:val="20"/>
                <w:color w:val="auto"/>
              </w:rPr>
              <w:t>Chief Business Officer</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97155</wp:posOffset>
                </wp:positionV>
                <wp:extent cx="15417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65pt" to="121.65pt,7.65pt" o:allowincell="f" strokecolor="#000000" strokeweight="1.0199pt"/>
            </w:pict>
          </mc:Fallback>
        </mc:AlternateContent>
      </w:r>
    </w:p>
    <w:p>
      <w:pPr>
        <w:spacing w:after="0" w:line="176" w:lineRule="exact"/>
        <w:rPr>
          <w:sz w:val="20"/>
          <w:szCs w:val="20"/>
          <w:color w:val="auto"/>
        </w:rPr>
      </w:pPr>
    </w:p>
    <w:p>
      <w:pPr>
        <w:jc w:val="both"/>
        <w:ind w:left="360" w:hanging="353"/>
        <w:spacing w:after="0" w:line="252"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The amounts reflect the full grant date fair value for RSU and stock option awards granted during the indicated year. The grant date fair value was computed in accordance with ASC Topic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assumptions we used in valuing stock options and RSUs are described in “Item 8—Notes to Consolidated Financial Statements—Note 6”.</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880" w:h="15480" w:orient="portrait"/>
          <w:cols w:equalWidth="0" w:num="1">
            <w:col w:w="9720"/>
          </w:cols>
          <w:pgMar w:left="1080" w:top="1177" w:right="1080" w:bottom="0" w:gutter="0" w:footer="0" w:header="0"/>
          <w:type w:val="continuous"/>
        </w:sectPr>
      </w:pPr>
    </w:p>
    <w:bookmarkStart w:id="116" w:name="page117"/>
    <w:bookmarkEnd w:id="116"/>
    <w:p>
      <w:pPr>
        <w:jc w:val="both"/>
        <w:ind w:left="360" w:hanging="353"/>
        <w:spacing w:after="0" w:line="259"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amounts reflect the portion of each officer’s target annual bonus paid based on the achievement of our corporate and individual goals, as applicable, which for 2025 are discussed below under “Narrative to Summary Compensation Table—Annual Bonus (Non-Equity Incentive Plan Compensation).”</w:t>
      </w:r>
    </w:p>
    <w:p>
      <w:pPr>
        <w:spacing w:after="0" w:line="185"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Dr. Walker’s employment with us commenced in January 2024 as Interim Chief Executive Officer and he was appointed as Chief Executive Officer in February 2025.</w:t>
      </w:r>
    </w:p>
    <w:p>
      <w:pPr>
        <w:spacing w:after="0" w:line="166"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amount consists of fees paid under our director compensation policy for his service as our Chair of the Board prior to Dr. Walker being appointed as our Interim Chief Executive Officer in January 2024.</w:t>
      </w:r>
    </w:p>
    <w:p>
      <w:pPr>
        <w:spacing w:after="0" w:line="168" w:lineRule="exact"/>
        <w:rPr>
          <w:rFonts w:ascii="Arial" w:cs="Arial" w:eastAsia="Arial" w:hAnsi="Arial"/>
          <w:sz w:val="20"/>
          <w:szCs w:val="20"/>
          <w:color w:val="auto"/>
        </w:rPr>
      </w:pPr>
    </w:p>
    <w:p>
      <w:pPr>
        <w:ind w:left="360" w:hanging="353"/>
        <w:spacing w:after="0"/>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amount consists of company matching contributions to the executive’s 401(k) plan account.</w:t>
      </w:r>
    </w:p>
    <w:p>
      <w:pPr>
        <w:spacing w:after="0" w:line="239" w:lineRule="exact"/>
        <w:rPr>
          <w:rFonts w:ascii="Arial" w:cs="Arial" w:eastAsia="Arial" w:hAnsi="Arial"/>
          <w:sz w:val="20"/>
          <w:szCs w:val="20"/>
          <w:color w:val="auto"/>
        </w:rPr>
      </w:pPr>
    </w:p>
    <w:p>
      <w:pPr>
        <w:jc w:val="both"/>
        <w:ind w:left="360" w:hanging="353"/>
        <w:spacing w:after="0" w:line="259"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Mr. Loerop was not one of our named executive officers during the year ended December 31, 2024 and, accordingly, only his compensation for the year ended December 31, 2025 is included in the Summary Compensation Table in accordance with SEC rules.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to Summary Compensation Table</w:t>
      </w:r>
    </w:p>
    <w:p>
      <w:pPr>
        <w:spacing w:after="0" w:line="235"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In setting NEO compensation,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 however, we do deliver a majority of compensation through long-term incentives.</w:t>
      </w:r>
    </w:p>
    <w:p>
      <w:pPr>
        <w:spacing w:after="0" w:line="19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We review compensation annually for our NEOs, and in some cases more frequently as deemed appropriate. The various roles that contribute to our decisions and actions each year are as follows:</w:t>
      </w:r>
    </w:p>
    <w:p>
      <w:pPr>
        <w:spacing w:after="0" w:line="168"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i w:val="1"/>
          <w:iCs w:val="1"/>
          <w:color w:val="auto"/>
        </w:rPr>
        <w:t xml:space="preserve">The Compensation Committee. </w:t>
      </w:r>
      <w:r>
        <w:rPr>
          <w:rFonts w:ascii="Arial" w:cs="Arial" w:eastAsia="Arial" w:hAnsi="Arial"/>
          <w:sz w:val="20"/>
          <w:szCs w:val="20"/>
          <w:color w:val="auto"/>
        </w:rPr>
        <w:t>The Compensation Committee is responsible for establishing and overseeing our</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compensation program. Our Compensation Committee typically reviews and discusses management’s proposed compensation with the Chief Executive Officer for all executives other than the Chief Executive Officer. Based on those discussions and its discretion, the Compensation Committee then recommends the compensation for each NEO. Our Compensation Committee, without members of management present, discusses and ultimately approves the compensation of our executive officers.</w:t>
      </w:r>
    </w:p>
    <w:p>
      <w:pPr>
        <w:spacing w:after="0" w:line="200"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8"/>
          <w:szCs w:val="18"/>
          <w:i w:val="1"/>
          <w:iCs w:val="1"/>
          <w:color w:val="auto"/>
        </w:rPr>
        <w:t xml:space="preserve">Role of our Chief Executive Officer and other Management Members. </w:t>
      </w:r>
      <w:r>
        <w:rPr>
          <w:rFonts w:ascii="Arial" w:cs="Arial" w:eastAsia="Arial" w:hAnsi="Arial"/>
          <w:sz w:val="18"/>
          <w:szCs w:val="18"/>
          <w:color w:val="auto"/>
        </w:rPr>
        <w:t>Our Chief Executive Officer evaluates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with the Compensation Committee the individual performance and contributions of each of the other NEOs and makes recommendations to the Compensation Committee regarding base salary, and short- and long-term incentive awards. The Compensation Committee reviews and considers such recommendations, but ultimately retains full discretion and authority over the final compensation decisions for the NEOs. Our Chief Executive Officer also recommends the Company performance objectives that are used to determine bonus amounts and consults with select members of management in the development of the goals. The Compensation Committee may request that certain executives attend portions of Compensation Committee meetings based on the topics being covered and their respective areas of expertise. NEO compensation decisions are made in executive session without the respective NEOs present.</w:t>
      </w:r>
    </w:p>
    <w:p>
      <w:pPr>
        <w:spacing w:after="0" w:line="176"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i w:val="1"/>
          <w:iCs w:val="1"/>
          <w:color w:val="auto"/>
        </w:rPr>
        <w:t xml:space="preserve">Role of our Independent Compensation Consultant. </w:t>
      </w:r>
      <w:r>
        <w:rPr>
          <w:rFonts w:ascii="Arial" w:cs="Arial" w:eastAsia="Arial" w:hAnsi="Arial"/>
          <w:sz w:val="18"/>
          <w:szCs w:val="18"/>
          <w:color w:val="auto"/>
        </w:rPr>
        <w:t>In 2025, the Compensation Committee retained Pearl Meyer,</w:t>
      </w:r>
      <w:r>
        <w:rPr>
          <w:rFonts w:ascii="Arial" w:cs="Arial" w:eastAsia="Arial" w:hAnsi="Arial"/>
          <w:sz w:val="18"/>
          <w:szCs w:val="18"/>
          <w:i w:val="1"/>
          <w:iCs w:val="1"/>
          <w:color w:val="auto"/>
        </w:rPr>
        <w:t xml:space="preserve"> </w:t>
      </w:r>
      <w:r>
        <w:rPr>
          <w:rFonts w:ascii="Arial" w:cs="Arial" w:eastAsia="Arial" w:hAnsi="Arial"/>
          <w:sz w:val="18"/>
          <w:szCs w:val="18"/>
          <w:color w:val="auto"/>
        </w:rPr>
        <w:t>a compensation consulting firm, to evaluate and make recommendations with respect to our executive compensation program. Pearl Meyer’s role included assisting the Compensation Committee with the selection of a peer group of companies for comparison purposes, an analysis of our existing executive compensation, the design of our long-term incentive program, and otherwise advising the Compensation Committee as appropriate. The consultant serves at the pleasure of the Compensation Committee, and the consultant’s fees are approved by the Compensation Committee.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880" w:h="15480" w:orient="portrait"/>
          <w:cols w:equalWidth="0" w:num="1">
            <w:col w:w="9720"/>
          </w:cols>
          <w:pgMar w:left="1080" w:top="1177" w:right="108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i w:val="1"/>
          <w:iCs w:val="1"/>
          <w:color w:val="auto"/>
        </w:rPr>
        <w:t>Annual Base Salary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annual base salaries for each of our NEOs for 2024 and 2025: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ind w:left="280"/>
              <w:spacing w:after="0"/>
              <w:rPr>
                <w:sz w:val="20"/>
                <w:szCs w:val="20"/>
                <w:color w:val="auto"/>
              </w:rPr>
            </w:pPr>
            <w:r>
              <w:rPr>
                <w:rFonts w:ascii="Arial" w:cs="Arial" w:eastAsia="Arial" w:hAnsi="Arial"/>
                <w:sz w:val="16"/>
                <w:szCs w:val="16"/>
                <w:b w:val="1"/>
                <w:bCs w:val="1"/>
                <w:color w:val="auto"/>
              </w:rPr>
              <w:t>Annual Base Salary</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3"/>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w:t>
            </w:r>
          </w:p>
        </w:tc>
        <w:tc>
          <w:tcPr>
            <w:tcW w:w="8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Percentage</w:t>
            </w:r>
          </w:p>
        </w:tc>
      </w:tr>
      <w:tr>
        <w:trPr>
          <w:trHeight w:val="174"/>
        </w:trPr>
        <w:tc>
          <w:tcPr>
            <w:tcW w:w="600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Name</w:t>
            </w:r>
          </w:p>
        </w:tc>
        <w:tc>
          <w:tcPr>
            <w:tcW w:w="200" w:type="dxa"/>
            <w:vAlign w:val="bottom"/>
            <w:tcBorders>
              <w:bottom w:val="single" w:sz="8" w:color="E5E5E5"/>
            </w:tcBorders>
          </w:tcPr>
          <w:p>
            <w:pPr>
              <w:spacing w:after="0"/>
              <w:rPr>
                <w:sz w:val="15"/>
                <w:szCs w:val="15"/>
                <w:color w:val="auto"/>
              </w:rPr>
            </w:pPr>
          </w:p>
        </w:tc>
        <w:tc>
          <w:tcPr>
            <w:tcW w:w="880" w:type="dxa"/>
            <w:vAlign w:val="bottom"/>
            <w:tcBorders>
              <w:bottom w:val="single" w:sz="8" w:color="auto"/>
            </w:tcBorders>
          </w:tcPr>
          <w:p>
            <w:pPr>
              <w:ind w:left="280"/>
              <w:spacing w:after="0" w:line="175"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E5E5E5"/>
            </w:tcBorders>
          </w:tcPr>
          <w:p>
            <w:pPr>
              <w:spacing w:after="0"/>
              <w:rPr>
                <w:sz w:val="15"/>
                <w:szCs w:val="15"/>
                <w:color w:val="auto"/>
              </w:rPr>
            </w:pPr>
          </w:p>
        </w:tc>
        <w:tc>
          <w:tcPr>
            <w:tcW w:w="880" w:type="dxa"/>
            <w:vAlign w:val="bottom"/>
            <w:tcBorders>
              <w:bottom w:val="single" w:sz="8" w:color="auto"/>
            </w:tcBorders>
          </w:tcPr>
          <w:p>
            <w:pPr>
              <w:jc w:val="right"/>
              <w:ind w:right="200"/>
              <w:spacing w:after="0" w:line="175"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E5E5E5"/>
            </w:tcBorders>
          </w:tcPr>
          <w:p>
            <w:pPr>
              <w:spacing w:after="0"/>
              <w:rPr>
                <w:sz w:val="15"/>
                <w:szCs w:val="15"/>
                <w:color w:val="auto"/>
              </w:rPr>
            </w:pPr>
          </w:p>
        </w:tc>
        <w:tc>
          <w:tcPr>
            <w:tcW w:w="11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8"/>
              </w:rPr>
              <w:t>Change</w:t>
            </w:r>
          </w:p>
        </w:tc>
        <w:tc>
          <w:tcPr>
            <w:tcW w:w="200" w:type="dxa"/>
            <w:vAlign w:val="bottom"/>
            <w:tcBorders>
              <w:bottom w:val="single" w:sz="8" w:color="E5E5E5"/>
            </w:tcBorders>
          </w:tcPr>
          <w:p>
            <w:pPr>
              <w:spacing w:after="0"/>
              <w:rPr>
                <w:sz w:val="15"/>
                <w:szCs w:val="15"/>
                <w:color w:val="auto"/>
              </w:rPr>
            </w:pPr>
          </w:p>
        </w:tc>
      </w:tr>
      <w:tr>
        <w:trPr>
          <w:trHeight w:val="220"/>
        </w:trPr>
        <w:tc>
          <w:tcPr>
            <w:tcW w:w="6200" w:type="dxa"/>
            <w:vAlign w:val="bottom"/>
            <w:gridSpan w:val="2"/>
            <w:shd w:val="clear" w:color="auto" w:fill="E5E5E5"/>
          </w:tcPr>
          <w:p>
            <w:pPr>
              <w:spacing w:after="0" w:line="220" w:lineRule="exact"/>
              <w:rPr>
                <w:sz w:val="20"/>
                <w:szCs w:val="20"/>
                <w:color w:val="auto"/>
              </w:rPr>
            </w:pPr>
            <w:r>
              <w:rPr>
                <w:rFonts w:ascii="Arial" w:cs="Arial" w:eastAsia="Arial" w:hAnsi="Arial"/>
                <w:sz w:val="20"/>
                <w:szCs w:val="20"/>
                <w:color w:val="auto"/>
              </w:rPr>
              <w:t>Neal Walker</w:t>
            </w:r>
          </w:p>
        </w:tc>
        <w:tc>
          <w:tcPr>
            <w:tcW w:w="880" w:type="dxa"/>
            <w:vAlign w:val="bottom"/>
            <w:shd w:val="clear" w:color="auto" w:fill="E5E5E5"/>
          </w:tcPr>
          <w:p>
            <w:pPr>
              <w:jc w:val="right"/>
              <w:spacing w:after="0" w:line="220" w:lineRule="exact"/>
              <w:rPr>
                <w:sz w:val="20"/>
                <w:szCs w:val="20"/>
                <w:color w:val="auto"/>
              </w:rPr>
            </w:pPr>
            <w:r>
              <w:rPr>
                <w:rFonts w:ascii="Arial" w:cs="Arial" w:eastAsia="Arial" w:hAnsi="Arial"/>
                <w:sz w:val="20"/>
                <w:szCs w:val="20"/>
                <w:color w:val="auto"/>
              </w:rPr>
              <w:t>500,000</w:t>
            </w:r>
          </w:p>
        </w:tc>
        <w:tc>
          <w:tcPr>
            <w:tcW w:w="108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615,000</w:t>
            </w:r>
          </w:p>
        </w:tc>
        <w:tc>
          <w:tcPr>
            <w:tcW w:w="2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w:t>
            </w:r>
          </w:p>
        </w:tc>
        <w:tc>
          <w:tcPr>
            <w:tcW w:w="1360" w:type="dxa"/>
            <w:vAlign w:val="bottom"/>
            <w:gridSpan w:val="2"/>
            <w:shd w:val="clear" w:color="auto" w:fill="E5E5E5"/>
          </w:tcPr>
          <w:p>
            <w:pPr>
              <w:jc w:val="right"/>
              <w:ind w:right="40"/>
              <w:spacing w:after="0" w:line="220" w:lineRule="exact"/>
              <w:rPr>
                <w:sz w:val="20"/>
                <w:szCs w:val="20"/>
                <w:color w:val="auto"/>
              </w:rPr>
            </w:pPr>
            <w:r>
              <w:rPr>
                <w:rFonts w:ascii="Arial" w:cs="Arial" w:eastAsia="Arial" w:hAnsi="Arial"/>
                <w:sz w:val="20"/>
                <w:szCs w:val="20"/>
                <w:color w:val="auto"/>
              </w:rPr>
              <w:t>23.0 %</w:t>
            </w:r>
          </w:p>
        </w:tc>
      </w:tr>
      <w:tr>
        <w:trPr>
          <w:trHeight w:val="230"/>
        </w:trPr>
        <w:tc>
          <w:tcPr>
            <w:tcW w:w="6200" w:type="dxa"/>
            <w:vAlign w:val="bottom"/>
            <w:gridSpan w:val="2"/>
          </w:tcPr>
          <w:p>
            <w:pPr>
              <w:spacing w:after="0"/>
              <w:rPr>
                <w:sz w:val="20"/>
                <w:szCs w:val="20"/>
                <w:color w:val="auto"/>
              </w:rPr>
            </w:pPr>
            <w:r>
              <w:rPr>
                <w:rFonts w:ascii="Arial" w:cs="Arial" w:eastAsia="Arial" w:hAnsi="Arial"/>
                <w:sz w:val="20"/>
                <w:szCs w:val="20"/>
                <w:color w:val="auto"/>
              </w:rPr>
              <w:t>Kevin Balthaser</w:t>
            </w:r>
          </w:p>
        </w:tc>
        <w:tc>
          <w:tcPr>
            <w:tcW w:w="880" w:type="dxa"/>
            <w:vAlign w:val="bottom"/>
          </w:tcPr>
          <w:p>
            <w:pPr>
              <w:jc w:val="right"/>
              <w:spacing w:after="0"/>
              <w:rPr>
                <w:sz w:val="20"/>
                <w:szCs w:val="20"/>
                <w:color w:val="auto"/>
              </w:rPr>
            </w:pPr>
            <w:r>
              <w:rPr>
                <w:rFonts w:ascii="Arial" w:cs="Arial" w:eastAsia="Arial" w:hAnsi="Arial"/>
                <w:sz w:val="20"/>
                <w:szCs w:val="20"/>
                <w:color w:val="auto"/>
              </w:rPr>
              <w:t>444,000</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446,000</w:t>
            </w:r>
          </w:p>
        </w:tc>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0.5 %</w:t>
            </w:r>
          </w:p>
        </w:tc>
      </w:tr>
      <w:tr>
        <w:trPr>
          <w:trHeight w:val="229"/>
        </w:trPr>
        <w:tc>
          <w:tcPr>
            <w:tcW w:w="6200" w:type="dxa"/>
            <w:vAlign w:val="bottom"/>
            <w:gridSpan w:val="2"/>
            <w:shd w:val="clear" w:color="auto" w:fill="E5E5E5"/>
          </w:tcPr>
          <w:p>
            <w:pPr>
              <w:spacing w:after="0"/>
              <w:rPr>
                <w:sz w:val="20"/>
                <w:szCs w:val="20"/>
                <w:color w:val="auto"/>
              </w:rPr>
            </w:pPr>
            <w:r>
              <w:rPr>
                <w:rFonts w:ascii="Arial" w:cs="Arial" w:eastAsia="Arial" w:hAnsi="Arial"/>
                <w:sz w:val="20"/>
                <w:szCs w:val="20"/>
                <w:color w:val="auto"/>
              </w:rPr>
              <w:t>James Loerop</w:t>
            </w:r>
          </w:p>
        </w:tc>
        <w:tc>
          <w:tcPr>
            <w:tcW w:w="880" w:type="dxa"/>
            <w:vAlign w:val="bottom"/>
            <w:shd w:val="clear" w:color="auto" w:fill="E5E5E5"/>
          </w:tcPr>
          <w:p>
            <w:pPr>
              <w:jc w:val="right"/>
              <w:spacing w:after="0"/>
              <w:rPr>
                <w:sz w:val="20"/>
                <w:szCs w:val="20"/>
                <w:color w:val="auto"/>
              </w:rPr>
            </w:pPr>
            <w:r>
              <w:rPr>
                <w:rFonts w:ascii="Arial" w:cs="Arial" w:eastAsia="Arial" w:hAnsi="Arial"/>
                <w:sz w:val="20"/>
                <w:szCs w:val="20"/>
                <w:color w:val="auto"/>
              </w:rPr>
              <w:t>402,917</w:t>
            </w:r>
          </w:p>
        </w:tc>
        <w:tc>
          <w:tcPr>
            <w:tcW w:w="108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416,000</w:t>
            </w:r>
          </w:p>
        </w:tc>
        <w:tc>
          <w:tcPr>
            <w:tcW w:w="200" w:type="dxa"/>
            <w:vAlign w:val="bottom"/>
            <w:shd w:val="clear" w:color="auto" w:fill="E5E5E5"/>
          </w:tcPr>
          <w:p>
            <w:pPr>
              <w:spacing w:after="0"/>
              <w:rPr>
                <w:sz w:val="19"/>
                <w:szCs w:val="19"/>
                <w:color w:val="auto"/>
              </w:rPr>
            </w:pPr>
          </w:p>
        </w:tc>
        <w:tc>
          <w:tcPr>
            <w:tcW w:w="1360" w:type="dxa"/>
            <w:vAlign w:val="bottom"/>
            <w:gridSpan w:val="2"/>
            <w:shd w:val="clear" w:color="auto" w:fill="E5E5E5"/>
          </w:tcPr>
          <w:p>
            <w:pPr>
              <w:jc w:val="right"/>
              <w:ind w:right="40"/>
              <w:spacing w:after="0"/>
              <w:rPr>
                <w:sz w:val="20"/>
                <w:szCs w:val="20"/>
                <w:color w:val="auto"/>
              </w:rPr>
            </w:pPr>
            <w:r>
              <w:rPr>
                <w:rFonts w:ascii="Arial" w:cs="Arial" w:eastAsia="Arial" w:hAnsi="Arial"/>
                <w:sz w:val="20"/>
                <w:szCs w:val="20"/>
                <w:color w:val="auto"/>
              </w:rPr>
              <w:t>3.2 %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106680</wp:posOffset>
                </wp:positionV>
                <wp:extent cx="154178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4pt" to="121.65pt,8.4pt" o:allowincell="f" strokecolor="#000000" strokeweight="1.02pt"/>
            </w:pict>
          </mc:Fallback>
        </mc:AlternateContent>
      </w:r>
    </w:p>
    <w:p>
      <w:pPr>
        <w:spacing w:after="0" w:line="190" w:lineRule="exact"/>
        <w:rPr>
          <w:sz w:val="20"/>
          <w:szCs w:val="20"/>
          <w:color w:val="auto"/>
        </w:rPr>
      </w:pPr>
    </w:p>
    <w:p>
      <w:pPr>
        <w:ind w:left="360" w:hanging="353"/>
        <w:spacing w:after="0" w:line="278"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increase was related to Dr. Walker’s appointment as Chief Executive Officer in 2025 from Interim Chief Executive Officer in 2024.</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Annual Bonus (Non-Equity Incentive Plan Compensation)</w:t>
      </w:r>
    </w:p>
    <w:p>
      <w:pPr>
        <w:spacing w:after="0" w:line="239"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9"/>
          <w:szCs w:val="19"/>
          <w:color w:val="auto"/>
        </w:rPr>
        <w:t>We seek to motivate and reward our executives for achievements relative to our corporate goals and expectations and individual goals, if any, for each fiscal year. For 2025, the target bonus for Dr. Walker was 60% of his base salary and the target bonus for Mr. Balthaser and Mr. Loerop was 40% of their respective base salaries.</w:t>
      </w:r>
    </w:p>
    <w:p>
      <w:pPr>
        <w:spacing w:after="0" w:line="159"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19"/>
          <w:szCs w:val="19"/>
          <w:color w:val="auto"/>
        </w:rPr>
        <w:t>The actual annual bonus paid is calculated by multiplying the NEO’s annual base salary, target bonus percentage, the percentage attainment of the corporate goals established by the Board for such year, and for our NEOs other than the Chief Executive Officer, the percentage attainment of the individual goals established by our Chief Executive Officer. The Compensation Committee is not required to determine bonuses based on this exact formula and reserves the right to consider other factors and adjust bonus amounts accordingly.</w:t>
      </w:r>
    </w:p>
    <w:p>
      <w:pPr>
        <w:spacing w:after="0" w:line="170"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For 2025, the bonus funding factor was weighted 75% for corporate goals and 25% for individual goals for all NEOs other than our Chief Executive Officer, whose bonus funding was 100% dependent on the achievement of corporate goals.</w:t>
      </w:r>
    </w:p>
    <w:p>
      <w:pPr>
        <w:spacing w:after="0" w:line="179"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The Compensation Committee reviews our performance against our goals and approves the extent to which we achieved each of our corporate goals and, with the input of our Chief Executive Officer, individual performance, as applicable, and, for each NEO, the amount of the bonus awarded.</w:t>
      </w:r>
    </w:p>
    <w:p>
      <w:pPr>
        <w:spacing w:after="0" w:line="178"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17"/>
          <w:szCs w:val="17"/>
          <w:color w:val="auto"/>
        </w:rPr>
        <w:t>In early 2025, our Compensation Committee approved our 2025 corporate performance goals. These goals were divided into two primary categories: (a) research and development (75%) and (b) other corporate activities, including business development, financing, and legal, finance and compliance objectives (25%) . The Compensation Committee also approved stretch performance goals in both the research and development and other corporate categories that, if earned, could increase the overall funding of the bonus plan up to a maximum of 140% of the corporate performance target score. In addition to the corporate performance goals described above, Dr. Walker evaluated the individual performance of each of Mr. Balthaser and Mr. Loerop, and recommended a level of achievement to the Compensation Committee. The individual goals for Mr. Balthaser and Mr. Loerop focused on contributions toward our corporate objectives, personal qualities necessary to effectively manage a team, solve problems and drive our business forward, cross-functional execution to improve processes and productivity, and the promotion of a culture of ethics and compliance. Dr. Walker recommended full credit for these individual objectives, which the Compensation Committee approved.</w:t>
      </w:r>
    </w:p>
    <w:p>
      <w:pPr>
        <w:spacing w:after="0" w:line="15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In early 2026, the Compensation Committee considered each of the 2025 corporate performance goals, as well as individual goals where applicable, and awarded Dr. Walker, Mr. Balthaser and Mr. Loerop 95%, 96% and 96% of their target bonuses, respectively, for the year ended December 31, 2025. The actual bonus amounts paid are reflected in the “Non-Equity Incentive Plan Compensation” column of the Summary Compensation Table above.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Incentives</w:t>
      </w:r>
    </w:p>
    <w:p>
      <w:pPr>
        <w:spacing w:after="0" w:line="239"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9"/>
          <w:szCs w:val="19"/>
          <w:color w:val="auto"/>
        </w:rPr>
        <w:t>Long-term incentives represent a key element of our overall compensation program. This compensation element is primarily used to aid in attracting and retaining the talent we need to achieve our mission, strategies, and underlying corporate goals. Additionally, long-term incentives align the interests of our NEOs with our stockholders.</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880" w:h="15480" w:orient="portrait"/>
          <w:cols w:equalWidth="0" w:num="1">
            <w:col w:w="9720"/>
          </w:cols>
          <w:pgMar w:left="1080" w:top="1177" w:right="1080" w:bottom="0" w:gutter="0" w:footer="0" w:header="0"/>
          <w:type w:val="continuous"/>
        </w:sectPr>
      </w:pPr>
    </w:p>
    <w:bookmarkStart w:id="118" w:name="page119"/>
    <w:bookmarkEnd w:id="118"/>
    <w:p>
      <w:pPr>
        <w:jc w:val="both"/>
        <w:ind w:firstLine="720"/>
        <w:spacing w:after="0" w:line="252" w:lineRule="auto"/>
        <w:rPr>
          <w:sz w:val="20"/>
          <w:szCs w:val="20"/>
          <w:color w:val="auto"/>
        </w:rPr>
      </w:pPr>
      <w:r>
        <w:rPr>
          <w:rFonts w:ascii="Arial" w:cs="Arial" w:eastAsia="Arial" w:hAnsi="Arial"/>
          <w:sz w:val="20"/>
          <w:szCs w:val="20"/>
          <w:color w:val="auto"/>
        </w:rPr>
        <w:t>The Compensation Committee typically approves long-term incentive grants for NEOs at the start of their employment, and annually thereafter in connection with the annual performance review. Additionally, the Compensation Committee may periodically grant additional equity awards based on changes in job responsibility, performance and contribution, or other special circumstances.</w:t>
      </w:r>
    </w:p>
    <w:p>
      <w:pPr>
        <w:spacing w:after="0" w:line="184"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In determining annual long-term incentive grants for NEOs, the Compensation Committee reviews market data for annual long-term incentive grant levels and groups the NEOs accordingly. The market data that the Compensation Committee reviewed for the purpose of sizing equity grants included long -term incentive awards expressed as a percentage of shares of common stock outstanding, as well as grant date fair values.</w:t>
      </w:r>
    </w:p>
    <w:p>
      <w:pPr>
        <w:spacing w:after="0" w:line="168"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8"/>
          <w:szCs w:val="18"/>
          <w:color w:val="auto"/>
        </w:rPr>
        <w:t>In accordance with historical practices and the methodology described above, in February 2025 Dr. Walker, Mr. Balthaser and Mr. Loerop were granted an annual equity grant consisting of 253,900, 88,100 and 83,500 restricted stock units, respectively, and stock options to purchase 888,800 shares, 308,200 shares and 292,300 shares, respectively, in each case which vest in four equal installments on the first, second, third and fourth anniversaries of February 3, 2025, subject to the officer’s continuous service as of the applicable vesting date. In addition, during 2024 certain executives expended considerable effort undertaking a strategic review of our business, the result of which included the licensing of bosakitug and ATI-052 creating a more diversified pipeline of strategic opportunities for the Company across various immunologic and respiratory indications, as well as an extended cash runway achieved through cost rationalization and the closing of a private placement for aggregate gross proceeds of $80.0 million. To reward such executives for their efforts, in January 2025 Dr. Walker, Mr. Balthaser and Mr. Loerop were granted an equity grant consisting of 88,333, 40,000 and 55,000 restricted stock units, respectively, in each case which 33% of the award vests on January 2, 2025, 33% of the award vests on January 2, 2026 and 34% of the award vests on January 2, 2027, subject to the officer’s continuous service as of the applicable vesting date.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Clawback Policy</w:t>
      </w:r>
    </w:p>
    <w:p>
      <w:pPr>
        <w:spacing w:after="0" w:line="239"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Under our Incentive Compensation Recoupment Policy, in the event of an accounting restatement, the Compensation Committee, as the committee of the Board responsible for administering the policy, is authorized to recover certain incentive-based compensation paid to an executive officer of the Company on or after October 2, 2023 to the extent such incentive-based compensation was erroneously paid on the basis of financial results in respect of any of our three most recently completed fiscal years preceding the restatement.</w:t>
      </w:r>
    </w:p>
    <w:p>
      <w:pPr>
        <w:spacing w:after="0" w:line="198"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Additionally, 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880" w:h="15480" w:orient="portrait"/>
          <w:cols w:equalWidth="0" w:num="1">
            <w:col w:w="9720"/>
          </w:cols>
          <w:pgMar w:left="1080" w:top="1177" w:right="1080"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Outstanding Equity Awards as of December 31, 2025</w:t>
      </w:r>
    </w:p>
    <w:p>
      <w:pPr>
        <w:spacing w:after="0" w:line="244" w:lineRule="exact"/>
        <w:rPr>
          <w:sz w:val="20"/>
          <w:szCs w:val="20"/>
          <w:color w:val="auto"/>
        </w:rPr>
      </w:pPr>
    </w:p>
    <w:p>
      <w:pPr>
        <w:ind w:firstLine="720"/>
        <w:spacing w:after="0" w:line="277" w:lineRule="auto"/>
        <w:rPr>
          <w:sz w:val="20"/>
          <w:szCs w:val="20"/>
          <w:color w:val="auto"/>
        </w:rPr>
      </w:pPr>
      <w:r>
        <w:rPr>
          <w:rFonts w:ascii="Arial" w:cs="Arial" w:eastAsia="Arial" w:hAnsi="Arial"/>
          <w:sz w:val="20"/>
          <w:szCs w:val="20"/>
          <w:color w:val="auto"/>
        </w:rPr>
        <w:t>The following table provides information about outstanding equity awards held by each of our NEOs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4"/>
              </w:rPr>
              <w:t>Option Awards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6"/>
                <w:szCs w:val="16"/>
                <w:b w:val="1"/>
                <w:bCs w:val="1"/>
                <w:color w:val="auto"/>
              </w:rPr>
              <w:t>Stock Awards</w:t>
            </w:r>
          </w:p>
        </w:tc>
      </w:tr>
      <w:tr>
        <w:trPr>
          <w:trHeight w:val="154"/>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line="154" w:lineRule="exact"/>
              <w:rPr>
                <w:sz w:val="20"/>
                <w:szCs w:val="20"/>
                <w:color w:val="auto"/>
              </w:rPr>
            </w:pPr>
            <w:r>
              <w:rPr>
                <w:rFonts w:ascii="Arial" w:cs="Arial" w:eastAsia="Arial" w:hAnsi="Arial"/>
                <w:sz w:val="16"/>
                <w:szCs w:val="16"/>
                <w:b w:val="1"/>
                <w:bCs w:val="1"/>
                <w:color w:val="auto"/>
              </w:rPr>
              <w:t>Market</w:t>
            </w:r>
          </w:p>
        </w:tc>
      </w:t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5"/>
              </w:rPr>
              <w:t>of Stock</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8"/>
              </w:rPr>
              <w:t>of Stock</w:t>
            </w:r>
          </w:p>
        </w:tc>
      </w:t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Number of Securities Underlying</w:t>
            </w:r>
          </w:p>
        </w:tc>
        <w:tc>
          <w:tcPr>
            <w:tcW w:w="1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That</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That</w:t>
            </w: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Type</w:t>
            </w:r>
          </w:p>
        </w:tc>
        <w:tc>
          <w:tcPr>
            <w:tcW w:w="22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Unexercised Options</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Have Not</w:t>
            </w:r>
          </w:p>
        </w:tc>
      </w:tr>
      <w:tr>
        <w:trPr>
          <w:trHeight w:val="203"/>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w:t>
            </w: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w:t>
            </w: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6"/>
              </w:rPr>
              <w:t>Price</w:t>
            </w:r>
          </w:p>
        </w:tc>
        <w:tc>
          <w:tcPr>
            <w:tcW w:w="1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7"/>
              </w:rPr>
              <w:t>Vested</w:t>
            </w:r>
          </w:p>
        </w:tc>
      </w:tr>
      <w:tr>
        <w:trPr>
          <w:trHeight w:val="174"/>
        </w:trPr>
        <w:tc>
          <w:tcPr>
            <w:tcW w:w="292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Name</w:t>
            </w:r>
          </w:p>
        </w:tc>
        <w:tc>
          <w:tcPr>
            <w:tcW w:w="160" w:type="dxa"/>
            <w:vAlign w:val="bottom"/>
            <w:tcBorders>
              <w:bottom w:val="single" w:sz="8" w:color="E5E5E5"/>
            </w:tcBorders>
          </w:tcPr>
          <w:p>
            <w:pPr>
              <w:spacing w:after="0"/>
              <w:rPr>
                <w:sz w:val="15"/>
                <w:szCs w:val="15"/>
                <w:color w:val="auto"/>
              </w:rPr>
            </w:pPr>
          </w:p>
        </w:tc>
        <w:tc>
          <w:tcPr>
            <w:tcW w:w="7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8"/>
              </w:rPr>
              <w:t>Award</w:t>
            </w:r>
          </w:p>
        </w:tc>
        <w:tc>
          <w:tcPr>
            <w:tcW w:w="160" w:type="dxa"/>
            <w:vAlign w:val="bottom"/>
            <w:tcBorders>
              <w:bottom w:val="single" w:sz="8" w:color="E5E5E5"/>
            </w:tcBorders>
          </w:tcPr>
          <w:p>
            <w:pPr>
              <w:spacing w:after="0"/>
              <w:rPr>
                <w:sz w:val="15"/>
                <w:szCs w:val="15"/>
                <w:color w:val="auto"/>
              </w:rPr>
            </w:pPr>
          </w:p>
        </w:tc>
        <w:tc>
          <w:tcPr>
            <w:tcW w:w="1020" w:type="dxa"/>
            <w:vAlign w:val="bottom"/>
            <w:tcBorders>
              <w:bottom w:val="single" w:sz="8" w:color="auto"/>
            </w:tcBorders>
          </w:tcPr>
          <w:p>
            <w:pPr>
              <w:jc w:val="right"/>
              <w:ind w:right="40"/>
              <w:spacing w:after="0" w:line="175" w:lineRule="exact"/>
              <w:rPr>
                <w:sz w:val="20"/>
                <w:szCs w:val="20"/>
                <w:color w:val="auto"/>
              </w:rPr>
            </w:pPr>
            <w:r>
              <w:rPr>
                <w:rFonts w:ascii="Arial" w:cs="Arial" w:eastAsia="Arial" w:hAnsi="Arial"/>
                <w:sz w:val="16"/>
                <w:szCs w:val="16"/>
                <w:b w:val="1"/>
                <w:bCs w:val="1"/>
                <w:color w:val="auto"/>
                <w:w w:val="98"/>
              </w:rPr>
              <w:t>Exercisable</w:t>
            </w:r>
          </w:p>
        </w:tc>
        <w:tc>
          <w:tcPr>
            <w:tcW w:w="220" w:type="dxa"/>
            <w:vAlign w:val="bottom"/>
            <w:tcBorders>
              <w:bottom w:val="single" w:sz="8" w:color="E5E5E5"/>
            </w:tcBorders>
          </w:tcPr>
          <w:p>
            <w:pPr>
              <w:spacing w:after="0"/>
              <w:rPr>
                <w:sz w:val="15"/>
                <w:szCs w:val="15"/>
                <w:color w:val="auto"/>
              </w:rPr>
            </w:pPr>
          </w:p>
        </w:tc>
        <w:tc>
          <w:tcPr>
            <w:tcW w:w="1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90"/>
              </w:rPr>
              <w:t>Unexercisable</w:t>
            </w:r>
          </w:p>
        </w:tc>
        <w:tc>
          <w:tcPr>
            <w:tcW w:w="160" w:type="dxa"/>
            <w:vAlign w:val="bottom"/>
            <w:tcBorders>
              <w:bottom w:val="single" w:sz="8" w:color="E5E5E5"/>
            </w:tcBorders>
          </w:tcPr>
          <w:p>
            <w:pPr>
              <w:spacing w:after="0"/>
              <w:rPr>
                <w:sz w:val="15"/>
                <w:szCs w:val="15"/>
                <w:color w:val="auto"/>
              </w:rPr>
            </w:pPr>
          </w:p>
        </w:tc>
        <w:tc>
          <w:tcPr>
            <w:tcW w:w="7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w:t>
            </w:r>
          </w:p>
        </w:tc>
        <w:tc>
          <w:tcPr>
            <w:tcW w:w="160" w:type="dxa"/>
            <w:vAlign w:val="bottom"/>
            <w:tcBorders>
              <w:bottom w:val="single" w:sz="8" w:color="E5E5E5"/>
            </w:tcBorders>
          </w:tcPr>
          <w:p>
            <w:pPr>
              <w:spacing w:after="0"/>
              <w:rPr>
                <w:sz w:val="15"/>
                <w:szCs w:val="15"/>
                <w:color w:val="auto"/>
              </w:rPr>
            </w:pPr>
          </w:p>
        </w:tc>
        <w:tc>
          <w:tcPr>
            <w:tcW w:w="7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2"/>
              </w:rPr>
              <w:t>Date</w:t>
            </w:r>
          </w:p>
        </w:tc>
        <w:tc>
          <w:tcPr>
            <w:tcW w:w="160" w:type="dxa"/>
            <w:vAlign w:val="bottom"/>
            <w:tcBorders>
              <w:bottom w:val="single" w:sz="8" w:color="E5E5E5"/>
            </w:tcBorders>
          </w:tcPr>
          <w:p>
            <w:pPr>
              <w:spacing w:after="0"/>
              <w:rPr>
                <w:sz w:val="15"/>
                <w:szCs w:val="15"/>
                <w:color w:val="auto"/>
              </w:rPr>
            </w:pPr>
          </w:p>
        </w:tc>
        <w:tc>
          <w:tcPr>
            <w:tcW w:w="6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1"/>
              </w:rPr>
              <w:t>(#)</w:t>
            </w:r>
          </w:p>
        </w:tc>
        <w:tc>
          <w:tcPr>
            <w:tcW w:w="160" w:type="dxa"/>
            <w:vAlign w:val="bottom"/>
            <w:tcBorders>
              <w:bottom w:val="single" w:sz="8" w:color="E5E5E5"/>
            </w:tcBorders>
          </w:tcPr>
          <w:p>
            <w:pPr>
              <w:spacing w:after="0"/>
              <w:rPr>
                <w:sz w:val="15"/>
                <w:szCs w:val="15"/>
                <w:color w:val="auto"/>
              </w:rPr>
            </w:pPr>
          </w:p>
        </w:tc>
        <w:tc>
          <w:tcPr>
            <w:tcW w:w="72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(8)</w:t>
            </w:r>
          </w:p>
        </w:tc>
      </w:tr>
      <w:tr>
        <w:trPr>
          <w:trHeight w:val="173"/>
        </w:trPr>
        <w:tc>
          <w:tcPr>
            <w:tcW w:w="3080" w:type="dxa"/>
            <w:vAlign w:val="bottom"/>
            <w:gridSpan w:val="2"/>
            <w:shd w:val="clear" w:color="auto" w:fill="E5E5E5"/>
          </w:tcPr>
          <w:p>
            <w:pPr>
              <w:spacing w:after="0" w:line="173" w:lineRule="exact"/>
              <w:rPr>
                <w:sz w:val="20"/>
                <w:szCs w:val="20"/>
                <w:color w:val="auto"/>
              </w:rPr>
            </w:pPr>
            <w:r>
              <w:rPr>
                <w:rFonts w:ascii="Arial" w:cs="Arial" w:eastAsia="Arial" w:hAnsi="Arial"/>
                <w:sz w:val="16"/>
                <w:szCs w:val="16"/>
                <w:color w:val="auto"/>
              </w:rPr>
              <w:t>Neal Walker</w:t>
            </w:r>
          </w:p>
        </w:tc>
        <w:tc>
          <w:tcPr>
            <w:tcW w:w="880" w:type="dxa"/>
            <w:vAlign w:val="bottom"/>
            <w:gridSpan w:val="2"/>
            <w:shd w:val="clear" w:color="auto" w:fill="E5E5E5"/>
          </w:tcPr>
          <w:p>
            <w:pPr>
              <w:jc w:val="right"/>
              <w:ind w:right="220"/>
              <w:spacing w:after="0" w:line="173" w:lineRule="exact"/>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line="173" w:lineRule="exact"/>
              <w:rPr>
                <w:sz w:val="20"/>
                <w:szCs w:val="20"/>
                <w:color w:val="auto"/>
              </w:rPr>
            </w:pPr>
            <w:r>
              <w:rPr>
                <w:rFonts w:ascii="Arial" w:cs="Arial" w:eastAsia="Arial" w:hAnsi="Arial"/>
                <w:sz w:val="16"/>
                <w:szCs w:val="16"/>
                <w:color w:val="auto"/>
              </w:rPr>
              <w:t>145,600</w:t>
            </w:r>
          </w:p>
        </w:tc>
        <w:tc>
          <w:tcPr>
            <w:tcW w:w="220" w:type="dxa"/>
            <w:vAlign w:val="bottom"/>
            <w:shd w:val="clear" w:color="auto" w:fill="E5E5E5"/>
          </w:tcPr>
          <w:p>
            <w:pPr>
              <w:spacing w:after="0"/>
              <w:rPr>
                <w:sz w:val="15"/>
                <w:szCs w:val="15"/>
                <w:color w:val="auto"/>
              </w:rPr>
            </w:pPr>
          </w:p>
        </w:tc>
        <w:tc>
          <w:tcPr>
            <w:tcW w:w="1020" w:type="dxa"/>
            <w:vAlign w:val="bottom"/>
            <w:shd w:val="clear" w:color="auto" w:fill="E5E5E5"/>
          </w:tcPr>
          <w:p>
            <w:pPr>
              <w:jc w:val="right"/>
              <w:spacing w:after="0" w:line="173" w:lineRule="exact"/>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5"/>
                <w:szCs w:val="15"/>
                <w:color w:val="auto"/>
              </w:rPr>
            </w:pPr>
          </w:p>
        </w:tc>
        <w:tc>
          <w:tcPr>
            <w:tcW w:w="700" w:type="dxa"/>
            <w:vAlign w:val="bottom"/>
            <w:shd w:val="clear" w:color="auto" w:fill="E5E5E5"/>
          </w:tcPr>
          <w:p>
            <w:pPr>
              <w:jc w:val="right"/>
              <w:spacing w:after="0" w:line="173" w:lineRule="exact"/>
              <w:rPr>
                <w:sz w:val="20"/>
                <w:szCs w:val="20"/>
                <w:color w:val="auto"/>
              </w:rPr>
            </w:pPr>
            <w:r>
              <w:rPr>
                <w:rFonts w:ascii="Arial" w:cs="Arial" w:eastAsia="Arial" w:hAnsi="Arial"/>
                <w:sz w:val="16"/>
                <w:szCs w:val="16"/>
                <w:color w:val="auto"/>
              </w:rPr>
              <w:t>28.92</w:t>
            </w:r>
          </w:p>
        </w:tc>
        <w:tc>
          <w:tcPr>
            <w:tcW w:w="940" w:type="dxa"/>
            <w:vAlign w:val="bottom"/>
            <w:gridSpan w:val="2"/>
            <w:shd w:val="clear" w:color="auto" w:fill="E5E5E5"/>
          </w:tcPr>
          <w:p>
            <w:pPr>
              <w:jc w:val="right"/>
              <w:spacing w:after="0" w:line="173" w:lineRule="exact"/>
              <w:rPr>
                <w:sz w:val="20"/>
                <w:szCs w:val="20"/>
                <w:color w:val="auto"/>
              </w:rPr>
            </w:pPr>
            <w:r>
              <w:rPr>
                <w:rFonts w:ascii="Arial" w:cs="Arial" w:eastAsia="Arial" w:hAnsi="Arial"/>
                <w:sz w:val="16"/>
                <w:szCs w:val="16"/>
                <w:color w:val="auto"/>
              </w:rPr>
              <w:t>12/14/2026</w:t>
            </w:r>
          </w:p>
        </w:tc>
        <w:tc>
          <w:tcPr>
            <w:tcW w:w="1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151,200</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1/31/2028</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255,552</w:t>
            </w:r>
          </w:p>
        </w:tc>
        <w:tc>
          <w:tcPr>
            <w:tcW w:w="220" w:type="dxa"/>
            <w:vAlign w:val="bottom"/>
            <w:shd w:val="clear" w:color="auto" w:fill="E5E5E5"/>
          </w:tcPr>
          <w:p>
            <w:pPr>
              <w:spacing w:after="0"/>
              <w:rPr>
                <w:sz w:val="15"/>
                <w:szCs w:val="15"/>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5"/>
                <w:szCs w:val="15"/>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1.26</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3/1/2030</w:t>
            </w:r>
          </w:p>
        </w:tc>
        <w:tc>
          <w:tcPr>
            <w:tcW w:w="1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191,850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2/28/2031</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29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168,050</w:t>
            </w: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14.94</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2/29/2032</w:t>
            </w:r>
          </w:p>
        </w:tc>
        <w:tc>
          <w:tcPr>
            <w:tcW w:w="1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497,000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1/31/2034</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888,800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(1)</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2.40</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2/2/2035</w:t>
            </w:r>
          </w:p>
        </w:tc>
        <w:tc>
          <w:tcPr>
            <w:tcW w:w="1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59,184</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178,144</w:t>
            </w: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253,900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(1)</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764,239</w:t>
            </w:r>
          </w:p>
        </w:tc>
      </w:tr>
      <w:tr>
        <w:trPr>
          <w:trHeight w:val="184"/>
        </w:trPr>
        <w:tc>
          <w:tcPr>
            <w:tcW w:w="3080" w:type="dxa"/>
            <w:vAlign w:val="bottom"/>
            <w:gridSpan w:val="2"/>
          </w:tcPr>
          <w:p>
            <w:pPr>
              <w:spacing w:after="0"/>
              <w:rPr>
                <w:sz w:val="20"/>
                <w:szCs w:val="20"/>
                <w:color w:val="auto"/>
              </w:rPr>
            </w:pPr>
            <w:r>
              <w:rPr>
                <w:rFonts w:ascii="Arial" w:cs="Arial" w:eastAsia="Arial" w:hAnsi="Arial"/>
                <w:sz w:val="16"/>
                <w:szCs w:val="16"/>
                <w:color w:val="auto"/>
              </w:rPr>
              <w:t>Kevin Balthaser</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11,200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27.54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7/4/2027</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29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2,100</w:t>
            </w: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22.09</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1/31/2028</w:t>
            </w:r>
          </w:p>
        </w:tc>
        <w:tc>
          <w:tcPr>
            <w:tcW w:w="1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15,500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2/28/2031</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25,050</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8,350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(3)</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14.94</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2/29/2032</w:t>
            </w:r>
          </w:p>
        </w:tc>
        <w:tc>
          <w:tcPr>
            <w:tcW w:w="1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52,500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(4)</w:t>
            </w:r>
          </w:p>
        </w:tc>
        <w:tc>
          <w:tcPr>
            <w:tcW w:w="700" w:type="dxa"/>
            <w:vAlign w:val="bottom"/>
          </w:tcPr>
          <w:p>
            <w:pPr>
              <w:jc w:val="right"/>
              <w:spacing w:after="0"/>
              <w:rPr>
                <w:sz w:val="20"/>
                <w:szCs w:val="20"/>
                <w:color w:val="auto"/>
              </w:rPr>
            </w:pPr>
            <w:r>
              <w:rPr>
                <w:rFonts w:ascii="Arial" w:cs="Arial" w:eastAsia="Arial" w:hAnsi="Arial"/>
                <w:sz w:val="16"/>
                <w:szCs w:val="16"/>
                <w:color w:val="auto"/>
              </w:rPr>
              <w:t>16.97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1/31/2033</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51,625</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154,875</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(5)</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1/31/2034</w:t>
            </w:r>
          </w:p>
        </w:tc>
        <w:tc>
          <w:tcPr>
            <w:tcW w:w="1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308,200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(1)</w:t>
            </w:r>
          </w:p>
        </w:tc>
        <w:tc>
          <w:tcPr>
            <w:tcW w:w="700" w:type="dxa"/>
            <w:vAlign w:val="bottom"/>
          </w:tcPr>
          <w:p>
            <w:pPr>
              <w:jc w:val="right"/>
              <w:spacing w:after="0"/>
              <w:rPr>
                <w:sz w:val="20"/>
                <w:szCs w:val="20"/>
                <w:color w:val="auto"/>
              </w:rPr>
            </w:pPr>
            <w:r>
              <w:rPr>
                <w:rFonts w:ascii="Arial" w:cs="Arial" w:eastAsia="Arial" w:hAnsi="Arial"/>
                <w:sz w:val="16"/>
                <w:szCs w:val="16"/>
                <w:color w:val="auto"/>
              </w:rPr>
              <w:t>2.40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2/2/2035</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29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2,375</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(3)</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7,149</w:t>
            </w: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15,000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(4)</w:t>
            </w:r>
          </w:p>
        </w:tc>
        <w:tc>
          <w:tcPr>
            <w:tcW w:w="720" w:type="dxa"/>
            <w:vAlign w:val="bottom"/>
          </w:tcPr>
          <w:p>
            <w:pPr>
              <w:jc w:val="right"/>
              <w:spacing w:after="0"/>
              <w:rPr>
                <w:sz w:val="20"/>
                <w:szCs w:val="20"/>
                <w:color w:val="auto"/>
              </w:rPr>
            </w:pPr>
            <w:r>
              <w:rPr>
                <w:rFonts w:ascii="Arial" w:cs="Arial" w:eastAsia="Arial" w:hAnsi="Arial"/>
                <w:sz w:val="16"/>
                <w:szCs w:val="16"/>
                <w:color w:val="auto"/>
              </w:rPr>
              <w:t>45,150</w:t>
            </w: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44,250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(5)</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133,193</w:t>
            </w:r>
          </w:p>
        </w:tc>
      </w:t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26,800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80,668</w:t>
            </w: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88,100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(1)</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265,181</w:t>
            </w:r>
          </w:p>
        </w:tc>
      </w:tr>
      <w:tr>
        <w:trPr>
          <w:trHeight w:val="184"/>
        </w:trPr>
        <w:tc>
          <w:tcPr>
            <w:tcW w:w="3080" w:type="dxa"/>
            <w:vAlign w:val="bottom"/>
            <w:gridSpan w:val="2"/>
          </w:tcPr>
          <w:p>
            <w:pPr>
              <w:spacing w:after="0"/>
              <w:rPr>
                <w:sz w:val="20"/>
                <w:szCs w:val="20"/>
                <w:color w:val="auto"/>
              </w:rPr>
            </w:pPr>
            <w:r>
              <w:rPr>
                <w:rFonts w:ascii="Arial" w:cs="Arial" w:eastAsia="Arial" w:hAnsi="Arial"/>
                <w:sz w:val="16"/>
                <w:szCs w:val="16"/>
                <w:color w:val="auto"/>
              </w:rPr>
              <w:t>James Loerop</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116,250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38,750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(6)</w:t>
            </w:r>
          </w:p>
        </w:tc>
        <w:tc>
          <w:tcPr>
            <w:tcW w:w="700" w:type="dxa"/>
            <w:vAlign w:val="bottom"/>
          </w:tcPr>
          <w:p>
            <w:pPr>
              <w:jc w:val="right"/>
              <w:spacing w:after="0"/>
              <w:rPr>
                <w:sz w:val="20"/>
                <w:szCs w:val="20"/>
                <w:color w:val="auto"/>
              </w:rPr>
            </w:pPr>
            <w:r>
              <w:rPr>
                <w:rFonts w:ascii="Arial" w:cs="Arial" w:eastAsia="Arial" w:hAnsi="Arial"/>
                <w:sz w:val="16"/>
                <w:szCs w:val="16"/>
                <w:color w:val="auto"/>
              </w:rPr>
              <w:t>11.58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1/31/2032</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29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52,500</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52,500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(7)</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16.97</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1/31/2033</w:t>
            </w:r>
          </w:p>
        </w:tc>
        <w:tc>
          <w:tcPr>
            <w:tcW w:w="1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tcPr>
          <w:p>
            <w:pPr>
              <w:jc w:val="right"/>
              <w:spacing w:after="0"/>
              <w:rPr>
                <w:sz w:val="20"/>
                <w:szCs w:val="20"/>
                <w:color w:val="auto"/>
              </w:rPr>
            </w:pPr>
            <w:r>
              <w:rPr>
                <w:rFonts w:ascii="Arial" w:cs="Arial" w:eastAsia="Arial" w:hAnsi="Arial"/>
                <w:sz w:val="16"/>
                <w:szCs w:val="16"/>
                <w:color w:val="auto"/>
              </w:rPr>
              <w:t>51,625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154,875</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(5)</w:t>
            </w: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1/31/2034</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Option</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292,300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(1)</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2.40</w:t>
            </w:r>
          </w:p>
        </w:tc>
        <w:tc>
          <w:tcPr>
            <w:tcW w:w="9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2/2/2035</w:t>
            </w:r>
          </w:p>
        </w:tc>
        <w:tc>
          <w:tcPr>
            <w:tcW w:w="16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11,250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(6)</w:t>
            </w:r>
          </w:p>
        </w:tc>
        <w:tc>
          <w:tcPr>
            <w:tcW w:w="720" w:type="dxa"/>
            <w:vAlign w:val="bottom"/>
          </w:tcPr>
          <w:p>
            <w:pPr>
              <w:jc w:val="right"/>
              <w:spacing w:after="0"/>
              <w:rPr>
                <w:sz w:val="20"/>
                <w:szCs w:val="20"/>
                <w:color w:val="auto"/>
              </w:rPr>
            </w:pPr>
            <w:r>
              <w:rPr>
                <w:rFonts w:ascii="Arial" w:cs="Arial" w:eastAsia="Arial" w:hAnsi="Arial"/>
                <w:sz w:val="16"/>
                <w:szCs w:val="16"/>
                <w:color w:val="auto"/>
              </w:rPr>
              <w:t>33,863</w:t>
            </w:r>
          </w:p>
        </w:tc>
      </w:tr>
      <w:tr>
        <w:trPr>
          <w:trHeight w:val="185"/>
        </w:trPr>
        <w:tc>
          <w:tcPr>
            <w:tcW w:w="29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15,000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(7)</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45,150</w:t>
            </w:r>
          </w:p>
        </w:tc>
      </w:tr>
      <w:tr>
        <w:trPr>
          <w:trHeight w:val="184"/>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44,250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(5)</w:t>
            </w:r>
          </w:p>
        </w:tc>
        <w:tc>
          <w:tcPr>
            <w:tcW w:w="720" w:type="dxa"/>
            <w:vAlign w:val="bottom"/>
          </w:tcPr>
          <w:p>
            <w:pPr>
              <w:jc w:val="right"/>
              <w:spacing w:after="0"/>
              <w:rPr>
                <w:sz w:val="20"/>
                <w:szCs w:val="20"/>
                <w:color w:val="auto"/>
              </w:rPr>
            </w:pPr>
            <w:r>
              <w:rPr>
                <w:rFonts w:ascii="Arial" w:cs="Arial" w:eastAsia="Arial" w:hAnsi="Arial"/>
                <w:sz w:val="16"/>
                <w:szCs w:val="16"/>
                <w:color w:val="auto"/>
              </w:rPr>
              <w:t>133,193</w:t>
            </w:r>
          </w:p>
        </w:tc>
      </w:tr>
      <w:tr>
        <w:trPr>
          <w:trHeight w:val="184"/>
        </w:trPr>
        <w:tc>
          <w:tcPr>
            <w:tcW w:w="29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36,850</w:t>
            </w:r>
          </w:p>
        </w:tc>
        <w:tc>
          <w:tcPr>
            <w:tcW w:w="160" w:type="dxa"/>
            <w:vAlign w:val="bottom"/>
            <w:shd w:val="clear" w:color="auto" w:fill="E5E5E5"/>
          </w:tcPr>
          <w:p>
            <w:pPr>
              <w:jc w:val="right"/>
              <w:spacing w:after="0"/>
              <w:rPr>
                <w:sz w:val="20"/>
                <w:szCs w:val="20"/>
                <w:color w:val="auto"/>
              </w:rPr>
            </w:pPr>
            <w:r>
              <w:rPr>
                <w:rFonts w:ascii="Arial" w:cs="Arial" w:eastAsia="Arial" w:hAnsi="Arial"/>
                <w:sz w:val="10"/>
                <w:szCs w:val="10"/>
                <w:color w:val="auto"/>
                <w:w w:val="81"/>
              </w:rPr>
              <w:t>(2)</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110,919</w:t>
            </w:r>
          </w:p>
        </w:tc>
      </w:tr>
      <w:tr>
        <w:trPr>
          <w:trHeight w:val="212"/>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RSU</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83,500</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(1)</w:t>
            </w:r>
          </w:p>
        </w:tc>
        <w:tc>
          <w:tcPr>
            <w:tcW w:w="720" w:type="dxa"/>
            <w:vAlign w:val="bottom"/>
          </w:tcPr>
          <w:p>
            <w:pPr>
              <w:jc w:val="right"/>
              <w:spacing w:after="0"/>
              <w:rPr>
                <w:sz w:val="20"/>
                <w:szCs w:val="20"/>
                <w:color w:val="auto"/>
              </w:rPr>
            </w:pPr>
            <w:r>
              <w:rPr>
                <w:rFonts w:ascii="Arial" w:cs="Arial" w:eastAsia="Arial" w:hAnsi="Arial"/>
                <w:sz w:val="16"/>
                <w:szCs w:val="16"/>
                <w:color w:val="auto"/>
              </w:rPr>
              <w:t>251,335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88265</wp:posOffset>
                </wp:positionV>
                <wp:extent cx="154178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6.95pt" to="121.65pt,6.95pt" o:allowincell="f" strokecolor="#000000" strokeweight="1.02pt"/>
            </w:pict>
          </mc:Fallback>
        </mc:AlternateContent>
      </w:r>
    </w:p>
    <w:p>
      <w:pPr>
        <w:spacing w:after="0" w:line="162" w:lineRule="exact"/>
        <w:rPr>
          <w:sz w:val="20"/>
          <w:szCs w:val="20"/>
          <w:color w:val="auto"/>
        </w:rPr>
      </w:pPr>
    </w:p>
    <w:p>
      <w:pPr>
        <w:jc w:val="both"/>
        <w:ind w:left="460" w:hanging="453"/>
        <w:spacing w:after="0" w:line="259" w:lineRule="auto"/>
        <w:tabs>
          <w:tab w:leader="none" w:pos="4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Of the unvested stock options and RSUs, one-fourth vested on February 3, 2026 and the remainder will vest in three equal installments on February 3, 2027, February 3, 2028 and February 3, 2029, subject to the officer’s continued service through each applicable vesting date.</w:t>
      </w:r>
    </w:p>
    <w:p>
      <w:pPr>
        <w:spacing w:after="0" w:line="146" w:lineRule="exact"/>
        <w:rPr>
          <w:rFonts w:ascii="Arial" w:cs="Arial" w:eastAsia="Arial" w:hAnsi="Arial"/>
          <w:sz w:val="20"/>
          <w:szCs w:val="20"/>
          <w:color w:val="auto"/>
        </w:rPr>
      </w:pPr>
    </w:p>
    <w:p>
      <w:pPr>
        <w:ind w:left="460" w:hanging="453"/>
        <w:spacing w:after="0" w:line="33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total shares underlying this RSU award, 33% vested on January 2, 2025, 33% vested on January 2, 2026 and the remainder will vest on January 2, 2027, subject to the officer’s continued service through the vesting date.</w:t>
      </w:r>
    </w:p>
    <w:p>
      <w:pPr>
        <w:spacing w:after="0" w:line="120" w:lineRule="exact"/>
        <w:rPr>
          <w:rFonts w:ascii="Arial" w:cs="Arial" w:eastAsia="Arial" w:hAnsi="Arial"/>
          <w:sz w:val="18"/>
          <w:szCs w:val="18"/>
          <w:color w:val="auto"/>
        </w:rPr>
      </w:pPr>
    </w:p>
    <w:p>
      <w:pPr>
        <w:ind w:left="460" w:hanging="453"/>
        <w:spacing w:after="0" w:line="278" w:lineRule="auto"/>
        <w:tabs>
          <w:tab w:leader="none" w:pos="4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These unvested stock options and RSUs will vest on March 1, 2026, subject to the officer’s continued service through the vesting date.</w:t>
      </w:r>
    </w:p>
    <w:p>
      <w:pPr>
        <w:spacing w:after="0" w:line="166" w:lineRule="exact"/>
        <w:rPr>
          <w:rFonts w:ascii="Arial" w:cs="Arial" w:eastAsia="Arial" w:hAnsi="Arial"/>
          <w:sz w:val="20"/>
          <w:szCs w:val="20"/>
          <w:color w:val="auto"/>
        </w:rPr>
      </w:pPr>
    </w:p>
    <w:p>
      <w:pPr>
        <w:ind w:left="460" w:hanging="453"/>
        <w:spacing w:after="0" w:line="278" w:lineRule="auto"/>
        <w:tabs>
          <w:tab w:leader="none" w:pos="4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Of the unvested stock options and RSUs, 50% vested on January 1, 2026 and the remainder will vest on January 1, 2027, subject to the officer’s continued service through the vesting date.</w:t>
      </w:r>
    </w:p>
    <w:p>
      <w:pPr>
        <w:spacing w:after="0" w:line="127" w:lineRule="exact"/>
        <w:rPr>
          <w:rFonts w:ascii="Arial" w:cs="Arial" w:eastAsia="Arial" w:hAnsi="Arial"/>
          <w:sz w:val="20"/>
          <w:szCs w:val="20"/>
          <w:color w:val="auto"/>
        </w:rPr>
      </w:pPr>
    </w:p>
    <w:p>
      <w:pPr>
        <w:jc w:val="both"/>
        <w:ind w:left="460" w:hanging="453"/>
        <w:spacing w:after="0" w:line="301"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total shares underlying this stock option award and RSU award, one-fourth vested on February 1, 2025, one-fourth vested on February 1, 2026 and the remainder will vest in two equal installments on February 1, 2027 and February 1, 2028, subject to the officer’s continued service through each applicable vesting date.</w:t>
      </w:r>
    </w:p>
    <w:p>
      <w:pPr>
        <w:spacing w:after="0" w:line="111" w:lineRule="exact"/>
        <w:rPr>
          <w:rFonts w:ascii="Arial" w:cs="Arial" w:eastAsia="Arial" w:hAnsi="Arial"/>
          <w:sz w:val="18"/>
          <w:szCs w:val="18"/>
          <w:color w:val="auto"/>
        </w:rPr>
      </w:pPr>
    </w:p>
    <w:p>
      <w:pPr>
        <w:ind w:left="460" w:hanging="453"/>
        <w:spacing w:after="0"/>
        <w:tabs>
          <w:tab w:leader="none" w:pos="4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These unvested stock options and RSUs vested on February 1, 2026.</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880" w:h="15480" w:orient="portrait"/>
          <w:cols w:equalWidth="0" w:num="1">
            <w:col w:w="9720"/>
          </w:cols>
          <w:pgMar w:left="1080" w:top="1173" w:right="1080" w:bottom="0" w:gutter="0" w:footer="0" w:header="0"/>
          <w:type w:val="continuous"/>
        </w:sectPr>
      </w:pPr>
    </w:p>
    <w:bookmarkStart w:id="120" w:name="page121"/>
    <w:bookmarkEnd w:id="120"/>
    <w:p>
      <w:pPr>
        <w:ind w:left="460" w:hanging="453"/>
        <w:spacing w:after="0" w:line="278" w:lineRule="auto"/>
        <w:tabs>
          <w:tab w:leader="none" w:pos="4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Of the unvested stock options and RSUs, 50% vested on February 1, 2026 and the remainder will vest on February 1, 2027, subject to the officer’s continued service through the vesting date.</w:t>
      </w:r>
    </w:p>
    <w:p>
      <w:pPr>
        <w:spacing w:after="0" w:line="127" w:lineRule="exact"/>
        <w:rPr>
          <w:rFonts w:ascii="Arial" w:cs="Arial" w:eastAsia="Arial" w:hAnsi="Arial"/>
          <w:sz w:val="20"/>
          <w:szCs w:val="20"/>
          <w:color w:val="auto"/>
        </w:rPr>
      </w:pPr>
    </w:p>
    <w:p>
      <w:pPr>
        <w:ind w:left="460" w:hanging="453"/>
        <w:spacing w:after="0"/>
        <w:tabs>
          <w:tab w:leader="none" w:pos="4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the closing price of our common stock of $3.01 per share on December 31, 2025.</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Narrative Disclosure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Payments upon Termination of Employment or upon Change in Control</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Employment Agreements</w:t>
      </w:r>
    </w:p>
    <w:p>
      <w:pPr>
        <w:spacing w:after="0" w:line="228" w:lineRule="exact"/>
        <w:rPr>
          <w:sz w:val="20"/>
          <w:szCs w:val="20"/>
          <w:color w:val="auto"/>
        </w:rPr>
      </w:pPr>
    </w:p>
    <w:p>
      <w:pPr>
        <w:jc w:val="both"/>
        <w:ind w:left="40" w:right="60" w:firstLine="680"/>
        <w:spacing w:after="0" w:line="259" w:lineRule="auto"/>
        <w:rPr>
          <w:sz w:val="20"/>
          <w:szCs w:val="20"/>
          <w:color w:val="auto"/>
        </w:rPr>
      </w:pPr>
      <w:r>
        <w:rPr>
          <w:rFonts w:ascii="Arial" w:cs="Arial" w:eastAsia="Arial" w:hAnsi="Arial"/>
          <w:sz w:val="20"/>
          <w:szCs w:val="20"/>
          <w:color w:val="auto"/>
        </w:rPr>
        <w:t>We have entered into employment agreements with each of Dr. Walker, Mr. Balthaser and Mr. Loerop. Under the employment agreements, each of them is eligible to receive severance benefits in the specified circumstances, as applicable.</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Severance Upon Qualifying Termination Unrelated to a Change of Control</w:t>
      </w:r>
    </w:p>
    <w:p>
      <w:pPr>
        <w:spacing w:after="0" w:line="237" w:lineRule="exact"/>
        <w:rPr>
          <w:sz w:val="20"/>
          <w:szCs w:val="20"/>
          <w:color w:val="auto"/>
        </w:rPr>
      </w:pPr>
    </w:p>
    <w:p>
      <w:pPr>
        <w:jc w:val="both"/>
        <w:ind w:firstLine="720"/>
        <w:spacing w:after="0" w:line="249" w:lineRule="auto"/>
        <w:rPr>
          <w:sz w:val="20"/>
          <w:szCs w:val="20"/>
          <w:color w:val="auto"/>
        </w:rPr>
      </w:pPr>
      <w:r>
        <w:rPr>
          <w:rFonts w:ascii="Arial" w:cs="Arial" w:eastAsia="Arial" w:hAnsi="Arial"/>
          <w:sz w:val="20"/>
          <w:szCs w:val="20"/>
          <w:color w:val="auto"/>
        </w:rPr>
        <w:t>Each employment agreement provides for payments in the event the executive’s employment is terminated due to death or “Disability”, in the event we terminate the executive’s employment without “Cause,” if the executive resigns for “Good Reason” (each as defined below), or if the executive’s employment is terminated upon non-renewal of the agreement by the Company, provided that the executive executes and does not revoke a release of claims (each, a “Qualifying Termination”).</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In the event of a Qualifying Termination, each executive would receive the following severance benefits:</w:t>
      </w:r>
    </w:p>
    <w:p>
      <w:pPr>
        <w:spacing w:after="0" w:line="265" w:lineRule="exact"/>
        <w:rPr>
          <w:sz w:val="20"/>
          <w:szCs w:val="20"/>
          <w:color w:val="auto"/>
        </w:rPr>
      </w:pPr>
    </w:p>
    <w:p>
      <w:pPr>
        <w:ind w:left="1080" w:hanging="352"/>
        <w:spacing w:after="0" w:line="278" w:lineRule="auto"/>
        <w:tabs>
          <w:tab w:leader="none" w:pos="10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continued payment of then-current base salary for a period of 12 months following termination, in each case payable in accordance with our normal payroll practices;</w:t>
      </w:r>
    </w:p>
    <w:p>
      <w:pPr>
        <w:spacing w:after="0" w:line="181" w:lineRule="exact"/>
        <w:rPr>
          <w:rFonts w:ascii="Arial" w:cs="Arial" w:eastAsia="Arial" w:hAnsi="Arial"/>
          <w:sz w:val="20"/>
          <w:szCs w:val="20"/>
          <w:color w:val="auto"/>
        </w:rPr>
      </w:pPr>
    </w:p>
    <w:p>
      <w:pPr>
        <w:jc w:val="both"/>
        <w:ind w:left="1080" w:hanging="352"/>
        <w:spacing w:after="0" w:line="279" w:lineRule="auto"/>
        <w:tabs>
          <w:tab w:leader="none" w:pos="10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 lump-sum payment of any approved but unpaid bonuses or portion thereof for the preceding year or the year of termination for Mr. Balthaser and Mr. Loerop, and payment of any bonuses for the preceding year for which he remains employed through the last day of such year for Dr. Walker; and</w:t>
      </w:r>
    </w:p>
    <w:p>
      <w:pPr>
        <w:spacing w:after="0" w:line="182" w:lineRule="exact"/>
        <w:rPr>
          <w:rFonts w:ascii="Arial" w:cs="Arial" w:eastAsia="Arial" w:hAnsi="Arial"/>
          <w:sz w:val="19"/>
          <w:szCs w:val="19"/>
          <w:color w:val="auto"/>
        </w:rPr>
      </w:pPr>
    </w:p>
    <w:p>
      <w:pPr>
        <w:jc w:val="both"/>
        <w:ind w:left="1080" w:hanging="352"/>
        <w:spacing w:after="0" w:line="259" w:lineRule="auto"/>
        <w:tabs>
          <w:tab w:leader="none" w:pos="10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direct payment by the Company to the applicable healthcare provider of the Company’s portion of the medical, vision and dental coverage premiums to maintain any COBRA coverage for which he is eligible and has appropriately elected for a period of 12 months following termination.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20"/>
          <w:szCs w:val="20"/>
          <w:i w:val="1"/>
          <w:iCs w:val="1"/>
          <w:color w:val="auto"/>
        </w:rPr>
        <w:t>Severance Upon Qualifying Termination Related to a Change of Control</w:t>
      </w:r>
    </w:p>
    <w:p>
      <w:pPr>
        <w:spacing w:after="0" w:line="23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In the event of a Qualifying Termination (other than if the executive’s employment is terminated upon non-renewal by the Company) on or within three months prior to, or within 12 months following, a “Change of Control” (as defined below), each executive would receive the following severance benefits:</w:t>
      </w:r>
    </w:p>
    <w:p>
      <w:pPr>
        <w:spacing w:after="0" w:line="203" w:lineRule="exact"/>
        <w:rPr>
          <w:sz w:val="20"/>
          <w:szCs w:val="20"/>
          <w:color w:val="auto"/>
        </w:rPr>
      </w:pPr>
    </w:p>
    <w:p>
      <w:pPr>
        <w:jc w:val="both"/>
        <w:ind w:left="1080" w:hanging="352"/>
        <w:spacing w:after="0" w:line="258" w:lineRule="auto"/>
        <w:tabs>
          <w:tab w:leader="none" w:pos="10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continued payment of the then-current base salary for a period of 18 months following termination for Dr. Walker and for a period of 12 months following termination for each of the other NEOs, payable in accordance with our normal payroll practices;</w:t>
      </w:r>
    </w:p>
    <w:p>
      <w:pPr>
        <w:spacing w:after="0" w:line="202" w:lineRule="exact"/>
        <w:rPr>
          <w:rFonts w:ascii="Arial" w:cs="Arial" w:eastAsia="Arial" w:hAnsi="Arial"/>
          <w:sz w:val="20"/>
          <w:szCs w:val="20"/>
          <w:color w:val="auto"/>
        </w:rPr>
      </w:pPr>
    </w:p>
    <w:p>
      <w:pPr>
        <w:jc w:val="both"/>
        <w:ind w:left="1080" w:hanging="352"/>
        <w:spacing w:after="0" w:line="278" w:lineRule="auto"/>
        <w:tabs>
          <w:tab w:leader="none" w:pos="10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lump-sum payment of any approved but unpaid bonuses or portion thereof for the preceding year or the year of termination for Mr. Balthaser and Mr. Loerop, and payment of any bonuses for the preceding year for which he remains employed through the last day of such year for Dr. Walker;</w:t>
      </w:r>
    </w:p>
    <w:p>
      <w:pPr>
        <w:spacing w:after="0" w:line="185" w:lineRule="exact"/>
        <w:rPr>
          <w:rFonts w:ascii="Arial" w:cs="Arial" w:eastAsia="Arial" w:hAnsi="Arial"/>
          <w:sz w:val="19"/>
          <w:szCs w:val="19"/>
          <w:color w:val="auto"/>
        </w:rPr>
      </w:pPr>
    </w:p>
    <w:p>
      <w:pPr>
        <w:ind w:left="1080" w:hanging="352"/>
        <w:spacing w:after="0" w:line="278" w:lineRule="auto"/>
        <w:tabs>
          <w:tab w:leader="none" w:pos="10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 additional lump sum payment equal to 150% of the target bonus for Dr. Walker and 100% of the target bonus for each of the other NEOs;</w:t>
      </w:r>
    </w:p>
    <w:p>
      <w:pPr>
        <w:spacing w:after="0" w:line="181" w:lineRule="exact"/>
        <w:rPr>
          <w:rFonts w:ascii="Arial" w:cs="Arial" w:eastAsia="Arial" w:hAnsi="Arial"/>
          <w:sz w:val="20"/>
          <w:szCs w:val="20"/>
          <w:color w:val="auto"/>
        </w:rPr>
      </w:pPr>
    </w:p>
    <w:p>
      <w:pPr>
        <w:jc w:val="both"/>
        <w:ind w:left="1080" w:hanging="352"/>
        <w:spacing w:after="0" w:line="33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direct payment by the Company to the applicable healthcare provider of the Company’s portion of the medical, vision and dental coverage premiums to maintain any COBRA coverage for which he is eligible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880" w:h="15480" w:orient="portrait"/>
          <w:cols w:equalWidth="0" w:num="1">
            <w:col w:w="9720"/>
          </w:cols>
          <w:pgMar w:left="1080" w:top="1177" w:right="1080" w:bottom="0" w:gutter="0" w:footer="0" w:header="0"/>
          <w:type w:val="continuous"/>
        </w:sectPr>
      </w:pPr>
    </w:p>
    <w:bookmarkStart w:id="121" w:name="page122"/>
    <w:bookmarkEnd w:id="121"/>
    <w:p>
      <w:pPr>
        <w:ind w:left="720"/>
        <w:spacing w:after="0" w:line="278" w:lineRule="auto"/>
        <w:rPr>
          <w:sz w:val="20"/>
          <w:szCs w:val="20"/>
          <w:color w:val="auto"/>
        </w:rPr>
      </w:pPr>
      <w:r>
        <w:rPr>
          <w:rFonts w:ascii="Arial" w:cs="Arial" w:eastAsia="Arial" w:hAnsi="Arial"/>
          <w:sz w:val="20"/>
          <w:szCs w:val="20"/>
          <w:color w:val="auto"/>
        </w:rPr>
        <w:t>and has appropriately elected for a period of 18 months following termination for Dr. Walker and for a period of 12 months following termination for each of the other NEOs; and</w:t>
      </w:r>
    </w:p>
    <w:p>
      <w:pPr>
        <w:spacing w:after="0" w:line="181" w:lineRule="exact"/>
        <w:rPr>
          <w:sz w:val="20"/>
          <w:szCs w:val="20"/>
          <w:color w:val="auto"/>
        </w:rPr>
      </w:pPr>
    </w:p>
    <w:p>
      <w:pPr>
        <w:jc w:val="both"/>
        <w:ind w:left="720" w:hanging="353"/>
        <w:spacing w:after="0" w:line="276"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termination occurs on or within three months prior to the Change of Control, all of his unvested stock options and other equity awards outstanding on the effective date of termination would become fully vested on the effective date of the Change of Control, or if the termination occurs within 12 months following the effective date of the Change of Control (provided that any surviving corporation or acquiring corporation assumes his stock options or other equity awards, as applicable, or substitutes similar stock options or equity awards for his stock options or equity awards, as applicable, in accordance with the terms of the applicable equity incentive plans), all unvested stock options and other equity awards outstanding on the effective date of termination would become fully vested on the date of termination.</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Definitions</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With respect to each of our NEOs, the following definitions were adopted in their employment agreements:</w:t>
      </w:r>
    </w:p>
    <w:p>
      <w:pPr>
        <w:spacing w:after="0" w:line="277" w:lineRule="exact"/>
        <w:rPr>
          <w:sz w:val="20"/>
          <w:szCs w:val="20"/>
          <w:color w:val="auto"/>
        </w:rPr>
      </w:pPr>
    </w:p>
    <w:p>
      <w:pPr>
        <w:jc w:val="both"/>
        <w:ind w:left="720" w:hanging="352"/>
        <w:spacing w:after="0" w:line="284"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“Cause” means: (i) his conviction of, or guilty plea to, a felony, other than traffic violations; (ii) any act or omission by him which constitutes gross negligence or a material breach of his duty of loyalty; (iii) any material breach by him of our personnel policies; (iv) refusal to follow or implement a clear and reasonable directive; (v) breach of fiduciary duty; or (vi) a material violation or breach by him of his employment agreement, other than an event described in the foregoing clauses, or any other agreement with us;</w:t>
      </w:r>
    </w:p>
    <w:p>
      <w:pPr>
        <w:spacing w:after="0" w:line="179" w:lineRule="exact"/>
        <w:rPr>
          <w:rFonts w:ascii="Arial" w:cs="Arial" w:eastAsia="Arial" w:hAnsi="Arial"/>
          <w:sz w:val="18"/>
          <w:szCs w:val="18"/>
          <w:color w:val="auto"/>
        </w:rPr>
      </w:pPr>
    </w:p>
    <w:p>
      <w:pPr>
        <w:jc w:val="both"/>
        <w:ind w:left="720" w:hanging="352"/>
        <w:spacing w:after="0" w:line="275"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“Good Reason” means, in the absence of events that would support a termination for cause: (i) there is a material failure by us or our successor to pay his salary or additional compensation or benefits in accordance with the employment agreement; (ii) his annual base salary is materially decreased without his prior written consent; (iii) he is assigned duties materially inconsistent with his title and the responsibilities set forth in his job description without his prior written consent; (iv) his place of employment is changed to a location that is greater than 50 miles from his current place of employment (disregarding for this purpose any remote work arrangements); or (v) any other material violation or breach by us of his employment agreement; provided, however, none of the above events will constitute good reason absent him providing us with proper notice and our failure to cure such event within 30 days of such notice; and</w:t>
      </w:r>
    </w:p>
    <w:p>
      <w:pPr>
        <w:spacing w:after="0" w:line="190" w:lineRule="exact"/>
        <w:rPr>
          <w:rFonts w:ascii="Arial" w:cs="Arial" w:eastAsia="Arial" w:hAnsi="Arial"/>
          <w:sz w:val="18"/>
          <w:szCs w:val="18"/>
          <w:color w:val="auto"/>
        </w:rPr>
      </w:pPr>
    </w:p>
    <w:p>
      <w:pPr>
        <w:jc w:val="both"/>
        <w:ind w:left="720" w:hanging="352"/>
        <w:spacing w:after="0" w:line="271"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of Control” means: (i) our consolidation or merger with or into any other corporation or other entity or person, or any other corporate reorganization, in which our stockholders immediately prior to such consolidation, merger or reorganization own, in the aggregate, less than 50% of the surviving entity’s voting power or outstanding capital stock immediately after such consolidation, merger or reorganization, or any transaction or series of related transactions to which we, or any of our stockholders is a party in which greater than 50% of our voting power or outstanding capital stock is transferred, or pursuant to which any person or group of affiliated persons obtains greater than 50% of our voting power or outstanding capital stock, excluding any consolidation or merger effected exclusively to change our domicile; or (ii) any sale, license or other disposition, including through a division or spin-off transaction, of all or substantially all of our assets or any of our subsidiaries’ assets or any sale, exclusive license or other disposition of all or substantially all of our intellectual property; provided, however that neither of the following constitutes a change of control: (A) transfers of capital stock by an existing stockholder as a result of death or otherwise for estate planning purposes or to such stockholder’s affiliates or to any of our other existing stockholders; or (B) issuances of our equity securities in connection with financings for working capital and other general corporate purposes; and, provided further, that such “Change of Control” qualifies as either a change in ownership of the Company as defined in Section 409A of the Code (“Section 409A”) or a change in the ownership of a substantial portion of our assets as defined in Section 409A, as the case may be.</w:t>
      </w:r>
    </w:p>
    <w:p>
      <w:pPr>
        <w:sectPr>
          <w:pgSz w:w="11880" w:h="15480" w:orient="portrait"/>
          <w:cols w:equalWidth="0" w:num="1">
            <w:col w:w="9360"/>
          </w:cols>
          <w:pgMar w:left="144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120</w:t>
      </w:r>
    </w:p>
    <w:p>
      <w:pPr>
        <w:sectPr>
          <w:pgSz w:w="11880" w:h="15480" w:orient="portrait"/>
          <w:cols w:equalWidth="0" w:num="1">
            <w:col w:w="9360"/>
          </w:cols>
          <w:pgMar w:left="1440" w:top="1177" w:right="108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b w:val="1"/>
          <w:bCs w:val="1"/>
          <w:i w:val="1"/>
          <w:iCs w:val="1"/>
          <w:color w:val="auto"/>
        </w:rPr>
        <w:t>Benefits</w:t>
      </w:r>
    </w:p>
    <w:p>
      <w:pPr>
        <w:spacing w:after="0" w:line="240"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We maintain a tax-qualified retirement plan (our 401(k) plan) that provides eligible U.S. employees with an opportunity to save for retirement on a tax advantaged basis, up to limits prescribed by applicable law. Currently, we match each eligible employee’s contributions up to 4% of total eligible compensation. Employees are immediately and fully vested in their contributions and our matching contribution.</w:t>
      </w:r>
    </w:p>
    <w:p>
      <w:pPr>
        <w:spacing w:after="0" w:line="193"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Our NEOs are eligible to participate in all benefit plans offered to our employees, including our medical, dental, vision, group life and disability insurance plans. Our NEOs accrue more vacation time each pay period than other employees. We do not otherwise provide perquisites or personal benefits to our NEOs.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w:t>
      </w:r>
    </w:p>
    <w:p>
      <w:pPr>
        <w:spacing w:after="0" w:line="243"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Under our non-employee director compensation policy, we pay each of our non-employee directors a cash retainer for service on the Board and for service on each committee of which the director is a member. The policy applies to each of our directors who is not an employee of our company.</w:t>
      </w:r>
    </w:p>
    <w:p>
      <w:pPr>
        <w:spacing w:after="0" w:line="186" w:lineRule="exact"/>
        <w:rPr>
          <w:sz w:val="20"/>
          <w:szCs w:val="20"/>
          <w:color w:val="auto"/>
        </w:rPr>
      </w:pPr>
    </w:p>
    <w:p>
      <w:pPr>
        <w:jc w:val="both"/>
        <w:ind w:firstLine="720"/>
        <w:spacing w:after="0" w:line="311" w:lineRule="auto"/>
        <w:rPr>
          <w:sz w:val="20"/>
          <w:szCs w:val="20"/>
          <w:color w:val="auto"/>
        </w:rPr>
      </w:pPr>
      <w:r>
        <w:rPr>
          <w:rFonts w:ascii="Arial" w:cs="Arial" w:eastAsia="Arial" w:hAnsi="Arial"/>
          <w:sz w:val="17"/>
          <w:szCs w:val="17"/>
          <w:color w:val="auto"/>
        </w:rPr>
        <w:t>Pursuant to the policy in effect for 2025, each non- employee director received an annual cash retainer of $40,000 for serving on our Board. The Lead Independent Director received an additional annual cash retainer of $25,000. The members of each of the Audit, Compensation and Nominating and Corporate Governance Committees received additional retainers for such service, as did the Chair of each such committee (in addition to the member retainers),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r>
      <w:tr>
        <w:trPr>
          <w:trHeight w:val="185"/>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Member</w:t>
            </w: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Chair</w:t>
            </w:r>
          </w:p>
        </w:tc>
      </w:tr>
      <w:tr>
        <w:trPr>
          <w:trHeight w:val="184"/>
        </w:trPr>
        <w:tc>
          <w:tcPr>
            <w:tcW w:w="6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Annual Service</w:t>
            </w: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Annual Service</w:t>
            </w:r>
          </w:p>
        </w:tc>
      </w:tr>
      <w:tr>
        <w:trPr>
          <w:trHeight w:val="184"/>
        </w:trPr>
        <w:tc>
          <w:tcPr>
            <w:tcW w:w="6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Retainer</w:t>
            </w:r>
          </w:p>
        </w:tc>
        <w:tc>
          <w:tcPr>
            <w:tcW w:w="2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Retainer</w:t>
            </w:r>
          </w:p>
        </w:tc>
      </w:tr>
      <w:tr>
        <w:trPr>
          <w:trHeight w:val="204"/>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Committee</w:t>
            </w:r>
          </w:p>
        </w:tc>
        <w:tc>
          <w:tcPr>
            <w:tcW w:w="280" w:type="dxa"/>
            <w:vAlign w:val="bottom"/>
            <w:tcBorders>
              <w:bottom w:val="single" w:sz="8" w:color="E5E5E5"/>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60" w:type="dxa"/>
            <w:vAlign w:val="bottom"/>
            <w:tcBorders>
              <w:bottom w:val="single" w:sz="8" w:color="E5E5E5"/>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20"/>
        </w:trPr>
        <w:tc>
          <w:tcPr>
            <w:tcW w:w="662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Audit Committee</w:t>
            </w:r>
          </w:p>
        </w:tc>
        <w:tc>
          <w:tcPr>
            <w:tcW w:w="156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7,500</w:t>
            </w:r>
          </w:p>
        </w:tc>
        <w:tc>
          <w:tcPr>
            <w:tcW w:w="154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12,500</w:t>
            </w:r>
          </w:p>
        </w:tc>
      </w:tr>
      <w:tr>
        <w:trPr>
          <w:trHeight w:val="229"/>
        </w:trPr>
        <w:tc>
          <w:tcPr>
            <w:tcW w:w="6620" w:type="dxa"/>
            <w:vAlign w:val="bottom"/>
          </w:tcPr>
          <w:p>
            <w:pPr>
              <w:spacing w:after="0"/>
              <w:rPr>
                <w:sz w:val="20"/>
                <w:szCs w:val="20"/>
                <w:color w:val="auto"/>
              </w:rPr>
            </w:pPr>
            <w:r>
              <w:rPr>
                <w:rFonts w:ascii="Arial" w:cs="Arial" w:eastAsia="Arial" w:hAnsi="Arial"/>
                <w:sz w:val="20"/>
                <w:szCs w:val="20"/>
                <w:color w:val="auto"/>
              </w:rPr>
              <w:t>Compensation Committee</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7,500</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12,500</w:t>
            </w:r>
          </w:p>
        </w:tc>
      </w:tr>
      <w:tr>
        <w:trPr>
          <w:trHeight w:val="230"/>
        </w:trPr>
        <w:tc>
          <w:tcPr>
            <w:tcW w:w="6620" w:type="dxa"/>
            <w:vAlign w:val="bottom"/>
            <w:shd w:val="clear" w:color="auto" w:fill="E5E5E5"/>
          </w:tcPr>
          <w:p>
            <w:pPr>
              <w:spacing w:after="0"/>
              <w:rPr>
                <w:sz w:val="20"/>
                <w:szCs w:val="20"/>
                <w:color w:val="auto"/>
              </w:rPr>
            </w:pPr>
            <w:r>
              <w:rPr>
                <w:rFonts w:ascii="Arial" w:cs="Arial" w:eastAsia="Arial" w:hAnsi="Arial"/>
                <w:sz w:val="20"/>
                <w:szCs w:val="20"/>
                <w:color w:val="auto"/>
              </w:rPr>
              <w:t>Nominating and Corporate Governance Committee</w:t>
            </w:r>
          </w:p>
        </w:tc>
        <w:tc>
          <w:tcPr>
            <w:tcW w:w="15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4,500</w:t>
            </w:r>
          </w:p>
        </w:tc>
        <w:tc>
          <w:tcPr>
            <w:tcW w:w="154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4,500</w:t>
            </w:r>
          </w:p>
        </w:tc>
      </w:tr>
    </w:tbl>
    <w:p>
      <w:pPr>
        <w:spacing w:after="0" w:line="210" w:lineRule="exact"/>
        <w:rPr>
          <w:sz w:val="20"/>
          <w:szCs w:val="20"/>
          <w:color w:val="auto"/>
        </w:rPr>
      </w:pPr>
    </w:p>
    <w:p>
      <w:pPr>
        <w:jc w:val="both"/>
        <w:ind w:right="20" w:firstLine="720"/>
        <w:spacing w:after="0" w:line="336" w:lineRule="auto"/>
        <w:rPr>
          <w:sz w:val="20"/>
          <w:szCs w:val="20"/>
          <w:color w:val="auto"/>
        </w:rPr>
      </w:pPr>
      <w:r>
        <w:rPr>
          <w:rFonts w:ascii="Arial" w:cs="Arial" w:eastAsia="Arial" w:hAnsi="Arial"/>
          <w:sz w:val="18"/>
          <w:szCs w:val="18"/>
          <w:color w:val="auto"/>
        </w:rPr>
        <w:t>All annual cash compensation amounts were payable in equal quarterly installments in arrears, on the last day of each fiscal quarter for which the service occurred, prorated based on the days served in the applicable fiscal quarter.</w:t>
      </w:r>
    </w:p>
    <w:p>
      <w:pPr>
        <w:spacing w:after="0" w:line="121"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We also reimbursed our non-employee directors for reasonable travel and out-of-pocket expenses incurred in connection with attending our Board and committee meetings.</w:t>
      </w:r>
    </w:p>
    <w:p>
      <w:pPr>
        <w:spacing w:after="0" w:line="16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9"/>
          <w:szCs w:val="19"/>
          <w:color w:val="auto"/>
        </w:rPr>
        <w:t>Each new non-employee director who joins our Board will be granted awards under our 2025 Plan with an aggregate grant date fair value (as calculated for financial reporting purposes) equal to the lesser of (a) $640,000 or (b) the fair value of 121,000 stock options measured as of the date the director joins the Board. Once the aggregate fair value of the new director award has been determined, the new director will be granted a stock option having a grant date fair value equal to 70% of such amount and RSUs having a grant date fair value equal to 30% of such amount. The shares subject to each stock option granted will vest in 36 equal monthly installments on the monthly anniversary of the grant date and the RSUs will vest in three equal installments on the first, second and third anniversary of the grant date, subject to continued service through the applicable vesting date. The exercise price per share of each stock option will be equal to the closing price of our common stock on the date of the option grant. Each such stock option will have a term of ten years from the date of grant, subject to earlier termination in connection with a termination of the non-employee director’s continuous service with us.</w:t>
      </w:r>
    </w:p>
    <w:p>
      <w:pPr>
        <w:spacing w:after="0" w:line="187" w:lineRule="exact"/>
        <w:rPr>
          <w:sz w:val="20"/>
          <w:szCs w:val="20"/>
          <w:color w:val="auto"/>
        </w:rPr>
      </w:pPr>
    </w:p>
    <w:p>
      <w:pPr>
        <w:jc w:val="both"/>
        <w:ind w:firstLine="720"/>
        <w:spacing w:after="0" w:line="294" w:lineRule="auto"/>
        <w:rPr>
          <w:sz w:val="20"/>
          <w:szCs w:val="20"/>
          <w:color w:val="auto"/>
        </w:rPr>
      </w:pPr>
      <w:r>
        <w:rPr>
          <w:rFonts w:ascii="Arial" w:cs="Arial" w:eastAsia="Arial" w:hAnsi="Arial"/>
          <w:sz w:val="17"/>
          <w:szCs w:val="17"/>
          <w:color w:val="auto"/>
        </w:rPr>
        <w:t>On the date of each annual meeting of our stockholders, each non-employee director who continues to serve as a director of our company following the meeting will be granted awards under our 2025 Plan with an aggregate grant date fair value (as calculated for financial reporting purposes) equal to the lesser of (a) $320,000 or (b) the fair value of 60,500 stock options measured as of the annual meeting date. Once the aggregate fair value of the continuing director award has been determined, the continuing director will be granted a stock option having a grant date fair value equal to 70% of such amount and RSUs having a grant date fair value equal to 30% of such amount. The shares subject to each stock option granted will vest in equal monthly installments over 12 months and the RSUs will vest in one installment on the first anniversary of the grant date, subject to continued service through the applicable vesting date. The exercise price per share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880" w:h="15480" w:orient="portrait"/>
          <w:cols w:equalWidth="0" w:num="1">
            <w:col w:w="9720"/>
          </w:cols>
          <w:pgMar w:left="1080" w:top="1177" w:right="1080" w:bottom="0" w:gutter="0" w:footer="0" w:header="0"/>
          <w:type w:val="continuous"/>
        </w:sectPr>
      </w:pPr>
    </w:p>
    <w:bookmarkStart w:id="123" w:name="page124"/>
    <w:bookmarkEnd w:id="123"/>
    <w:p>
      <w:pPr>
        <w:jc w:val="both"/>
        <w:spacing w:after="0" w:line="258" w:lineRule="auto"/>
        <w:rPr>
          <w:sz w:val="20"/>
          <w:szCs w:val="20"/>
          <w:color w:val="auto"/>
        </w:rPr>
      </w:pPr>
      <w:r>
        <w:rPr>
          <w:rFonts w:ascii="Arial" w:cs="Arial" w:eastAsia="Arial" w:hAnsi="Arial"/>
          <w:sz w:val="20"/>
          <w:szCs w:val="20"/>
          <w:color w:val="auto"/>
        </w:rPr>
        <w:t>of each stock option will be equal to the closing price of our common stock on the date of the option grant. Each such stock option will have a term of ten years from the date of grant, subject to earlier termination in connection with a termination of the non-employee director’s continuous service with us.</w:t>
      </w:r>
    </w:p>
    <w:p>
      <w:pPr>
        <w:spacing w:after="0" w:line="179" w:lineRule="exact"/>
        <w:rPr>
          <w:sz w:val="20"/>
          <w:szCs w:val="20"/>
          <w:color w:val="auto"/>
        </w:rPr>
      </w:pPr>
    </w:p>
    <w:p>
      <w:pPr>
        <w:jc w:val="both"/>
        <w:ind w:firstLine="720"/>
        <w:spacing w:after="0" w:line="304" w:lineRule="auto"/>
        <w:rPr>
          <w:sz w:val="20"/>
          <w:szCs w:val="20"/>
          <w:color w:val="auto"/>
        </w:rPr>
      </w:pPr>
      <w:r>
        <w:rPr>
          <w:rFonts w:ascii="Arial" w:cs="Arial" w:eastAsia="Arial" w:hAnsi="Arial"/>
          <w:sz w:val="19"/>
          <w:szCs w:val="19"/>
          <w:color w:val="auto"/>
        </w:rPr>
        <w:t>The sum of any cash or other compensation and the value (based on the grant date fair value) of awards granted to any non-employee director for services as a director during any fiscal year may not exceed $750,000.</w:t>
      </w:r>
    </w:p>
    <w:p>
      <w:pPr>
        <w:spacing w:after="0" w:line="137" w:lineRule="exact"/>
        <w:rPr>
          <w:sz w:val="20"/>
          <w:szCs w:val="20"/>
          <w:color w:val="auto"/>
        </w:rPr>
      </w:pPr>
    </w:p>
    <w:p>
      <w:pPr>
        <w:jc w:val="both"/>
        <w:ind w:firstLine="720"/>
        <w:spacing w:after="0" w:line="258" w:lineRule="auto"/>
        <w:rPr>
          <w:sz w:val="20"/>
          <w:szCs w:val="20"/>
          <w:color w:val="auto"/>
        </w:rPr>
      </w:pPr>
      <w:r>
        <w:rPr>
          <w:rFonts w:ascii="Arial" w:cs="Arial" w:eastAsia="Arial" w:hAnsi="Arial"/>
          <w:sz w:val="20"/>
          <w:szCs w:val="20"/>
          <w:color w:val="auto"/>
        </w:rPr>
        <w:t>On June 5, 2025, the date of our 2025 annual meeting of stockholders, each non-employee director then serving on our Board was granted a stock option to purchase 42,350 shares of common stock and 11,580 RSUs under our 2025 Plan. These awards are reflected in the table below.</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 Table</w:t>
      </w:r>
    </w:p>
    <w:p>
      <w:pPr>
        <w:spacing w:after="0" w:line="235"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0"/>
          <w:szCs w:val="20"/>
          <w:color w:val="auto"/>
        </w:rPr>
        <w:t>The following table shows the compensation earned by each of our non-employee directors for 2025. Each of Dr. Walker, our Chief Executive Officer, and Dr. Davis, our President and Chief Operating Officer, is also a director but did not receive any additional compensation for his service as a director in 2025. Dr. Walker’s compensation as an executive officer is set forth above under “Summary Compensation Table.”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Fees Earned or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4"/>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Paid in Cash</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Stock Awards</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Option Awards</w:t>
            </w:r>
          </w:p>
        </w:tc>
        <w:tc>
          <w:tcPr>
            <w:tcW w:w="260" w:type="dxa"/>
            <w:vAlign w:val="bottom"/>
          </w:tcPr>
          <w:p>
            <w:pPr>
              <w:spacing w:after="0"/>
              <w:rPr>
                <w:sz w:val="15"/>
                <w:szCs w:val="15"/>
                <w:color w:val="auto"/>
              </w:rPr>
            </w:pPr>
          </w:p>
        </w:tc>
        <w:tc>
          <w:tcPr>
            <w:tcW w:w="920" w:type="dxa"/>
            <w:vAlign w:val="bottom"/>
          </w:tcPr>
          <w:p>
            <w:pPr>
              <w:jc w:val="right"/>
              <w:ind w:right="200"/>
              <w:spacing w:after="0"/>
              <w:rPr>
                <w:sz w:val="20"/>
                <w:szCs w:val="20"/>
                <w:color w:val="auto"/>
              </w:rPr>
            </w:pPr>
            <w:r>
              <w:rPr>
                <w:rFonts w:ascii="Arial" w:cs="Arial" w:eastAsia="Arial" w:hAnsi="Arial"/>
                <w:sz w:val="16"/>
                <w:szCs w:val="16"/>
                <w:b w:val="1"/>
                <w:bCs w:val="1"/>
                <w:color w:val="auto"/>
              </w:rPr>
              <w:t>Total</w:t>
            </w:r>
          </w:p>
        </w:tc>
      </w:tr>
      <w:tr>
        <w:trPr>
          <w:trHeight w:val="204"/>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Borders>
              <w:bottom w:val="single" w:sz="8" w:color="E5E5E5"/>
            </w:tcBorders>
          </w:tcPr>
          <w:p>
            <w:pPr>
              <w:spacing w:after="0"/>
              <w:rPr>
                <w:sz w:val="17"/>
                <w:szCs w:val="17"/>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5E5E5"/>
            </w:tcBorders>
          </w:tcPr>
          <w:p>
            <w:pPr>
              <w:spacing w:after="0"/>
              <w:rPr>
                <w:sz w:val="17"/>
                <w:szCs w:val="17"/>
                <w:color w:val="auto"/>
              </w:rPr>
            </w:pPr>
          </w:p>
        </w:tc>
        <w:tc>
          <w:tcPr>
            <w:tcW w:w="960" w:type="dxa"/>
            <w:vAlign w:val="bottom"/>
            <w:tcBorders>
              <w:bottom w:val="single" w:sz="8" w:color="auto"/>
            </w:tcBorders>
          </w:tcPr>
          <w:p>
            <w:pPr>
              <w:jc w:val="right"/>
              <w:ind w:right="158"/>
              <w:spacing w:after="0" w:line="204"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(1)(2)(3)</w:t>
            </w:r>
          </w:p>
        </w:tc>
        <w:tc>
          <w:tcPr>
            <w:tcW w:w="180" w:type="dxa"/>
            <w:vAlign w:val="bottom"/>
            <w:tcBorders>
              <w:bottom w:val="single" w:sz="8" w:color="E5E5E5"/>
            </w:tcBorders>
          </w:tcPr>
          <w:p>
            <w:pPr>
              <w:spacing w:after="0"/>
              <w:rPr>
                <w:sz w:val="17"/>
                <w:szCs w:val="17"/>
                <w:color w:val="auto"/>
              </w:rPr>
            </w:pPr>
          </w:p>
        </w:tc>
        <w:tc>
          <w:tcPr>
            <w:tcW w:w="1060" w:type="dxa"/>
            <w:vAlign w:val="bottom"/>
            <w:tcBorders>
              <w:bottom w:val="single" w:sz="8" w:color="auto"/>
            </w:tcBorders>
          </w:tcPr>
          <w:p>
            <w:pPr>
              <w:jc w:val="right"/>
              <w:ind w:right="218"/>
              <w:spacing w:after="0" w:line="204"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(1)(2)(4)</w:t>
            </w:r>
          </w:p>
        </w:tc>
        <w:tc>
          <w:tcPr>
            <w:tcW w:w="260" w:type="dxa"/>
            <w:vAlign w:val="bottom"/>
            <w:tcBorders>
              <w:bottom w:val="single" w:sz="8" w:color="E5E5E5"/>
            </w:tcBorders>
          </w:tcPr>
          <w:p>
            <w:pPr>
              <w:spacing w:after="0"/>
              <w:rPr>
                <w:sz w:val="17"/>
                <w:szCs w:val="17"/>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w:t>
            </w:r>
          </w:p>
        </w:tc>
      </w:tr>
      <w:tr>
        <w:trPr>
          <w:trHeight w:val="220"/>
        </w:trPr>
        <w:tc>
          <w:tcPr>
            <w:tcW w:w="484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William Humphries</w:t>
            </w:r>
          </w:p>
        </w:tc>
        <w:tc>
          <w:tcPr>
            <w:tcW w:w="1240" w:type="dxa"/>
            <w:vAlign w:val="bottom"/>
            <w:gridSpan w:val="2"/>
            <w:shd w:val="clear" w:color="auto" w:fill="E5E5E5"/>
          </w:tcPr>
          <w:p>
            <w:pPr>
              <w:ind w:left="640"/>
              <w:spacing w:after="0" w:line="220" w:lineRule="exact"/>
              <w:rPr>
                <w:sz w:val="20"/>
                <w:szCs w:val="20"/>
                <w:color w:val="auto"/>
              </w:rPr>
            </w:pPr>
            <w:r>
              <w:rPr>
                <w:rFonts w:ascii="Arial" w:cs="Arial" w:eastAsia="Arial" w:hAnsi="Arial"/>
                <w:sz w:val="20"/>
                <w:szCs w:val="20"/>
                <w:color w:val="auto"/>
                <w:w w:val="94"/>
              </w:rPr>
              <w:t>52,000</w:t>
            </w:r>
          </w:p>
        </w:tc>
        <w:tc>
          <w:tcPr>
            <w:tcW w:w="1140" w:type="dxa"/>
            <w:vAlign w:val="bottom"/>
            <w:gridSpan w:val="2"/>
            <w:shd w:val="clear" w:color="auto" w:fill="E5E5E5"/>
          </w:tcPr>
          <w:p>
            <w:pPr>
              <w:jc w:val="right"/>
              <w:ind w:right="18"/>
              <w:spacing w:after="0" w:line="220" w:lineRule="exact"/>
              <w:rPr>
                <w:sz w:val="20"/>
                <w:szCs w:val="20"/>
                <w:color w:val="auto"/>
              </w:rPr>
            </w:pPr>
            <w:r>
              <w:rPr>
                <w:rFonts w:ascii="Arial" w:cs="Arial" w:eastAsia="Arial" w:hAnsi="Arial"/>
                <w:sz w:val="20"/>
                <w:szCs w:val="20"/>
                <w:color w:val="auto"/>
              </w:rPr>
              <w:t>18,065</w:t>
            </w:r>
          </w:p>
        </w:tc>
        <w:tc>
          <w:tcPr>
            <w:tcW w:w="1240" w:type="dxa"/>
            <w:vAlign w:val="bottom"/>
            <w:gridSpan w:val="2"/>
            <w:shd w:val="clear" w:color="auto" w:fill="E5E5E5"/>
          </w:tcPr>
          <w:p>
            <w:pPr>
              <w:jc w:val="right"/>
              <w:ind w:right="18"/>
              <w:spacing w:after="0" w:line="220" w:lineRule="exact"/>
              <w:rPr>
                <w:sz w:val="20"/>
                <w:szCs w:val="20"/>
                <w:color w:val="auto"/>
              </w:rPr>
            </w:pPr>
            <w:r>
              <w:rPr>
                <w:rFonts w:ascii="Arial" w:cs="Arial" w:eastAsia="Arial" w:hAnsi="Arial"/>
                <w:sz w:val="20"/>
                <w:szCs w:val="20"/>
                <w:color w:val="auto"/>
              </w:rPr>
              <w:t>42,422</w:t>
            </w:r>
          </w:p>
        </w:tc>
        <w:tc>
          <w:tcPr>
            <w:tcW w:w="118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112,486</w:t>
            </w:r>
          </w:p>
        </w:tc>
      </w:tr>
      <w:tr>
        <w:trPr>
          <w:trHeight w:val="229"/>
        </w:trPr>
        <w:tc>
          <w:tcPr>
            <w:tcW w:w="4840" w:type="dxa"/>
            <w:vAlign w:val="bottom"/>
          </w:tcPr>
          <w:p>
            <w:pPr>
              <w:spacing w:after="0"/>
              <w:rPr>
                <w:sz w:val="20"/>
                <w:szCs w:val="20"/>
                <w:color w:val="auto"/>
              </w:rPr>
            </w:pPr>
            <w:r>
              <w:rPr>
                <w:rFonts w:ascii="Arial" w:cs="Arial" w:eastAsia="Arial" w:hAnsi="Arial"/>
                <w:sz w:val="20"/>
                <w:szCs w:val="20"/>
                <w:color w:val="auto"/>
              </w:rPr>
              <w:t>Anand Mehra, M.D.</w:t>
            </w:r>
          </w:p>
        </w:tc>
        <w:tc>
          <w:tcPr>
            <w:tcW w:w="1240" w:type="dxa"/>
            <w:vAlign w:val="bottom"/>
            <w:gridSpan w:val="2"/>
          </w:tcPr>
          <w:p>
            <w:pPr>
              <w:ind w:left="640"/>
              <w:spacing w:after="0"/>
              <w:rPr>
                <w:sz w:val="20"/>
                <w:szCs w:val="20"/>
                <w:color w:val="auto"/>
              </w:rPr>
            </w:pPr>
            <w:r>
              <w:rPr>
                <w:rFonts w:ascii="Arial" w:cs="Arial" w:eastAsia="Arial" w:hAnsi="Arial"/>
                <w:sz w:val="20"/>
                <w:szCs w:val="20"/>
                <w:color w:val="auto"/>
                <w:w w:val="94"/>
              </w:rPr>
              <w:t>60,000</w:t>
            </w:r>
          </w:p>
        </w:tc>
        <w:tc>
          <w:tcPr>
            <w:tcW w:w="1140" w:type="dxa"/>
            <w:vAlign w:val="bottom"/>
            <w:gridSpan w:val="2"/>
          </w:tcPr>
          <w:p>
            <w:pPr>
              <w:jc w:val="right"/>
              <w:ind w:right="18"/>
              <w:spacing w:after="0"/>
              <w:rPr>
                <w:sz w:val="20"/>
                <w:szCs w:val="20"/>
                <w:color w:val="auto"/>
              </w:rPr>
            </w:pPr>
            <w:r>
              <w:rPr>
                <w:rFonts w:ascii="Arial" w:cs="Arial" w:eastAsia="Arial" w:hAnsi="Arial"/>
                <w:sz w:val="20"/>
                <w:szCs w:val="20"/>
                <w:color w:val="auto"/>
              </w:rPr>
              <w:t>18,065</w:t>
            </w:r>
          </w:p>
        </w:tc>
        <w:tc>
          <w:tcPr>
            <w:tcW w:w="1240" w:type="dxa"/>
            <w:vAlign w:val="bottom"/>
            <w:gridSpan w:val="2"/>
          </w:tcPr>
          <w:p>
            <w:pPr>
              <w:jc w:val="right"/>
              <w:ind w:right="18"/>
              <w:spacing w:after="0"/>
              <w:rPr>
                <w:sz w:val="20"/>
                <w:szCs w:val="20"/>
                <w:color w:val="auto"/>
              </w:rPr>
            </w:pPr>
            <w:r>
              <w:rPr>
                <w:rFonts w:ascii="Arial" w:cs="Arial" w:eastAsia="Arial" w:hAnsi="Arial"/>
                <w:sz w:val="20"/>
                <w:szCs w:val="20"/>
                <w:color w:val="auto"/>
              </w:rPr>
              <w:t>42,422</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120,486</w:t>
            </w:r>
          </w:p>
        </w:tc>
      </w:tr>
      <w:tr>
        <w:trPr>
          <w:trHeight w:val="230"/>
        </w:trPr>
        <w:tc>
          <w:tcPr>
            <w:tcW w:w="4840" w:type="dxa"/>
            <w:vAlign w:val="bottom"/>
            <w:shd w:val="clear" w:color="auto" w:fill="E5E5E5"/>
          </w:tcPr>
          <w:p>
            <w:pPr>
              <w:spacing w:after="0"/>
              <w:rPr>
                <w:sz w:val="20"/>
                <w:szCs w:val="20"/>
                <w:color w:val="auto"/>
              </w:rPr>
            </w:pPr>
            <w:r>
              <w:rPr>
                <w:rFonts w:ascii="Arial" w:cs="Arial" w:eastAsia="Arial" w:hAnsi="Arial"/>
                <w:sz w:val="20"/>
                <w:szCs w:val="20"/>
                <w:color w:val="auto"/>
              </w:rPr>
              <w:t>Christopher Molineaux</w:t>
            </w:r>
          </w:p>
        </w:tc>
        <w:tc>
          <w:tcPr>
            <w:tcW w:w="1240" w:type="dxa"/>
            <w:vAlign w:val="bottom"/>
            <w:gridSpan w:val="2"/>
            <w:shd w:val="clear" w:color="auto" w:fill="E5E5E5"/>
          </w:tcPr>
          <w:p>
            <w:pPr>
              <w:ind w:left="640"/>
              <w:spacing w:after="0"/>
              <w:rPr>
                <w:sz w:val="20"/>
                <w:szCs w:val="20"/>
                <w:color w:val="auto"/>
              </w:rPr>
            </w:pPr>
            <w:r>
              <w:rPr>
                <w:rFonts w:ascii="Arial" w:cs="Arial" w:eastAsia="Arial" w:hAnsi="Arial"/>
                <w:sz w:val="20"/>
                <w:szCs w:val="20"/>
                <w:color w:val="auto"/>
                <w:w w:val="94"/>
              </w:rPr>
              <w:t>81,500</w:t>
            </w:r>
          </w:p>
        </w:tc>
        <w:tc>
          <w:tcPr>
            <w:tcW w:w="1140" w:type="dxa"/>
            <w:vAlign w:val="bottom"/>
            <w:gridSpan w:val="2"/>
            <w:shd w:val="clear" w:color="auto" w:fill="E5E5E5"/>
          </w:tcPr>
          <w:p>
            <w:pPr>
              <w:jc w:val="right"/>
              <w:ind w:right="18"/>
              <w:spacing w:after="0"/>
              <w:rPr>
                <w:sz w:val="20"/>
                <w:szCs w:val="20"/>
                <w:color w:val="auto"/>
              </w:rPr>
            </w:pPr>
            <w:r>
              <w:rPr>
                <w:rFonts w:ascii="Arial" w:cs="Arial" w:eastAsia="Arial" w:hAnsi="Arial"/>
                <w:sz w:val="20"/>
                <w:szCs w:val="20"/>
                <w:color w:val="auto"/>
              </w:rPr>
              <w:t>18,065</w:t>
            </w:r>
          </w:p>
        </w:tc>
        <w:tc>
          <w:tcPr>
            <w:tcW w:w="1240" w:type="dxa"/>
            <w:vAlign w:val="bottom"/>
            <w:gridSpan w:val="2"/>
            <w:shd w:val="clear" w:color="auto" w:fill="E5E5E5"/>
          </w:tcPr>
          <w:p>
            <w:pPr>
              <w:jc w:val="right"/>
              <w:ind w:right="18"/>
              <w:spacing w:after="0"/>
              <w:rPr>
                <w:sz w:val="20"/>
                <w:szCs w:val="20"/>
                <w:color w:val="auto"/>
              </w:rPr>
            </w:pPr>
            <w:r>
              <w:rPr>
                <w:rFonts w:ascii="Arial" w:cs="Arial" w:eastAsia="Arial" w:hAnsi="Arial"/>
                <w:sz w:val="20"/>
                <w:szCs w:val="20"/>
                <w:color w:val="auto"/>
              </w:rPr>
              <w:t>42,422</w:t>
            </w:r>
          </w:p>
        </w:tc>
        <w:tc>
          <w:tcPr>
            <w:tcW w:w="118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141,986</w:t>
            </w:r>
          </w:p>
        </w:tc>
      </w:tr>
      <w:tr>
        <w:trPr>
          <w:trHeight w:val="230"/>
        </w:trPr>
        <w:tc>
          <w:tcPr>
            <w:tcW w:w="4840" w:type="dxa"/>
            <w:vAlign w:val="bottom"/>
          </w:tcPr>
          <w:p>
            <w:pPr>
              <w:spacing w:after="0"/>
              <w:rPr>
                <w:sz w:val="20"/>
                <w:szCs w:val="20"/>
                <w:color w:val="auto"/>
              </w:rPr>
            </w:pPr>
            <w:r>
              <w:rPr>
                <w:rFonts w:ascii="Arial" w:cs="Arial" w:eastAsia="Arial" w:hAnsi="Arial"/>
                <w:sz w:val="20"/>
                <w:szCs w:val="20"/>
                <w:color w:val="auto"/>
              </w:rPr>
              <w:t>Andrew Schiff, M.D.</w:t>
            </w:r>
          </w:p>
        </w:tc>
        <w:tc>
          <w:tcPr>
            <w:tcW w:w="1240" w:type="dxa"/>
            <w:vAlign w:val="bottom"/>
            <w:gridSpan w:val="2"/>
          </w:tcPr>
          <w:p>
            <w:pPr>
              <w:ind w:left="640"/>
              <w:spacing w:after="0"/>
              <w:rPr>
                <w:sz w:val="20"/>
                <w:szCs w:val="20"/>
                <w:color w:val="auto"/>
              </w:rPr>
            </w:pPr>
            <w:r>
              <w:rPr>
                <w:rFonts w:ascii="Arial" w:cs="Arial" w:eastAsia="Arial" w:hAnsi="Arial"/>
                <w:sz w:val="20"/>
                <w:szCs w:val="20"/>
                <w:color w:val="auto"/>
                <w:w w:val="94"/>
              </w:rPr>
              <w:t>40,000</w:t>
            </w:r>
          </w:p>
        </w:tc>
        <w:tc>
          <w:tcPr>
            <w:tcW w:w="1140" w:type="dxa"/>
            <w:vAlign w:val="bottom"/>
            <w:gridSpan w:val="2"/>
          </w:tcPr>
          <w:p>
            <w:pPr>
              <w:jc w:val="right"/>
              <w:ind w:right="18"/>
              <w:spacing w:after="0"/>
              <w:rPr>
                <w:sz w:val="20"/>
                <w:szCs w:val="20"/>
                <w:color w:val="auto"/>
              </w:rPr>
            </w:pPr>
            <w:r>
              <w:rPr>
                <w:rFonts w:ascii="Arial" w:cs="Arial" w:eastAsia="Arial" w:hAnsi="Arial"/>
                <w:sz w:val="20"/>
                <w:szCs w:val="20"/>
                <w:color w:val="auto"/>
              </w:rPr>
              <w:t>18,065</w:t>
            </w:r>
          </w:p>
        </w:tc>
        <w:tc>
          <w:tcPr>
            <w:tcW w:w="1240" w:type="dxa"/>
            <w:vAlign w:val="bottom"/>
            <w:gridSpan w:val="2"/>
          </w:tcPr>
          <w:p>
            <w:pPr>
              <w:jc w:val="right"/>
              <w:ind w:right="18"/>
              <w:spacing w:after="0"/>
              <w:rPr>
                <w:sz w:val="20"/>
                <w:szCs w:val="20"/>
                <w:color w:val="auto"/>
              </w:rPr>
            </w:pPr>
            <w:r>
              <w:rPr>
                <w:rFonts w:ascii="Arial" w:cs="Arial" w:eastAsia="Arial" w:hAnsi="Arial"/>
                <w:sz w:val="20"/>
                <w:szCs w:val="20"/>
                <w:color w:val="auto"/>
              </w:rPr>
              <w:t>42,422</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100,486</w:t>
            </w:r>
          </w:p>
        </w:tc>
      </w:tr>
      <w:tr>
        <w:trPr>
          <w:trHeight w:val="229"/>
        </w:trPr>
        <w:tc>
          <w:tcPr>
            <w:tcW w:w="4840" w:type="dxa"/>
            <w:vAlign w:val="bottom"/>
            <w:shd w:val="clear" w:color="auto" w:fill="E5E5E5"/>
          </w:tcPr>
          <w:p>
            <w:pPr>
              <w:spacing w:after="0"/>
              <w:rPr>
                <w:sz w:val="20"/>
                <w:szCs w:val="20"/>
                <w:color w:val="auto"/>
              </w:rPr>
            </w:pPr>
            <w:r>
              <w:rPr>
                <w:rFonts w:ascii="Arial" w:cs="Arial" w:eastAsia="Arial" w:hAnsi="Arial"/>
                <w:sz w:val="20"/>
                <w:szCs w:val="20"/>
                <w:color w:val="auto"/>
              </w:rPr>
              <w:t>Maxine Gowen, Ph.D.</w:t>
            </w:r>
          </w:p>
        </w:tc>
        <w:tc>
          <w:tcPr>
            <w:tcW w:w="1240" w:type="dxa"/>
            <w:vAlign w:val="bottom"/>
            <w:gridSpan w:val="2"/>
            <w:shd w:val="clear" w:color="auto" w:fill="E5E5E5"/>
          </w:tcPr>
          <w:p>
            <w:pPr>
              <w:ind w:left="640"/>
              <w:spacing w:after="0"/>
              <w:rPr>
                <w:sz w:val="20"/>
                <w:szCs w:val="20"/>
                <w:color w:val="auto"/>
              </w:rPr>
            </w:pPr>
            <w:r>
              <w:rPr>
                <w:rFonts w:ascii="Arial" w:cs="Arial" w:eastAsia="Arial" w:hAnsi="Arial"/>
                <w:sz w:val="20"/>
                <w:szCs w:val="20"/>
                <w:color w:val="auto"/>
                <w:w w:val="94"/>
              </w:rPr>
              <w:t>47,500</w:t>
            </w:r>
          </w:p>
        </w:tc>
        <w:tc>
          <w:tcPr>
            <w:tcW w:w="1140" w:type="dxa"/>
            <w:vAlign w:val="bottom"/>
            <w:gridSpan w:val="2"/>
            <w:shd w:val="clear" w:color="auto" w:fill="E5E5E5"/>
          </w:tcPr>
          <w:p>
            <w:pPr>
              <w:jc w:val="right"/>
              <w:ind w:right="18"/>
              <w:spacing w:after="0"/>
              <w:rPr>
                <w:sz w:val="20"/>
                <w:szCs w:val="20"/>
                <w:color w:val="auto"/>
              </w:rPr>
            </w:pPr>
            <w:r>
              <w:rPr>
                <w:rFonts w:ascii="Arial" w:cs="Arial" w:eastAsia="Arial" w:hAnsi="Arial"/>
                <w:sz w:val="20"/>
                <w:szCs w:val="20"/>
                <w:color w:val="auto"/>
              </w:rPr>
              <w:t>18,065</w:t>
            </w:r>
          </w:p>
        </w:tc>
        <w:tc>
          <w:tcPr>
            <w:tcW w:w="1240" w:type="dxa"/>
            <w:vAlign w:val="bottom"/>
            <w:gridSpan w:val="2"/>
            <w:shd w:val="clear" w:color="auto" w:fill="E5E5E5"/>
          </w:tcPr>
          <w:p>
            <w:pPr>
              <w:jc w:val="right"/>
              <w:ind w:right="18"/>
              <w:spacing w:after="0"/>
              <w:rPr>
                <w:sz w:val="20"/>
                <w:szCs w:val="20"/>
                <w:color w:val="auto"/>
              </w:rPr>
            </w:pPr>
            <w:r>
              <w:rPr>
                <w:rFonts w:ascii="Arial" w:cs="Arial" w:eastAsia="Arial" w:hAnsi="Arial"/>
                <w:sz w:val="20"/>
                <w:szCs w:val="20"/>
                <w:color w:val="auto"/>
              </w:rPr>
              <w:t>42,422</w:t>
            </w:r>
          </w:p>
        </w:tc>
        <w:tc>
          <w:tcPr>
            <w:tcW w:w="118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107,986</w:t>
            </w:r>
          </w:p>
        </w:tc>
      </w:tr>
      <w:tr>
        <w:trPr>
          <w:trHeight w:val="267"/>
        </w:trPr>
        <w:tc>
          <w:tcPr>
            <w:tcW w:w="4840" w:type="dxa"/>
            <w:vAlign w:val="bottom"/>
          </w:tcPr>
          <w:p>
            <w:pPr>
              <w:spacing w:after="0"/>
              <w:rPr>
                <w:sz w:val="20"/>
                <w:szCs w:val="20"/>
                <w:color w:val="auto"/>
              </w:rPr>
            </w:pPr>
            <w:r>
              <w:rPr>
                <w:rFonts w:ascii="Arial" w:cs="Arial" w:eastAsia="Arial" w:hAnsi="Arial"/>
                <w:sz w:val="20"/>
                <w:szCs w:val="20"/>
                <w:color w:val="auto"/>
              </w:rPr>
              <w:t>Vincent Milano</w:t>
            </w:r>
          </w:p>
        </w:tc>
        <w:tc>
          <w:tcPr>
            <w:tcW w:w="1240" w:type="dxa"/>
            <w:vAlign w:val="bottom"/>
            <w:gridSpan w:val="2"/>
          </w:tcPr>
          <w:p>
            <w:pPr>
              <w:ind w:left="640"/>
              <w:spacing w:after="0"/>
              <w:rPr>
                <w:sz w:val="20"/>
                <w:szCs w:val="20"/>
                <w:color w:val="auto"/>
              </w:rPr>
            </w:pPr>
            <w:r>
              <w:rPr>
                <w:rFonts w:ascii="Arial" w:cs="Arial" w:eastAsia="Arial" w:hAnsi="Arial"/>
                <w:sz w:val="20"/>
                <w:szCs w:val="20"/>
                <w:color w:val="auto"/>
                <w:w w:val="94"/>
              </w:rPr>
              <w:t>60,000</w:t>
            </w:r>
          </w:p>
        </w:tc>
        <w:tc>
          <w:tcPr>
            <w:tcW w:w="1140" w:type="dxa"/>
            <w:vAlign w:val="bottom"/>
            <w:gridSpan w:val="2"/>
          </w:tcPr>
          <w:p>
            <w:pPr>
              <w:jc w:val="right"/>
              <w:ind w:right="18"/>
              <w:spacing w:after="0"/>
              <w:rPr>
                <w:sz w:val="20"/>
                <w:szCs w:val="20"/>
                <w:color w:val="auto"/>
              </w:rPr>
            </w:pPr>
            <w:r>
              <w:rPr>
                <w:rFonts w:ascii="Arial" w:cs="Arial" w:eastAsia="Arial" w:hAnsi="Arial"/>
                <w:sz w:val="20"/>
                <w:szCs w:val="20"/>
                <w:color w:val="auto"/>
              </w:rPr>
              <w:t>18,065</w:t>
            </w:r>
          </w:p>
        </w:tc>
        <w:tc>
          <w:tcPr>
            <w:tcW w:w="1240" w:type="dxa"/>
            <w:vAlign w:val="bottom"/>
            <w:gridSpan w:val="2"/>
          </w:tcPr>
          <w:p>
            <w:pPr>
              <w:jc w:val="right"/>
              <w:ind w:right="18"/>
              <w:spacing w:after="0"/>
              <w:rPr>
                <w:sz w:val="20"/>
                <w:szCs w:val="20"/>
                <w:color w:val="auto"/>
              </w:rPr>
            </w:pPr>
            <w:r>
              <w:rPr>
                <w:rFonts w:ascii="Arial" w:cs="Arial" w:eastAsia="Arial" w:hAnsi="Arial"/>
                <w:sz w:val="20"/>
                <w:szCs w:val="20"/>
                <w:color w:val="auto"/>
              </w:rPr>
              <w:t>42,422</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120,486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83820</wp:posOffset>
                </wp:positionV>
                <wp:extent cx="154178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6.6pt" to="121.65pt,6.6pt" o:allowincell="f" strokecolor="#000000" strokeweight="1.02pt"/>
            </w:pict>
          </mc:Fallback>
        </mc:AlternateContent>
      </w:r>
    </w:p>
    <w:p>
      <w:pPr>
        <w:spacing w:after="0" w:line="154" w:lineRule="exact"/>
        <w:rPr>
          <w:sz w:val="20"/>
          <w:szCs w:val="20"/>
          <w:color w:val="auto"/>
        </w:rPr>
      </w:pPr>
    </w:p>
    <w:p>
      <w:pPr>
        <w:jc w:val="both"/>
        <w:ind w:left="360" w:hanging="353"/>
        <w:spacing w:after="0" w:line="253" w:lineRule="auto"/>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Reflects the aggregate grant date fair value for awards granted for the fiscal year ended December 31, 2025 calculated in accordance with FASB ASC Topic 718. For a discussion of valuation assumptions, see “Item 8—Notes to Consolidated Financial Statements—Note 6.” Our directors will not realize the estimated value of these awards until the awards are vested, exercised and/or sold, as applicable.</w:t>
      </w:r>
    </w:p>
    <w:p>
      <w:pPr>
        <w:spacing w:after="0" w:line="190" w:lineRule="exact"/>
        <w:rPr>
          <w:rFonts w:ascii="Arial" w:cs="Arial" w:eastAsia="Arial" w:hAnsi="Arial"/>
          <w:sz w:val="20"/>
          <w:szCs w:val="20"/>
          <w:color w:val="auto"/>
        </w:rPr>
      </w:pPr>
    </w:p>
    <w:p>
      <w:pPr>
        <w:jc w:val="both"/>
        <w:ind w:left="360" w:hanging="353"/>
        <w:spacing w:after="0" w:line="270" w:lineRule="auto"/>
        <w:tabs>
          <w:tab w:leader="none" w:pos="3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As of December 31, 2025, our non-employee directors held the following number of stock options and RSUs: Mr. Humphries, 123,175 stock options and 11,580 RSUs; Dr. Mehra, 105,175 stock options and 11,580 RSUs; Mr. Molineaux, 106,066 stock options and 11,580 RSUs; Dr. Schiff, 121,175 stock options and 11,580 RSUs; Dr. Gowen, 113,175 stock options and 11,580 RSUs; and Mr. Milano, 119,175 stock options and 11,580 RSUs.</w:t>
      </w:r>
    </w:p>
    <w:p>
      <w:pPr>
        <w:spacing w:after="0" w:line="177" w:lineRule="exact"/>
        <w:rPr>
          <w:rFonts w:ascii="Arial" w:cs="Arial" w:eastAsia="Arial" w:hAnsi="Arial"/>
          <w:sz w:val="19"/>
          <w:szCs w:val="19"/>
          <w:color w:val="auto"/>
        </w:rPr>
      </w:pPr>
    </w:p>
    <w:p>
      <w:pPr>
        <w:ind w:left="360" w:hanging="353"/>
        <w:spacing w:after="0" w:line="278" w:lineRule="auto"/>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Consists of 11,580 RSUs granted on June 5, 2025. The RSUs will vest on June 5, 2026, subject to continuous service with us through that date.</w:t>
      </w:r>
    </w:p>
    <w:p>
      <w:pPr>
        <w:spacing w:after="0" w:line="166" w:lineRule="exact"/>
        <w:rPr>
          <w:rFonts w:ascii="Arial" w:cs="Arial" w:eastAsia="Arial" w:hAnsi="Arial"/>
          <w:sz w:val="20"/>
          <w:szCs w:val="20"/>
          <w:color w:val="auto"/>
        </w:rPr>
      </w:pPr>
    </w:p>
    <w:p>
      <w:pPr>
        <w:jc w:val="both"/>
        <w:ind w:left="360" w:hanging="353"/>
        <w:spacing w:after="0" w:line="258" w:lineRule="auto"/>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Consists of an option granted on June 5, 2025 to purchase 42,350 shares at an exercise price of $1.56 per share. This option vests in 12 equal monthly installments through June 5, 2026, subject to continuous service with us through each vesting date.</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20"/>
          <w:szCs w:val="20"/>
          <w:b w:val="1"/>
          <w:bCs w:val="1"/>
          <w:color w:val="auto"/>
        </w:rPr>
        <w:t>Policies and Practices Related to the Grant of Certain Equity Awards Close in Time to the Release of Material Nonpublic Information</w:t>
      </w:r>
    </w:p>
    <w:p>
      <w:pPr>
        <w:spacing w:after="0" w:line="154" w:lineRule="exact"/>
        <w:rPr>
          <w:sz w:val="20"/>
          <w:szCs w:val="20"/>
          <w:color w:val="auto"/>
        </w:rPr>
      </w:pPr>
    </w:p>
    <w:p>
      <w:pPr>
        <w:jc w:val="both"/>
        <w:ind w:firstLine="720"/>
        <w:spacing w:after="0" w:line="295" w:lineRule="auto"/>
        <w:rPr>
          <w:sz w:val="20"/>
          <w:szCs w:val="20"/>
          <w:color w:val="auto"/>
        </w:rPr>
      </w:pPr>
      <w:r>
        <w:rPr>
          <w:rFonts w:ascii="Arial" w:cs="Arial" w:eastAsia="Arial" w:hAnsi="Arial"/>
          <w:sz w:val="17"/>
          <w:szCs w:val="17"/>
          <w:color w:val="auto"/>
        </w:rPr>
        <w:t>From time to time, we grant equity awards, including stock options, to our employees, including our NEOs. Our typical practice is to grant employee stock options on the first business day of the month following the month in which the options are approved (or on the same day of approval if such approval is on the first business day of a month). We typically grant annual refresh employee option grants in the first quarter of each fiscal year, which refresh grants are typically approved at a regularly scheduled meeting of the Compensation Committee occurring in such quarter. In addition, non-employee directors receive automatic grants of initial and annual stock option awards, at the time of a director’s initial appointment or election to the board and at the time of each annual meeting of our stockholders, respectively, pursuant to our non-employee director compensation policy, as further described under the heading, “Non-Employee Director</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880" w:h="15480" w:orient="portrait"/>
          <w:cols w:equalWidth="0" w:num="1">
            <w:col w:w="9720"/>
          </w:cols>
          <w:pgMar w:left="1080" w:top="1177" w:right="1080" w:bottom="0" w:gutter="0" w:footer="0" w:header="0"/>
          <w:type w:val="continuous"/>
        </w:sectPr>
      </w:pPr>
    </w:p>
    <w:bookmarkStart w:id="124" w:name="page125"/>
    <w:bookmarkEnd w:id="124"/>
    <w:p>
      <w:pPr>
        <w:jc w:val="both"/>
        <w:spacing w:after="0" w:line="284" w:lineRule="auto"/>
        <w:rPr>
          <w:sz w:val="20"/>
          <w:szCs w:val="20"/>
          <w:color w:val="auto"/>
        </w:rPr>
      </w:pPr>
      <w:r>
        <w:rPr>
          <w:rFonts w:ascii="Arial" w:cs="Arial" w:eastAsia="Arial" w:hAnsi="Arial"/>
          <w:sz w:val="18"/>
          <w:szCs w:val="18"/>
          <w:color w:val="auto"/>
        </w:rPr>
        <w:t>Compensation”. We do not otherwise maintain any written policies on the timing of awards of stock options, stock appreciation rights, or similar instruments with option-like features. The Compensation Committee considers whether there is any material nonpublic information (“MNPI”) about our company when determining the timing of stock option grants and it does not seek to time the award of stock options in relation to the Company’s public disclosure of MNPI. We have not timed the release of MNPI for the purpose of affecting the value of executive compensation.</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880" w:h="15480" w:orient="portrait"/>
          <w:cols w:equalWidth="0" w:num="1">
            <w:col w:w="9720"/>
          </w:cols>
          <w:pgMar w:left="1080" w:top="1177" w:right="108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34"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8"/>
          <w:szCs w:val="18"/>
          <w:color w:val="auto"/>
        </w:rPr>
        <w:t>The following table sets forth certain information regarding the ownership of our common stock as of February 9, 2026 by: (i) each director; (ii) each of our NEOs; (iii) all currently serving executive officers and directors as a group; and (iv) all those known by us to be beneficial owners of more than five percent of our common stock.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Number of</w:t>
            </w: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Percent of</w:t>
            </w:r>
          </w:p>
        </w:tc>
      </w:tr>
      <w:tr>
        <w:trPr>
          <w:trHeight w:val="185"/>
        </w:trPr>
        <w:tc>
          <w:tcPr>
            <w:tcW w:w="7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Shares</w:t>
            </w: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r>
      <w:tr>
        <w:trPr>
          <w:trHeight w:val="185"/>
        </w:trPr>
        <w:tc>
          <w:tcPr>
            <w:tcW w:w="7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Beneficially</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Beneficially</w:t>
            </w:r>
          </w:p>
        </w:tc>
      </w:tr>
      <w:tr>
        <w:trPr>
          <w:trHeight w:val="204"/>
        </w:trPr>
        <w:tc>
          <w:tcPr>
            <w:tcW w:w="7380" w:type="dxa"/>
            <w:vAlign w:val="bottom"/>
          </w:tcPr>
          <w:p>
            <w:pPr>
              <w:spacing w:after="0" w:line="204" w:lineRule="exact"/>
              <w:rPr>
                <w:sz w:val="20"/>
                <w:szCs w:val="20"/>
                <w:color w:val="auto"/>
              </w:rPr>
            </w:pPr>
            <w:r>
              <w:rPr>
                <w:rFonts w:ascii="Arial" w:cs="Arial" w:eastAsia="Arial" w:hAnsi="Arial"/>
                <w:sz w:val="16"/>
                <w:szCs w:val="16"/>
                <w:b w:val="1"/>
                <w:bCs w:val="1"/>
                <w:color w:val="auto"/>
              </w:rPr>
              <w:t>Beneficial Owner</w:t>
            </w:r>
            <w:r>
              <w:rPr>
                <w:rFonts w:ascii="Arial" w:cs="Arial" w:eastAsia="Arial" w:hAnsi="Arial"/>
                <w:sz w:val="19"/>
                <w:szCs w:val="19"/>
                <w:b w:val="1"/>
                <w:bCs w:val="1"/>
                <w:color w:val="auto"/>
                <w:vertAlign w:val="superscript"/>
              </w:rPr>
              <w:t>(1)</w:t>
            </w:r>
          </w:p>
        </w:tc>
        <w:tc>
          <w:tcPr>
            <w:tcW w:w="16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Owned</w:t>
            </w: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Owned</w:t>
            </w:r>
          </w:p>
        </w:tc>
      </w:tr>
      <w:tr>
        <w:trPr>
          <w:trHeight w:val="221"/>
        </w:trPr>
        <w:tc>
          <w:tcPr>
            <w:tcW w:w="7380" w:type="dxa"/>
            <w:vAlign w:val="bottom"/>
            <w:tcBorders>
              <w:top w:val="single" w:sz="8" w:color="auto"/>
            </w:tcBorders>
            <w:shd w:val="clear" w:color="auto" w:fill="E5E5E5"/>
          </w:tcPr>
          <w:p>
            <w:pPr>
              <w:spacing w:after="0" w:line="221" w:lineRule="exact"/>
              <w:rPr>
                <w:sz w:val="20"/>
                <w:szCs w:val="20"/>
                <w:color w:val="auto"/>
              </w:rPr>
            </w:pPr>
            <w:r>
              <w:rPr>
                <w:rFonts w:ascii="Arial" w:cs="Arial" w:eastAsia="Arial" w:hAnsi="Arial"/>
                <w:sz w:val="20"/>
                <w:szCs w:val="20"/>
                <w:i w:val="1"/>
                <w:iCs w:val="1"/>
                <w:color w:val="auto"/>
              </w:rPr>
              <w:t>5% Stockholders:</w:t>
            </w:r>
          </w:p>
        </w:tc>
        <w:tc>
          <w:tcPr>
            <w:tcW w:w="160" w:type="dxa"/>
            <w:vAlign w:val="bottom"/>
            <w:tcBorders>
              <w:top w:val="single" w:sz="8" w:color="E5E5E5"/>
            </w:tcBorders>
            <w:shd w:val="clear" w:color="auto" w:fill="E5E5E5"/>
          </w:tcPr>
          <w:p>
            <w:pPr>
              <w:spacing w:after="0"/>
              <w:rPr>
                <w:sz w:val="19"/>
                <w:szCs w:val="19"/>
                <w:color w:val="auto"/>
              </w:rPr>
            </w:pPr>
          </w:p>
        </w:tc>
        <w:tc>
          <w:tcPr>
            <w:tcW w:w="1000" w:type="dxa"/>
            <w:vAlign w:val="bottom"/>
            <w:tcBorders>
              <w:top w:val="single" w:sz="8" w:color="auto"/>
            </w:tcBorders>
            <w:shd w:val="clear" w:color="auto" w:fill="E5E5E5"/>
          </w:tcPr>
          <w:p>
            <w:pPr>
              <w:spacing w:after="0"/>
              <w:rPr>
                <w:sz w:val="19"/>
                <w:szCs w:val="19"/>
                <w:color w:val="auto"/>
              </w:rPr>
            </w:pPr>
          </w:p>
        </w:tc>
        <w:tc>
          <w:tcPr>
            <w:tcW w:w="160" w:type="dxa"/>
            <w:vAlign w:val="bottom"/>
            <w:tcBorders>
              <w:top w:val="single" w:sz="8" w:color="E5E5E5"/>
            </w:tcBorders>
            <w:shd w:val="clear" w:color="auto" w:fill="E5E5E5"/>
          </w:tcPr>
          <w:p>
            <w:pPr>
              <w:spacing w:after="0"/>
              <w:rPr>
                <w:sz w:val="19"/>
                <w:szCs w:val="19"/>
                <w:color w:val="auto"/>
              </w:rPr>
            </w:pPr>
          </w:p>
        </w:tc>
        <w:tc>
          <w:tcPr>
            <w:tcW w:w="840" w:type="dxa"/>
            <w:vAlign w:val="bottom"/>
            <w:tcBorders>
              <w:top w:val="single" w:sz="8" w:color="auto"/>
            </w:tcBorders>
            <w:shd w:val="clear" w:color="auto" w:fill="E5E5E5"/>
          </w:tcPr>
          <w:p>
            <w:pPr>
              <w:spacing w:after="0"/>
              <w:rPr>
                <w:sz w:val="19"/>
                <w:szCs w:val="19"/>
                <w:color w:val="auto"/>
              </w:rPr>
            </w:pPr>
          </w:p>
        </w:tc>
        <w:tc>
          <w:tcPr>
            <w:tcW w:w="180" w:type="dxa"/>
            <w:vAlign w:val="bottom"/>
            <w:tcBorders>
              <w:top w:val="single" w:sz="8" w:color="E5E5E5"/>
            </w:tcBorders>
            <w:shd w:val="clear" w:color="auto" w:fill="E5E5E5"/>
          </w:tcPr>
          <w:p>
            <w:pPr>
              <w:spacing w:after="0"/>
              <w:rPr>
                <w:sz w:val="19"/>
                <w:szCs w:val="19"/>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BML Investment Partners, L.P.</w:t>
            </w:r>
            <w:r>
              <w:rPr>
                <w:rFonts w:ascii="Arial" w:cs="Arial" w:eastAsia="Arial" w:hAnsi="Arial"/>
                <w:sz w:val="25"/>
                <w:szCs w:val="25"/>
                <w:color w:val="auto"/>
                <w:vertAlign w:val="superscript"/>
              </w:rPr>
              <w:t>(2)</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14,250,000</w:t>
            </w:r>
          </w:p>
        </w:tc>
        <w:tc>
          <w:tcPr>
            <w:tcW w:w="1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11.8 %</w:t>
            </w: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Biosion, Inc.</w:t>
            </w:r>
            <w:r>
              <w:rPr>
                <w:rFonts w:ascii="Arial" w:cs="Arial" w:eastAsia="Arial" w:hAnsi="Arial"/>
                <w:sz w:val="25"/>
                <w:szCs w:val="25"/>
                <w:color w:val="auto"/>
                <w:vertAlign w:val="superscript"/>
              </w:rPr>
              <w:t>(3)</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11,281,950</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9.3</w:t>
            </w: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Entities associated with Vivo Capital LLC</w:t>
            </w:r>
            <w:r>
              <w:rPr>
                <w:rFonts w:ascii="Arial" w:cs="Arial" w:eastAsia="Arial" w:hAnsi="Arial"/>
                <w:sz w:val="25"/>
                <w:szCs w:val="25"/>
                <w:color w:val="auto"/>
                <w:vertAlign w:val="superscript"/>
              </w:rPr>
              <w:t>(4)</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8,888,888</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7.3</w:t>
            </w: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BlackRock, Inc.</w:t>
            </w:r>
            <w:r>
              <w:rPr>
                <w:rFonts w:ascii="Arial" w:cs="Arial" w:eastAsia="Arial" w:hAnsi="Arial"/>
                <w:sz w:val="25"/>
                <w:szCs w:val="25"/>
                <w:color w:val="auto"/>
                <w:vertAlign w:val="superscript"/>
              </w:rPr>
              <w:t>(5)</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6,700,629</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5.5</w:t>
            </w: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The Vanguard Group</w:t>
            </w:r>
            <w:r>
              <w:rPr>
                <w:rFonts w:ascii="Arial" w:cs="Arial" w:eastAsia="Arial" w:hAnsi="Arial"/>
                <w:sz w:val="25"/>
                <w:szCs w:val="25"/>
                <w:color w:val="auto"/>
                <w:vertAlign w:val="superscript"/>
              </w:rPr>
              <w:t>(6)</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6,662,063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5.5</w:t>
            </w: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20"/>
                <w:szCs w:val="20"/>
                <w:i w:val="1"/>
                <w:iCs w:val="1"/>
                <w:color w:val="auto"/>
              </w:rPr>
              <w:t>Named Executive Officers and Directors: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Neal Walker</w:t>
            </w:r>
            <w:r>
              <w:rPr>
                <w:rFonts w:ascii="Arial" w:cs="Arial" w:eastAsia="Arial" w:hAnsi="Arial"/>
                <w:sz w:val="25"/>
                <w:szCs w:val="25"/>
                <w:color w:val="auto"/>
                <w:vertAlign w:val="superscript"/>
              </w:rPr>
              <w:t>(7)</w:t>
            </w:r>
          </w:p>
        </w:tc>
        <w:tc>
          <w:tcPr>
            <w:tcW w:w="1320" w:type="dxa"/>
            <w:vAlign w:val="bottom"/>
            <w:gridSpan w:val="3"/>
            <w:shd w:val="clear" w:color="auto" w:fill="E5E5E5"/>
          </w:tcPr>
          <w:p>
            <w:pPr>
              <w:jc w:val="right"/>
              <w:ind w:right="160"/>
              <w:spacing w:after="0"/>
              <w:rPr>
                <w:sz w:val="20"/>
                <w:szCs w:val="20"/>
                <w:color w:val="auto"/>
              </w:rPr>
            </w:pPr>
            <w:r>
              <w:rPr>
                <w:rFonts w:ascii="Arial" w:cs="Arial" w:eastAsia="Arial" w:hAnsi="Arial"/>
                <w:sz w:val="20"/>
                <w:szCs w:val="20"/>
                <w:color w:val="auto"/>
              </w:rPr>
              <w:t>3,175,338</w:t>
            </w: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2.6</w:t>
            </w: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Kevin Balthaser</w:t>
            </w:r>
            <w:r>
              <w:rPr>
                <w:rFonts w:ascii="Arial" w:cs="Arial" w:eastAsia="Arial" w:hAnsi="Arial"/>
                <w:sz w:val="25"/>
                <w:szCs w:val="25"/>
                <w:color w:val="auto"/>
                <w:vertAlign w:val="superscript"/>
              </w:rPr>
              <w:t>(8)</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509,380</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James Loerop</w:t>
            </w:r>
            <w:r>
              <w:rPr>
                <w:rFonts w:ascii="Arial" w:cs="Arial" w:eastAsia="Arial" w:hAnsi="Arial"/>
                <w:sz w:val="25"/>
                <w:szCs w:val="25"/>
                <w:color w:val="auto"/>
                <w:vertAlign w:val="superscript"/>
              </w:rPr>
              <w:t>(9)</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602,335</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Hugh Davis</w:t>
            </w:r>
            <w:r>
              <w:rPr>
                <w:rFonts w:ascii="Arial" w:cs="Arial" w:eastAsia="Arial" w:hAnsi="Arial"/>
                <w:sz w:val="25"/>
                <w:szCs w:val="25"/>
                <w:color w:val="auto"/>
                <w:vertAlign w:val="superscript"/>
              </w:rPr>
              <w:t>(10)</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204,575</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 xml:space="preserve">William Humphries </w:t>
            </w:r>
            <w:r>
              <w:rPr>
                <w:rFonts w:ascii="Arial" w:cs="Arial" w:eastAsia="Arial" w:hAnsi="Arial"/>
                <w:sz w:val="25"/>
                <w:szCs w:val="25"/>
                <w:color w:val="auto"/>
                <w:vertAlign w:val="superscript"/>
              </w:rPr>
              <w:t>(11)</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170,816</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Christopher Molineaux</w:t>
            </w:r>
            <w:r>
              <w:rPr>
                <w:rFonts w:ascii="Arial" w:cs="Arial" w:eastAsia="Arial" w:hAnsi="Arial"/>
                <w:sz w:val="25"/>
                <w:szCs w:val="25"/>
                <w:color w:val="auto"/>
                <w:vertAlign w:val="superscript"/>
              </w:rPr>
              <w:t>(12)</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175,379</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Anand Mehra</w:t>
            </w:r>
            <w:r>
              <w:rPr>
                <w:rFonts w:ascii="Arial" w:cs="Arial" w:eastAsia="Arial" w:hAnsi="Arial"/>
                <w:sz w:val="25"/>
                <w:szCs w:val="25"/>
                <w:color w:val="auto"/>
                <w:vertAlign w:val="superscript"/>
              </w:rPr>
              <w:t>(13)</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834,114</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Andrew Schiff</w:t>
            </w:r>
            <w:r>
              <w:rPr>
                <w:rFonts w:ascii="Arial" w:cs="Arial" w:eastAsia="Arial" w:hAnsi="Arial"/>
                <w:sz w:val="25"/>
                <w:szCs w:val="25"/>
                <w:color w:val="auto"/>
                <w:vertAlign w:val="superscript"/>
              </w:rPr>
              <w:t>(14)</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583,706</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Maxine Gowen</w:t>
            </w:r>
            <w:r>
              <w:rPr>
                <w:rFonts w:ascii="Arial" w:cs="Arial" w:eastAsia="Arial" w:hAnsi="Arial"/>
                <w:sz w:val="25"/>
                <w:szCs w:val="25"/>
                <w:color w:val="auto"/>
                <w:vertAlign w:val="superscript"/>
              </w:rPr>
              <w:t>(15)</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149,045</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180" w:type="dxa"/>
            <w:vAlign w:val="bottom"/>
            <w:shd w:val="clear" w:color="auto" w:fill="E5E5E5"/>
          </w:tcPr>
          <w:p>
            <w:pPr>
              <w:spacing w:after="0"/>
              <w:rPr>
                <w:sz w:val="20"/>
                <w:szCs w:val="20"/>
                <w:color w:val="auto"/>
              </w:rPr>
            </w:pPr>
          </w:p>
        </w:tc>
      </w:tr>
      <w:tr>
        <w:trPr>
          <w:trHeight w:val="230"/>
        </w:trPr>
        <w:tc>
          <w:tcPr>
            <w:tcW w:w="7380" w:type="dxa"/>
            <w:vAlign w:val="bottom"/>
          </w:tcPr>
          <w:p>
            <w:pPr>
              <w:spacing w:after="0" w:line="230" w:lineRule="exact"/>
              <w:rPr>
                <w:sz w:val="20"/>
                <w:szCs w:val="20"/>
                <w:color w:val="auto"/>
              </w:rPr>
            </w:pPr>
            <w:r>
              <w:rPr>
                <w:rFonts w:ascii="Arial" w:cs="Arial" w:eastAsia="Arial" w:hAnsi="Arial"/>
                <w:sz w:val="20"/>
                <w:szCs w:val="20"/>
                <w:color w:val="auto"/>
              </w:rPr>
              <w:t>Vincent Milano</w:t>
            </w:r>
            <w:r>
              <w:rPr>
                <w:rFonts w:ascii="Arial" w:cs="Arial" w:eastAsia="Arial" w:hAnsi="Arial"/>
                <w:sz w:val="25"/>
                <w:szCs w:val="25"/>
                <w:color w:val="auto"/>
                <w:vertAlign w:val="superscript"/>
              </w:rPr>
              <w:t>(16)</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150,607</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r>
      <w:tr>
        <w:trPr>
          <w:trHeight w:val="232"/>
        </w:trPr>
        <w:tc>
          <w:tcPr>
            <w:tcW w:w="7380" w:type="dxa"/>
            <w:vAlign w:val="bottom"/>
            <w:shd w:val="clear" w:color="auto" w:fill="E5E5E5"/>
          </w:tcPr>
          <w:p>
            <w:pPr>
              <w:spacing w:after="0" w:line="232" w:lineRule="exact"/>
              <w:rPr>
                <w:sz w:val="20"/>
                <w:szCs w:val="20"/>
                <w:color w:val="auto"/>
              </w:rPr>
            </w:pPr>
            <w:r>
              <w:rPr>
                <w:rFonts w:ascii="Arial" w:cs="Arial" w:eastAsia="Arial" w:hAnsi="Arial"/>
                <w:sz w:val="20"/>
                <w:szCs w:val="20"/>
                <w:color w:val="auto"/>
              </w:rPr>
              <w:t>All current directors and executive officers as a group (12 persons)</w:t>
            </w:r>
            <w:r>
              <w:rPr>
                <w:rFonts w:ascii="Arial" w:cs="Arial" w:eastAsia="Arial" w:hAnsi="Arial"/>
                <w:sz w:val="25"/>
                <w:szCs w:val="25"/>
                <w:color w:val="auto"/>
                <w:vertAlign w:val="superscript"/>
              </w:rPr>
              <w:t>(17)</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6,555,295</w:t>
            </w:r>
          </w:p>
        </w:tc>
        <w:tc>
          <w:tcPr>
            <w:tcW w:w="160" w:type="dxa"/>
            <w:vAlign w:val="bottom"/>
            <w:shd w:val="clear" w:color="auto" w:fill="E5E5E5"/>
          </w:tcPr>
          <w:p>
            <w:pPr>
              <w:spacing w:after="0"/>
              <w:rPr>
                <w:sz w:val="20"/>
                <w:szCs w:val="20"/>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5.3</w:t>
            </w:r>
          </w:p>
        </w:tc>
        <w:tc>
          <w:tcPr>
            <w:tcW w:w="180" w:type="dxa"/>
            <w:vAlign w:val="bottom"/>
            <w:shd w:val="clear" w:color="auto" w:fill="E5E5E5"/>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w:t>
        <w:tab/>
        <w:t>Less than one percent.</w:t>
      </w:r>
    </w:p>
    <w:p>
      <w:pPr>
        <w:spacing w:after="0" w:line="240" w:lineRule="exact"/>
        <w:rPr>
          <w:sz w:val="20"/>
          <w:szCs w:val="20"/>
          <w:color w:val="auto"/>
        </w:rPr>
      </w:pPr>
    </w:p>
    <w:p>
      <w:pPr>
        <w:jc w:val="both"/>
        <w:ind w:left="360" w:hanging="353"/>
        <w:spacing w:after="0" w:line="245" w:lineRule="auto"/>
        <w:tabs>
          <w:tab w:leader="none" w:pos="3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This table is based upon information supplied by officers, directors and principal stockholders and a review of Schedule 13G, Schedule 13D and Section 16 filings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121,087,249 shares outstanding on February 9, 2026, adjusted as required by rules promulgated by the SEC. Except as otherwise noted below, the principal business address of each of the executive officers and directors is c/o Aclaris Therapeutics, Inc., 701 Lee Road, Suite 103, Wayne, Pennsylvania 19087.</w:t>
      </w:r>
    </w:p>
    <w:p>
      <w:pPr>
        <w:spacing w:after="0" w:line="201" w:lineRule="exact"/>
        <w:rPr>
          <w:rFonts w:ascii="Arial" w:cs="Arial" w:eastAsia="Arial" w:hAnsi="Arial"/>
          <w:sz w:val="20"/>
          <w:szCs w:val="20"/>
          <w:color w:val="auto"/>
        </w:rPr>
      </w:pPr>
    </w:p>
    <w:p>
      <w:pPr>
        <w:jc w:val="both"/>
        <w:ind w:left="360" w:hanging="353"/>
        <w:spacing w:after="0" w:line="249" w:lineRule="auto"/>
        <w:tabs>
          <w:tab w:leader="none" w:pos="3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This information has been obtained from a Schedule 13G/A filed on February 9, 2026 by BML Investment Partners, L.P. (“BML”). The shares reported are held by BML. Braden M. Leonard is the managing member of BML Capital Management, LLC, the sole general partner of BML, and as a result, Mr. Leonard is deemed to be the indirect beneficial owner of the shares held directly by BML. The principal business address of BML is 65 E Cedar, Suite 2, Zionsville, IN 46077.</w:t>
      </w:r>
    </w:p>
    <w:p>
      <w:pPr>
        <w:spacing w:after="0" w:line="196" w:lineRule="exact"/>
        <w:rPr>
          <w:rFonts w:ascii="Arial" w:cs="Arial" w:eastAsia="Arial" w:hAnsi="Arial"/>
          <w:sz w:val="20"/>
          <w:szCs w:val="20"/>
          <w:color w:val="auto"/>
        </w:rPr>
      </w:pPr>
    </w:p>
    <w:p>
      <w:pPr>
        <w:jc w:val="both"/>
        <w:ind w:left="360" w:hanging="353"/>
        <w:spacing w:after="0" w:line="259" w:lineRule="auto"/>
        <w:tabs>
          <w:tab w:leader="none" w:pos="3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This information has been obtained from a Schedule 13G/A filed on January 9, 2026 by Biosion, Inc. and Bonita Biotech (HK) Ltd. The principal business address of these entities is 5th Floor, Building D, 3-1 Zhongdan Unit, South Longshan Rd, Jiangbei New District, Nanjing, Jiangsu, China.</w:t>
      </w:r>
    </w:p>
    <w:p>
      <w:pPr>
        <w:spacing w:after="0" w:line="185" w:lineRule="exact"/>
        <w:rPr>
          <w:rFonts w:ascii="Arial" w:cs="Arial" w:eastAsia="Arial" w:hAnsi="Arial"/>
          <w:sz w:val="20"/>
          <w:szCs w:val="20"/>
          <w:color w:val="auto"/>
        </w:rPr>
      </w:pPr>
    </w:p>
    <w:p>
      <w:pPr>
        <w:jc w:val="both"/>
        <w:ind w:left="360" w:hanging="353"/>
        <w:spacing w:after="0" w:line="270" w:lineRule="auto"/>
        <w:tabs>
          <w:tab w:leader="none" w:pos="3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This information has been obtained from a Schedule 13G filed on November 21, 2024 by Vivo Opportunity Fund Holdings, L.P. (“Opportunity Fund”), Vivo Opportunity, LLC, Vivo Asia Opportunity Fund Holdings, L.P. (“Asia Opportunity Fund”), and Vivo Opportunity Cayman, LLC. Consists of (a) 7,955,160 shares of common stock held by Opportunity Fund and (b) 933,728 shares of common stock held by Asia Opportunity Fund. Vivo</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880" w:h="15480" w:orient="portrait"/>
          <w:cols w:equalWidth="0" w:num="1">
            <w:col w:w="9720"/>
          </w:cols>
          <w:pgMar w:left="1080" w:top="1173" w:right="1080" w:bottom="0" w:gutter="0" w:footer="0" w:header="0"/>
          <w:type w:val="continuous"/>
        </w:sectPr>
      </w:pPr>
    </w:p>
    <w:bookmarkStart w:id="126" w:name="page127"/>
    <w:bookmarkEnd w:id="126"/>
    <w:p>
      <w:pPr>
        <w:jc w:val="both"/>
        <w:ind w:left="353"/>
        <w:spacing w:after="0" w:line="266" w:lineRule="auto"/>
        <w:rPr>
          <w:sz w:val="20"/>
          <w:szCs w:val="20"/>
          <w:color w:val="auto"/>
        </w:rPr>
      </w:pPr>
      <w:r>
        <w:rPr>
          <w:rFonts w:ascii="Arial" w:cs="Arial" w:eastAsia="Arial" w:hAnsi="Arial"/>
          <w:sz w:val="19"/>
          <w:szCs w:val="19"/>
          <w:color w:val="auto"/>
        </w:rPr>
        <w:t>Opportunity, LLC is the general partner of Opportunity Fund. Vivo Opportunity Cayman, LLC is the general partner of Asia Opportunity Fund. The voting members of each of Vivo Opportunity, LLC and Vivo Opportunity Cayman, LLC are Kevin Dai, Gaurav Aggarwal, Frank Kung and Shan Fu, none of whom has individual voting or investment power with respect to the shares held by Opportunity Fund or Asia Opportunity Fund. The principal business address of these entities and persons is 192 Lytton Avenue, Palo Alto, California 94301.</w:t>
      </w:r>
    </w:p>
    <w:p>
      <w:pPr>
        <w:spacing w:after="0" w:line="179" w:lineRule="exact"/>
        <w:rPr>
          <w:sz w:val="20"/>
          <w:szCs w:val="20"/>
          <w:color w:val="auto"/>
        </w:rPr>
      </w:pPr>
    </w:p>
    <w:p>
      <w:pPr>
        <w:jc w:val="both"/>
        <w:ind w:left="353" w:hanging="353"/>
        <w:spacing w:after="0" w:line="301" w:lineRule="auto"/>
        <w:tabs>
          <w:tab w:leader="none" w:pos="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13G/A filed on January 21, 2026 by BlackRock, Inc. Various persons have the right to receive or the power to direct the receipt of dividends from, or the proceeds from the sale of these shares. The principal business address of BlackRock, Inc. is 50 Hudson Yards, New York, NY 10001.</w:t>
      </w:r>
    </w:p>
    <w:p>
      <w:pPr>
        <w:spacing w:after="0" w:line="151" w:lineRule="exact"/>
        <w:rPr>
          <w:rFonts w:ascii="Arial" w:cs="Arial" w:eastAsia="Arial" w:hAnsi="Arial"/>
          <w:sz w:val="18"/>
          <w:szCs w:val="18"/>
          <w:color w:val="auto"/>
        </w:rPr>
      </w:pPr>
    </w:p>
    <w:p>
      <w:pPr>
        <w:jc w:val="both"/>
        <w:ind w:left="353" w:hanging="353"/>
        <w:spacing w:after="0" w:line="249" w:lineRule="auto"/>
        <w:tabs>
          <w:tab w:leader="none" w:pos="35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This information has been obtained from a Schedule 13G filed on July 29, 2025 by The Vanguard Group. The Vanguard Group’s clients, including investment companies registered under the Investment Company Act of 1940 and other managed accounts, have the right to receive or the power to direct the receipt of dividends from, or the proceeds from the sale of, these shares. The principal business address of The Vanguard Group is 100 Vanguard Blvd., Malvern, PA 19355.</w:t>
      </w:r>
    </w:p>
    <w:p>
      <w:pPr>
        <w:spacing w:after="0" w:line="197" w:lineRule="exact"/>
        <w:rPr>
          <w:rFonts w:ascii="Arial" w:cs="Arial" w:eastAsia="Arial" w:hAnsi="Arial"/>
          <w:sz w:val="20"/>
          <w:szCs w:val="20"/>
          <w:color w:val="auto"/>
        </w:rPr>
      </w:pPr>
    </w:p>
    <w:p>
      <w:pPr>
        <w:ind w:left="353" w:hanging="353"/>
        <w:spacing w:after="0" w:line="278" w:lineRule="auto"/>
        <w:tabs>
          <w:tab w:leader="none" w:pos="353"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Consists of (a) 1,543,886 shares of common stock and (b) 1,631,452 shares of common stock underlying options that are exercisable within 60 days of February 9, 2026.</w:t>
      </w:r>
    </w:p>
    <w:p>
      <w:pPr>
        <w:spacing w:after="0" w:line="166" w:lineRule="exact"/>
        <w:rPr>
          <w:rFonts w:ascii="Arial" w:cs="Arial" w:eastAsia="Arial" w:hAnsi="Arial"/>
          <w:sz w:val="20"/>
          <w:szCs w:val="20"/>
          <w:color w:val="auto"/>
        </w:rPr>
      </w:pPr>
    </w:p>
    <w:p>
      <w:pPr>
        <w:jc w:val="both"/>
        <w:ind w:left="353" w:hanging="353"/>
        <w:spacing w:after="0" w:line="259" w:lineRule="auto"/>
        <w:tabs>
          <w:tab w:leader="none" w:pos="353"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Consists of (a) 185,755 shares of common stock, (b) 321,250 shares of common stock underlying options that are exercisable within 60 days of February 9, 2026 and (c) 2,375 shares of common stock underlying RSUs that will vest within 60 days of February 9, 2026.</w:t>
      </w:r>
    </w:p>
    <w:p>
      <w:pPr>
        <w:spacing w:after="0" w:line="185" w:lineRule="exact"/>
        <w:rPr>
          <w:rFonts w:ascii="Arial" w:cs="Arial" w:eastAsia="Arial" w:hAnsi="Arial"/>
          <w:sz w:val="20"/>
          <w:szCs w:val="20"/>
          <w:color w:val="auto"/>
        </w:rPr>
      </w:pPr>
    </w:p>
    <w:p>
      <w:pPr>
        <w:ind w:left="353" w:hanging="353"/>
        <w:spacing w:after="0" w:line="278" w:lineRule="auto"/>
        <w:tabs>
          <w:tab w:leader="none" w:pos="353"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Consists of (a) 192,260 shares of common stock and (b) 410,075 shares of common stock underlying options that are exercisable within 60 days of February 9, 2026.</w:t>
      </w:r>
    </w:p>
    <w:p>
      <w:pPr>
        <w:spacing w:after="0" w:line="166" w:lineRule="exact"/>
        <w:rPr>
          <w:rFonts w:ascii="Arial" w:cs="Arial" w:eastAsia="Arial" w:hAnsi="Arial"/>
          <w:sz w:val="20"/>
          <w:szCs w:val="20"/>
          <w:color w:val="auto"/>
        </w:rPr>
      </w:pPr>
    </w:p>
    <w:p>
      <w:pPr>
        <w:ind w:left="353" w:hanging="353"/>
        <w:spacing w:after="0" w:line="305"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45,425 shares of common stock and (b) 159,150 shares of common stock underlying options that are exercisable within 60 days of February 9, 2026.</w:t>
      </w:r>
    </w:p>
    <w:p>
      <w:pPr>
        <w:spacing w:after="0" w:line="144" w:lineRule="exact"/>
        <w:rPr>
          <w:rFonts w:ascii="Arial" w:cs="Arial" w:eastAsia="Arial" w:hAnsi="Arial"/>
          <w:sz w:val="19"/>
          <w:szCs w:val="19"/>
          <w:color w:val="auto"/>
        </w:rPr>
      </w:pPr>
    </w:p>
    <w:p>
      <w:pPr>
        <w:ind w:left="353" w:hanging="353"/>
        <w:spacing w:after="0" w:line="305"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33,525 shares of common stock and (b) 137,291 shares of common stock underlying options that are exercisable within 60 days of February 9, 2026.</w:t>
      </w:r>
    </w:p>
    <w:p>
      <w:pPr>
        <w:spacing w:after="0" w:line="145" w:lineRule="exact"/>
        <w:rPr>
          <w:rFonts w:ascii="Arial" w:cs="Arial" w:eastAsia="Arial" w:hAnsi="Arial"/>
          <w:sz w:val="19"/>
          <w:szCs w:val="19"/>
          <w:color w:val="auto"/>
        </w:rPr>
      </w:pPr>
    </w:p>
    <w:p>
      <w:pPr>
        <w:ind w:left="353" w:hanging="353"/>
        <w:spacing w:after="0" w:line="305"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57,956 shares of common stock and (b) 117,423 shares of common stock underlying options that are exercisable within 60 days of February 9, 2026.</w:t>
      </w:r>
    </w:p>
    <w:p>
      <w:pPr>
        <w:spacing w:after="0" w:line="144" w:lineRule="exact"/>
        <w:rPr>
          <w:rFonts w:ascii="Arial" w:cs="Arial" w:eastAsia="Arial" w:hAnsi="Arial"/>
          <w:sz w:val="19"/>
          <w:szCs w:val="19"/>
          <w:color w:val="auto"/>
        </w:rPr>
      </w:pPr>
    </w:p>
    <w:p>
      <w:pPr>
        <w:ind w:left="353" w:hanging="353"/>
        <w:spacing w:after="0" w:line="305"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714,823 shares of common stock and (b) 119,291 shares of common stock underlying options that are exercisable within 60 days of February 9, 2026.</w:t>
      </w:r>
    </w:p>
    <w:p>
      <w:pPr>
        <w:spacing w:after="0" w:line="144" w:lineRule="exact"/>
        <w:rPr>
          <w:rFonts w:ascii="Arial" w:cs="Arial" w:eastAsia="Arial" w:hAnsi="Arial"/>
          <w:sz w:val="19"/>
          <w:szCs w:val="19"/>
          <w:color w:val="auto"/>
        </w:rPr>
      </w:pPr>
    </w:p>
    <w:p>
      <w:pPr>
        <w:jc w:val="both"/>
        <w:ind w:left="353" w:hanging="353"/>
        <w:spacing w:after="0" w:line="261"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434,455 shares of common stock owned directly by Aisling Capital IV, LP (“Aisling”), (b) 13,960 shares of common stock owned directly by Dr. Schiff and (c) 135,291 shares of common stock underlying options held directly by Dr. Schiff that are exercisable within 60 days of February 9, 2026. The shares owned directly by Aisling are held indirectly by Aisling Capital Partners IV, LP (“Aisling GP”), as general partner of Aisling, Aisling Capital Partners IV, LLC (“Aisling Partners”), as general partner of Aisling GP, and each of the individual managing members of Aisling Partners. Dr. Schiff is one of the managing members of Aisling Partners and shares voting and dispositive power over the shares directly held by Aisling.</w:t>
      </w:r>
    </w:p>
    <w:p>
      <w:pPr>
        <w:spacing w:after="0" w:line="187" w:lineRule="exact"/>
        <w:rPr>
          <w:rFonts w:ascii="Arial" w:cs="Arial" w:eastAsia="Arial" w:hAnsi="Arial"/>
          <w:sz w:val="19"/>
          <w:szCs w:val="19"/>
          <w:color w:val="auto"/>
        </w:rPr>
      </w:pPr>
    </w:p>
    <w:p>
      <w:pPr>
        <w:ind w:left="353" w:hanging="353"/>
        <w:spacing w:after="0" w:line="305"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21,754 shares of common stock and (b) 127,291 shares of common stock underlying options that are exercisable within 60 days of February 9, 2026.</w:t>
      </w:r>
    </w:p>
    <w:p>
      <w:pPr>
        <w:spacing w:after="0" w:line="144" w:lineRule="exact"/>
        <w:rPr>
          <w:rFonts w:ascii="Arial" w:cs="Arial" w:eastAsia="Arial" w:hAnsi="Arial"/>
          <w:sz w:val="19"/>
          <w:szCs w:val="19"/>
          <w:color w:val="auto"/>
        </w:rPr>
      </w:pPr>
    </w:p>
    <w:p>
      <w:pPr>
        <w:ind w:left="353" w:hanging="353"/>
        <w:spacing w:after="0" w:line="305"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17,316 shares of common stock and (b) 133,291 shares of common stock underlying options that are exercisable within 60 days of February 9, 2026.</w:t>
      </w:r>
    </w:p>
    <w:p>
      <w:pPr>
        <w:spacing w:after="0" w:line="145" w:lineRule="exact"/>
        <w:rPr>
          <w:rFonts w:ascii="Arial" w:cs="Arial" w:eastAsia="Arial" w:hAnsi="Arial"/>
          <w:sz w:val="19"/>
          <w:szCs w:val="19"/>
          <w:color w:val="auto"/>
        </w:rPr>
      </w:pPr>
    </w:p>
    <w:p>
      <w:pPr>
        <w:jc w:val="both"/>
        <w:ind w:left="353" w:hanging="353"/>
        <w:spacing w:after="0" w:line="278" w:lineRule="auto"/>
        <w:tabs>
          <w:tab w:leader="none" w:pos="3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Consists of (a) 3,261,115 shares of common stock, (b) 3,291,805 shares of common stock underlying options that are exercisable within 60 days of February 9, 2026 and (c) 2,375 shares of common stock underlying RSUs that will vest within 60 days of February 9, 2026.</w:t>
      </w:r>
    </w:p>
    <w:p>
      <w:pPr>
        <w:sectPr>
          <w:pgSz w:w="11880" w:h="15480" w:orient="portrait"/>
          <w:cols w:equalWidth="0" w:num="1">
            <w:col w:w="9713"/>
          </w:cols>
          <w:pgMar w:left="1087"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2"/>
        <w:spacing w:after="0"/>
        <w:rPr>
          <w:sz w:val="20"/>
          <w:szCs w:val="20"/>
          <w:color w:val="auto"/>
        </w:rPr>
      </w:pPr>
      <w:r>
        <w:rPr>
          <w:rFonts w:ascii="Arial" w:cs="Arial" w:eastAsia="Arial" w:hAnsi="Arial"/>
          <w:sz w:val="17"/>
          <w:szCs w:val="17"/>
          <w:color w:val="auto"/>
        </w:rPr>
        <w:t>125</w:t>
      </w:r>
    </w:p>
    <w:p>
      <w:pPr>
        <w:sectPr>
          <w:pgSz w:w="11880" w:h="15480" w:orient="portrait"/>
          <w:cols w:equalWidth="0" w:num="1">
            <w:col w:w="9713"/>
          </w:cols>
          <w:pgMar w:left="1087" w:top="1177" w:right="108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44" w:lineRule="exact"/>
        <w:rPr>
          <w:sz w:val="20"/>
          <w:szCs w:val="20"/>
          <w:color w:val="auto"/>
        </w:rPr>
      </w:pPr>
    </w:p>
    <w:p>
      <w:pPr>
        <w:ind w:left="720"/>
        <w:spacing w:after="0"/>
        <w:rPr>
          <w:sz w:val="20"/>
          <w:szCs w:val="20"/>
          <w:color w:val="auto"/>
        </w:rPr>
      </w:pPr>
      <w:r>
        <w:rPr>
          <w:rFonts w:ascii="Arial" w:cs="Arial" w:eastAsia="Arial" w:hAnsi="Arial"/>
          <w:sz w:val="19"/>
          <w:szCs w:val="19"/>
          <w:color w:val="auto"/>
        </w:rPr>
        <w:t>The following table provides certain information regarding our equity compensation plans in effect as of</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Number of securities</w:t>
            </w:r>
          </w:p>
        </w:tc>
      </w:tr>
      <w:tr>
        <w:trPr>
          <w:trHeight w:val="184"/>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remaining available for</w:t>
            </w:r>
          </w:p>
        </w:tc>
      </w:tr>
      <w:tr>
        <w:trPr>
          <w:trHeight w:val="185"/>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future issuance under</w:t>
            </w:r>
          </w:p>
        </w:tc>
      </w:tr>
      <w:tr>
        <w:trPr>
          <w:trHeight w:val="184"/>
        </w:trPr>
        <w:tc>
          <w:tcPr>
            <w:tcW w:w="4500" w:type="dxa"/>
            <w:vAlign w:val="bottom"/>
          </w:tcPr>
          <w:p>
            <w:pPr>
              <w:spacing w:after="0"/>
              <w:rPr>
                <w:sz w:val="15"/>
                <w:szCs w:val="15"/>
                <w:color w:val="auto"/>
              </w:rPr>
            </w:pPr>
          </w:p>
        </w:tc>
        <w:tc>
          <w:tcPr>
            <w:tcW w:w="1760" w:type="dxa"/>
            <w:vAlign w:val="bottom"/>
            <w:gridSpan w:val="2"/>
          </w:tcPr>
          <w:p>
            <w:pPr>
              <w:jc w:val="center"/>
              <w:ind w:left="64"/>
              <w:spacing w:after="0"/>
              <w:rPr>
                <w:sz w:val="20"/>
                <w:szCs w:val="20"/>
                <w:color w:val="auto"/>
              </w:rPr>
            </w:pPr>
            <w:r>
              <w:rPr>
                <w:rFonts w:ascii="Arial" w:cs="Arial" w:eastAsia="Arial" w:hAnsi="Arial"/>
                <w:sz w:val="16"/>
                <w:szCs w:val="16"/>
                <w:b w:val="1"/>
                <w:bCs w:val="1"/>
                <w:color w:val="auto"/>
                <w:w w:val="89"/>
              </w:rPr>
              <w:t>Number of securities to</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4"/>
              </w:rPr>
              <w:t>exercise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7"/>
              </w:rPr>
              <w:t>equity compensation</w:t>
            </w:r>
          </w:p>
        </w:tc>
      </w:tr>
      <w:tr>
        <w:trPr>
          <w:trHeight w:val="184"/>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be issued upon exercise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price of outstanding</w:t>
            </w:r>
          </w:p>
        </w:tc>
        <w:tc>
          <w:tcPr>
            <w:tcW w:w="20" w:type="dxa"/>
            <w:vAlign w:val="bottom"/>
          </w:tcPr>
          <w:p>
            <w:pPr>
              <w:spacing w:after="0"/>
              <w:rPr>
                <w:sz w:val="15"/>
                <w:szCs w:val="15"/>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6"/>
              </w:rPr>
              <w:t>plans</w:t>
            </w:r>
          </w:p>
        </w:tc>
      </w:tr>
      <w:tr>
        <w:trPr>
          <w:trHeight w:val="185"/>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7"/>
              </w:rPr>
              <w:t>of outstanding options,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(excluding securities</w:t>
            </w:r>
          </w:p>
        </w:tc>
      </w:tr>
      <w:tr>
        <w:trPr>
          <w:trHeight w:val="184"/>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warrants and rights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warrants and rights</w:t>
            </w:r>
          </w:p>
        </w:tc>
        <w:tc>
          <w:tcPr>
            <w:tcW w:w="20" w:type="dxa"/>
            <w:vAlign w:val="bottom"/>
          </w:tcPr>
          <w:p>
            <w:pPr>
              <w:spacing w:after="0"/>
              <w:rPr>
                <w:sz w:val="15"/>
                <w:szCs w:val="15"/>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0"/>
              </w:rPr>
              <w:t>reflected in column (a))</w:t>
            </w:r>
          </w:p>
        </w:tc>
      </w:tr>
      <w:tr>
        <w:trPr>
          <w:trHeight w:val="203"/>
        </w:trPr>
        <w:tc>
          <w:tcPr>
            <w:tcW w:w="4500" w:type="dxa"/>
            <w:vAlign w:val="bottom"/>
          </w:tcPr>
          <w:p>
            <w:pPr>
              <w:spacing w:after="0"/>
              <w:rPr>
                <w:sz w:val="20"/>
                <w:szCs w:val="20"/>
                <w:color w:val="auto"/>
              </w:rPr>
            </w:pPr>
            <w:r>
              <w:rPr>
                <w:rFonts w:ascii="Arial" w:cs="Arial" w:eastAsia="Arial" w:hAnsi="Arial"/>
                <w:sz w:val="16"/>
                <w:szCs w:val="16"/>
                <w:b w:val="1"/>
                <w:bCs w:val="1"/>
                <w:color w:val="auto"/>
              </w:rPr>
              <w:t>Plan Category</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20"/>
        </w:trPr>
        <w:tc>
          <w:tcPr>
            <w:tcW w:w="4500" w:type="dxa"/>
            <w:vAlign w:val="bottom"/>
            <w:tcBorders>
              <w:top w:val="single" w:sz="8" w:color="auto"/>
            </w:tcBorders>
            <w:shd w:val="clear" w:color="auto" w:fill="E5E5E5"/>
          </w:tcPr>
          <w:p>
            <w:pPr>
              <w:spacing w:after="0" w:line="220" w:lineRule="exact"/>
              <w:rPr>
                <w:sz w:val="20"/>
                <w:szCs w:val="20"/>
                <w:color w:val="auto"/>
              </w:rPr>
            </w:pPr>
            <w:r>
              <w:rPr>
                <w:rFonts w:ascii="Arial" w:cs="Arial" w:eastAsia="Arial" w:hAnsi="Arial"/>
                <w:sz w:val="20"/>
                <w:szCs w:val="20"/>
                <w:color w:val="auto"/>
              </w:rPr>
              <w:t>Equity compensation plans approved by security</w:t>
            </w:r>
          </w:p>
        </w:tc>
        <w:tc>
          <w:tcPr>
            <w:tcW w:w="160" w:type="dxa"/>
            <w:vAlign w:val="bottom"/>
            <w:tcBorders>
              <w:top w:val="single" w:sz="8" w:color="E5E5E5"/>
            </w:tcBorders>
            <w:shd w:val="clear" w:color="auto" w:fill="E5E5E5"/>
          </w:tcPr>
          <w:p>
            <w:pPr>
              <w:spacing w:after="0"/>
              <w:rPr>
                <w:sz w:val="19"/>
                <w:szCs w:val="19"/>
                <w:color w:val="auto"/>
              </w:rPr>
            </w:pPr>
          </w:p>
        </w:tc>
        <w:tc>
          <w:tcPr>
            <w:tcW w:w="1600" w:type="dxa"/>
            <w:vAlign w:val="bottom"/>
            <w:tcBorders>
              <w:top w:val="single" w:sz="8" w:color="auto"/>
            </w:tcBorders>
            <w:shd w:val="clear" w:color="auto" w:fill="E5E5E5"/>
          </w:tcPr>
          <w:p>
            <w:pPr>
              <w:spacing w:after="0"/>
              <w:rPr>
                <w:sz w:val="19"/>
                <w:szCs w:val="19"/>
                <w:color w:val="auto"/>
              </w:rPr>
            </w:pPr>
          </w:p>
        </w:tc>
        <w:tc>
          <w:tcPr>
            <w:tcW w:w="160" w:type="dxa"/>
            <w:vAlign w:val="bottom"/>
            <w:tcBorders>
              <w:top w:val="single" w:sz="8" w:color="E5E5E5"/>
            </w:tcBorders>
            <w:shd w:val="clear" w:color="auto" w:fill="E5E5E5"/>
          </w:tcPr>
          <w:p>
            <w:pPr>
              <w:spacing w:after="0"/>
              <w:rPr>
                <w:sz w:val="19"/>
                <w:szCs w:val="19"/>
                <w:color w:val="auto"/>
              </w:rPr>
            </w:pPr>
          </w:p>
        </w:tc>
        <w:tc>
          <w:tcPr>
            <w:tcW w:w="100" w:type="dxa"/>
            <w:vAlign w:val="bottom"/>
            <w:tcBorders>
              <w:top w:val="single" w:sz="8" w:color="auto"/>
            </w:tcBorders>
            <w:shd w:val="clear" w:color="auto" w:fill="E5E5E5"/>
          </w:tcPr>
          <w:p>
            <w:pPr>
              <w:spacing w:after="0"/>
              <w:rPr>
                <w:sz w:val="19"/>
                <w:szCs w:val="19"/>
                <w:color w:val="auto"/>
              </w:rPr>
            </w:pPr>
          </w:p>
        </w:tc>
        <w:tc>
          <w:tcPr>
            <w:tcW w:w="1340" w:type="dxa"/>
            <w:vAlign w:val="bottom"/>
            <w:tcBorders>
              <w:top w:val="single" w:sz="8" w:color="auto"/>
            </w:tcBorders>
            <w:shd w:val="clear" w:color="auto" w:fill="E5E5E5"/>
          </w:tcPr>
          <w:p>
            <w:pPr>
              <w:spacing w:after="0"/>
              <w:rPr>
                <w:sz w:val="19"/>
                <w:szCs w:val="19"/>
                <w:color w:val="auto"/>
              </w:rPr>
            </w:pPr>
          </w:p>
        </w:tc>
        <w:tc>
          <w:tcPr>
            <w:tcW w:w="40" w:type="dxa"/>
            <w:vAlign w:val="bottom"/>
            <w:tcBorders>
              <w:top w:val="single" w:sz="8" w:color="auto"/>
            </w:tcBorders>
            <w:shd w:val="clear" w:color="auto" w:fill="E5E5E5"/>
          </w:tcPr>
          <w:p>
            <w:pPr>
              <w:spacing w:after="0"/>
              <w:rPr>
                <w:sz w:val="19"/>
                <w:szCs w:val="19"/>
                <w:color w:val="auto"/>
              </w:rPr>
            </w:pPr>
          </w:p>
        </w:tc>
        <w:tc>
          <w:tcPr>
            <w:tcW w:w="180" w:type="dxa"/>
            <w:vAlign w:val="bottom"/>
            <w:tcBorders>
              <w:top w:val="single" w:sz="8" w:color="E5E5E5"/>
            </w:tcBorders>
            <w:shd w:val="clear" w:color="auto" w:fill="E5E5E5"/>
          </w:tcPr>
          <w:p>
            <w:pPr>
              <w:spacing w:after="0"/>
              <w:rPr>
                <w:sz w:val="19"/>
                <w:szCs w:val="19"/>
                <w:color w:val="auto"/>
              </w:rPr>
            </w:pPr>
          </w:p>
        </w:tc>
        <w:tc>
          <w:tcPr>
            <w:tcW w:w="20" w:type="dxa"/>
            <w:vAlign w:val="bottom"/>
            <w:tcBorders>
              <w:top w:val="single" w:sz="8" w:color="E5E5E5"/>
            </w:tcBorders>
            <w:shd w:val="clear" w:color="auto" w:fill="E5E5E5"/>
          </w:tcPr>
          <w:p>
            <w:pPr>
              <w:spacing w:after="0"/>
              <w:rPr>
                <w:sz w:val="19"/>
                <w:szCs w:val="19"/>
                <w:color w:val="auto"/>
              </w:rPr>
            </w:pPr>
          </w:p>
        </w:tc>
        <w:tc>
          <w:tcPr>
            <w:tcW w:w="1600" w:type="dxa"/>
            <w:vAlign w:val="bottom"/>
            <w:tcBorders>
              <w:top w:val="single" w:sz="8" w:color="auto"/>
            </w:tcBorders>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r>
      <w:tr>
        <w:trPr>
          <w:trHeight w:val="230"/>
        </w:trPr>
        <w:tc>
          <w:tcPr>
            <w:tcW w:w="4500" w:type="dxa"/>
            <w:vAlign w:val="bottom"/>
            <w:shd w:val="clear" w:color="auto" w:fill="E5E5E5"/>
          </w:tcPr>
          <w:p>
            <w:pPr>
              <w:spacing w:after="0"/>
              <w:rPr>
                <w:sz w:val="20"/>
                <w:szCs w:val="20"/>
                <w:color w:val="auto"/>
              </w:rPr>
            </w:pPr>
            <w:r>
              <w:rPr>
                <w:rFonts w:ascii="Arial" w:cs="Arial" w:eastAsia="Arial" w:hAnsi="Arial"/>
                <w:sz w:val="20"/>
                <w:szCs w:val="20"/>
                <w:color w:val="auto"/>
              </w:rPr>
              <w:t>holders:</w:t>
            </w:r>
          </w:p>
        </w:tc>
        <w:tc>
          <w:tcPr>
            <w:tcW w:w="160" w:type="dxa"/>
            <w:vAlign w:val="bottom"/>
            <w:shd w:val="clear" w:color="auto" w:fill="E5E5E5"/>
          </w:tcPr>
          <w:p>
            <w:pPr>
              <w:spacing w:after="0"/>
              <w:rPr>
                <w:sz w:val="20"/>
                <w:szCs w:val="20"/>
                <w:color w:val="auto"/>
              </w:rPr>
            </w:pPr>
          </w:p>
        </w:tc>
        <w:tc>
          <w:tcPr>
            <w:tcW w:w="160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34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r>
      <w:tr>
        <w:trPr>
          <w:trHeight w:val="229"/>
        </w:trPr>
        <w:tc>
          <w:tcPr>
            <w:tcW w:w="4500" w:type="dxa"/>
            <w:vAlign w:val="bottom"/>
          </w:tcPr>
          <w:p>
            <w:pPr>
              <w:ind w:left="120"/>
              <w:spacing w:after="0" w:line="229" w:lineRule="exact"/>
              <w:rPr>
                <w:sz w:val="20"/>
                <w:szCs w:val="20"/>
                <w:color w:val="auto"/>
              </w:rPr>
            </w:pPr>
            <w:r>
              <w:rPr>
                <w:rFonts w:ascii="Arial" w:cs="Arial" w:eastAsia="Arial" w:hAnsi="Arial"/>
                <w:sz w:val="20"/>
                <w:szCs w:val="20"/>
                <w:color w:val="auto"/>
              </w:rPr>
              <w:t>2015 Equity Incentive Plan</w:t>
            </w:r>
            <w:r>
              <w:rPr>
                <w:rFonts w:ascii="Arial" w:cs="Arial" w:eastAsia="Arial" w:hAnsi="Arial"/>
                <w:sz w:val="25"/>
                <w:szCs w:val="25"/>
                <w:color w:val="auto"/>
                <w:vertAlign w:val="superscript"/>
              </w:rPr>
              <w:t>(1)</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10,944,380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5.75</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4500" w:type="dxa"/>
            <w:vAlign w:val="bottom"/>
            <w:shd w:val="clear" w:color="auto" w:fill="E5E5E5"/>
          </w:tcPr>
          <w:p>
            <w:pPr>
              <w:ind w:left="120"/>
              <w:spacing w:after="0"/>
              <w:rPr>
                <w:sz w:val="20"/>
                <w:szCs w:val="20"/>
                <w:color w:val="auto"/>
              </w:rPr>
            </w:pPr>
            <w:r>
              <w:rPr>
                <w:rFonts w:ascii="Arial" w:cs="Arial" w:eastAsia="Arial" w:hAnsi="Arial"/>
                <w:sz w:val="20"/>
                <w:szCs w:val="20"/>
                <w:color w:val="auto"/>
              </w:rPr>
              <w:t>2025 Equity Incentive Plan</w:t>
            </w:r>
          </w:p>
        </w:tc>
        <w:tc>
          <w:tcPr>
            <w:tcW w:w="17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1,328,750</w:t>
            </w:r>
          </w:p>
        </w:tc>
        <w:tc>
          <w:tcPr>
            <w:tcW w:w="16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13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1.34</w:t>
            </w:r>
          </w:p>
        </w:tc>
        <w:tc>
          <w:tcPr>
            <w:tcW w:w="220" w:type="dxa"/>
            <w:vAlign w:val="bottom"/>
            <w:gridSpan w:val="2"/>
            <w:shd w:val="clear" w:color="auto" w:fill="E5E5E5"/>
          </w:tcPr>
          <w:p>
            <w:pPr>
              <w:jc w:val="right"/>
              <w:ind w:right="40"/>
              <w:spacing w:after="0"/>
              <w:rPr>
                <w:sz w:val="20"/>
                <w:szCs w:val="20"/>
                <w:color w:val="auto"/>
              </w:rPr>
            </w:pPr>
            <w:r>
              <w:rPr>
                <w:rFonts w:ascii="Arial" w:cs="Arial" w:eastAsia="Arial" w:hAnsi="Arial"/>
                <w:sz w:val="13"/>
                <w:szCs w:val="13"/>
                <w:color w:val="auto"/>
              </w:rPr>
              <w:t>(3)</w:t>
            </w:r>
          </w:p>
        </w:tc>
        <w:tc>
          <w:tcPr>
            <w:tcW w:w="162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12,442,759</w:t>
            </w:r>
          </w:p>
        </w:tc>
        <w:tc>
          <w:tcPr>
            <w:tcW w:w="20" w:type="dxa"/>
            <w:vAlign w:val="bottom"/>
            <w:shd w:val="clear" w:color="auto" w:fill="E5E5E5"/>
          </w:tcPr>
          <w:p>
            <w:pPr>
              <w:spacing w:after="0"/>
              <w:rPr>
                <w:sz w:val="20"/>
                <w:szCs w:val="20"/>
                <w:color w:val="auto"/>
              </w:rPr>
            </w:pPr>
          </w:p>
        </w:tc>
      </w:tr>
      <w:tr>
        <w:trPr>
          <w:trHeight w:val="210"/>
        </w:trPr>
        <w:tc>
          <w:tcPr>
            <w:tcW w:w="4500" w:type="dxa"/>
            <w:vAlign w:val="bottom"/>
          </w:tcPr>
          <w:p>
            <w:pPr>
              <w:spacing w:after="0" w:line="210" w:lineRule="exact"/>
              <w:rPr>
                <w:sz w:val="20"/>
                <w:szCs w:val="20"/>
                <w:color w:val="auto"/>
              </w:rPr>
            </w:pPr>
            <w:r>
              <w:rPr>
                <w:rFonts w:ascii="Arial" w:cs="Arial" w:eastAsia="Arial" w:hAnsi="Arial"/>
                <w:sz w:val="20"/>
                <w:szCs w:val="20"/>
                <w:color w:val="auto"/>
                <w:w w:val="96"/>
              </w:rPr>
              <w:t>Equity compensation plans not approved by security</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holders:</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500" w:type="dxa"/>
            <w:vAlign w:val="bottom"/>
            <w:shd w:val="clear" w:color="auto" w:fill="E5E5E5"/>
          </w:tcPr>
          <w:p>
            <w:pPr>
              <w:ind w:left="120"/>
              <w:spacing w:after="0" w:line="230" w:lineRule="exact"/>
              <w:rPr>
                <w:sz w:val="20"/>
                <w:szCs w:val="20"/>
                <w:color w:val="auto"/>
              </w:rPr>
            </w:pPr>
            <w:r>
              <w:rPr>
                <w:rFonts w:ascii="Arial" w:cs="Arial" w:eastAsia="Arial" w:hAnsi="Arial"/>
                <w:sz w:val="20"/>
                <w:szCs w:val="20"/>
                <w:color w:val="auto"/>
              </w:rPr>
              <w:t>2017 Inducement Plan</w:t>
            </w:r>
            <w:r>
              <w:rPr>
                <w:rFonts w:ascii="Arial" w:cs="Arial" w:eastAsia="Arial" w:hAnsi="Arial"/>
                <w:sz w:val="25"/>
                <w:szCs w:val="25"/>
                <w:color w:val="auto"/>
                <w:vertAlign w:val="superscript"/>
              </w:rPr>
              <w:t>(4)</w:t>
            </w:r>
          </w:p>
        </w:tc>
        <w:tc>
          <w:tcPr>
            <w:tcW w:w="17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325,000</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20"/>
                <w:szCs w:val="20"/>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20"/>
                <w:szCs w:val="20"/>
                <w:color w:val="auto"/>
              </w:rPr>
              <w:t>24.59</w:t>
            </w:r>
          </w:p>
        </w:tc>
        <w:tc>
          <w:tcPr>
            <w:tcW w:w="4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20" w:type="dxa"/>
            <w:vAlign w:val="bottom"/>
            <w:gridSpan w:val="2"/>
            <w:shd w:val="clear" w:color="auto" w:fill="E5E5E5"/>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4500" w:type="dxa"/>
            <w:vAlign w:val="bottom"/>
            <w:tcBorders>
              <w:bottom w:val="single" w:sz="8" w:color="E5E5E5"/>
            </w:tcBorders>
          </w:tcPr>
          <w:p>
            <w:pPr>
              <w:ind w:left="120"/>
              <w:spacing w:after="0" w:line="230" w:lineRule="exact"/>
              <w:rPr>
                <w:sz w:val="20"/>
                <w:szCs w:val="20"/>
                <w:color w:val="auto"/>
              </w:rPr>
            </w:pPr>
            <w:r>
              <w:rPr>
                <w:rFonts w:ascii="Arial" w:cs="Arial" w:eastAsia="Arial" w:hAnsi="Arial"/>
                <w:sz w:val="20"/>
                <w:szCs w:val="20"/>
                <w:color w:val="auto"/>
              </w:rPr>
              <w:t>2024 Inducement Plan</w:t>
            </w:r>
            <w:r>
              <w:rPr>
                <w:rFonts w:ascii="Arial" w:cs="Arial" w:eastAsia="Arial" w:hAnsi="Arial"/>
                <w:sz w:val="25"/>
                <w:szCs w:val="25"/>
                <w:color w:val="auto"/>
                <w:vertAlign w:val="superscript"/>
              </w:rPr>
              <w:t>(5)</w:t>
            </w:r>
          </w:p>
        </w:tc>
        <w:tc>
          <w:tcPr>
            <w:tcW w:w="160" w:type="dxa"/>
            <w:vAlign w:val="bottom"/>
            <w:tcBorders>
              <w:bottom w:val="single" w:sz="8" w:color="E5E5E5"/>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1,474,500</w:t>
            </w:r>
          </w:p>
        </w:tc>
        <w:tc>
          <w:tcPr>
            <w:tcW w:w="160" w:type="dxa"/>
            <w:vAlign w:val="bottom"/>
            <w:tcBorders>
              <w:bottom w:val="single" w:sz="8" w:color="E5E5E5"/>
            </w:tcBorders>
          </w:tcPr>
          <w:p>
            <w:pPr>
              <w:spacing w:after="0"/>
              <w:rPr>
                <w:sz w:val="20"/>
                <w:szCs w:val="20"/>
                <w:color w:val="auto"/>
              </w:rPr>
            </w:pPr>
          </w:p>
        </w:tc>
        <w:tc>
          <w:tcPr>
            <w:tcW w:w="100" w:type="dxa"/>
            <w:vAlign w:val="bottom"/>
            <w:tcBorders>
              <w:bottom w:val="single" w:sz="8" w:color="E5E5E5"/>
            </w:tcBorders>
          </w:tcPr>
          <w:p>
            <w:pPr>
              <w:spacing w:after="0"/>
              <w:rPr>
                <w:sz w:val="20"/>
                <w:szCs w:val="20"/>
                <w:color w:val="auto"/>
              </w:rPr>
            </w:pPr>
          </w:p>
        </w:tc>
        <w:tc>
          <w:tcPr>
            <w:tcW w:w="1340" w:type="dxa"/>
            <w:vAlign w:val="bottom"/>
            <w:tcBorders>
              <w:bottom w:val="single" w:sz="8" w:color="E5E5E5"/>
            </w:tcBorders>
          </w:tcPr>
          <w:p>
            <w:pPr>
              <w:jc w:val="right"/>
              <w:spacing w:after="0"/>
              <w:rPr>
                <w:sz w:val="20"/>
                <w:szCs w:val="20"/>
                <w:color w:val="auto"/>
              </w:rPr>
            </w:pPr>
            <w:r>
              <w:rPr>
                <w:rFonts w:ascii="Arial" w:cs="Arial" w:eastAsia="Arial" w:hAnsi="Arial"/>
                <w:sz w:val="20"/>
                <w:szCs w:val="20"/>
                <w:color w:val="auto"/>
              </w:rPr>
              <w:t>2.04</w:t>
            </w:r>
          </w:p>
        </w:tc>
        <w:tc>
          <w:tcPr>
            <w:tcW w:w="220" w:type="dxa"/>
            <w:vAlign w:val="bottom"/>
            <w:tcBorders>
              <w:bottom w:val="single" w:sz="8" w:color="E5E5E5"/>
            </w:tcBorders>
            <w:gridSpan w:val="2"/>
          </w:tcPr>
          <w:p>
            <w:pPr>
              <w:jc w:val="right"/>
              <w:ind w:right="40"/>
              <w:spacing w:after="0"/>
              <w:rPr>
                <w:sz w:val="20"/>
                <w:szCs w:val="20"/>
                <w:color w:val="auto"/>
              </w:rPr>
            </w:pPr>
            <w:r>
              <w:rPr>
                <w:rFonts w:ascii="Arial" w:cs="Arial" w:eastAsia="Arial" w:hAnsi="Arial"/>
                <w:sz w:val="13"/>
                <w:szCs w:val="13"/>
                <w:color w:val="auto"/>
              </w:rPr>
              <w:t>(6)</w:t>
            </w:r>
          </w:p>
        </w:tc>
        <w:tc>
          <w:tcPr>
            <w:tcW w:w="20" w:type="dxa"/>
            <w:vAlign w:val="bottom"/>
            <w:tcBorders>
              <w:bottom w:val="single" w:sz="8" w:color="E5E5E5"/>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493,500</w:t>
            </w:r>
          </w:p>
        </w:tc>
        <w:tc>
          <w:tcPr>
            <w:tcW w:w="20" w:type="dxa"/>
            <w:vAlign w:val="bottom"/>
          </w:tcPr>
          <w:p>
            <w:pPr>
              <w:spacing w:after="0"/>
              <w:rPr>
                <w:sz w:val="20"/>
                <w:szCs w:val="20"/>
                <w:color w:val="auto"/>
              </w:rPr>
            </w:pPr>
          </w:p>
        </w:tc>
      </w:tr>
      <w:tr>
        <w:trPr>
          <w:trHeight w:val="220"/>
        </w:trPr>
        <w:tc>
          <w:tcPr>
            <w:tcW w:w="4500" w:type="dxa"/>
            <w:vAlign w:val="bottom"/>
            <w:shd w:val="clear" w:color="auto" w:fill="E5E5E5"/>
          </w:tcPr>
          <w:p>
            <w:pPr>
              <w:spacing w:after="0" w:line="220" w:lineRule="exact"/>
              <w:rPr>
                <w:sz w:val="20"/>
                <w:szCs w:val="20"/>
                <w:color w:val="auto"/>
              </w:rPr>
            </w:pPr>
            <w:r>
              <w:rPr>
                <w:rFonts w:ascii="Arial" w:cs="Arial" w:eastAsia="Arial" w:hAnsi="Arial"/>
                <w:sz w:val="20"/>
                <w:szCs w:val="20"/>
                <w:color w:val="auto"/>
              </w:rPr>
              <w:t>Total</w:t>
            </w:r>
          </w:p>
        </w:tc>
        <w:tc>
          <w:tcPr>
            <w:tcW w:w="176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14,072,630</w:t>
            </w:r>
          </w:p>
        </w:tc>
        <w:tc>
          <w:tcPr>
            <w:tcW w:w="1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34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620" w:type="dxa"/>
            <w:vAlign w:val="bottom"/>
            <w:gridSpan w:val="2"/>
            <w:shd w:val="clear" w:color="auto" w:fill="E5E5E5"/>
          </w:tcPr>
          <w:p>
            <w:pPr>
              <w:jc w:val="right"/>
              <w:spacing w:after="0" w:line="220" w:lineRule="exact"/>
              <w:rPr>
                <w:sz w:val="20"/>
                <w:szCs w:val="20"/>
                <w:color w:val="auto"/>
              </w:rPr>
            </w:pPr>
            <w:r>
              <w:rPr>
                <w:rFonts w:ascii="Arial" w:cs="Arial" w:eastAsia="Arial" w:hAnsi="Arial"/>
                <w:sz w:val="20"/>
                <w:szCs w:val="20"/>
                <w:color w:val="auto"/>
              </w:rPr>
              <w:t>12,936,259</w:t>
            </w:r>
          </w:p>
        </w:tc>
        <w:tc>
          <w:tcPr>
            <w:tcW w:w="20" w:type="dxa"/>
            <w:vAlign w:val="bottom"/>
            <w:shd w:val="clear" w:color="auto" w:fill="E5E5E5"/>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6158865</wp:posOffset>
                </wp:positionH>
                <wp:positionV relativeFrom="paragraph">
                  <wp:posOffset>-1330325</wp:posOffset>
                </wp:positionV>
                <wp:extent cx="12700" cy="127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E5E5E5"/>
                        </a:solidFill>
                      </wps:spPr>
                      <wps:bodyPr/>
                    </wps:wsp>
                  </a:graphicData>
                </a:graphic>
              </wp:anchor>
            </w:drawing>
          </mc:Choice>
          <mc:Fallback>
            <w:pict>
              <v:rect id="Shape 16" o:spid="_x0000_s1041" style="position:absolute;margin-left:484.95pt;margin-top:-104.7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5E5" stroked="f"/>
            </w:pict>
          </mc:Fallback>
        </mc:AlternateContent>
        <mc:AlternateContent>
          <mc:Choice Requires="wps">
            <w:drawing>
              <wp:anchor simplePos="0" relativeHeight="251657728" behindDoc="1" locked="0" layoutInCell="0" allowOverlap="1">
                <wp:simplePos x="0" y="0"/>
                <wp:positionH relativeFrom="column">
                  <wp:posOffset>6158865</wp:posOffset>
                </wp:positionH>
                <wp:positionV relativeFrom="paragraph">
                  <wp:posOffset>-155575</wp:posOffset>
                </wp:positionV>
                <wp:extent cx="12700" cy="127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E5E5E5"/>
                        </a:solidFill>
                      </wps:spPr>
                      <wps:bodyPr/>
                    </wps:wsp>
                  </a:graphicData>
                </a:graphic>
              </wp:anchor>
            </w:drawing>
          </mc:Choice>
          <mc:Fallback>
            <w:pict>
              <v:rect id="Shape 17" o:spid="_x0000_s1042" style="position:absolute;margin-left:484.95pt;margin-top:-12.2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5E5"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106045</wp:posOffset>
                </wp:positionV>
                <wp:extent cx="154178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35pt" to="121.65pt,8.35pt" o:allowincell="f" strokecolor="#000000" strokeweight="1.0199pt"/>
            </w:pict>
          </mc:Fallback>
        </mc:AlternateContent>
      </w:r>
    </w:p>
    <w:p>
      <w:pPr>
        <w:spacing w:after="0" w:line="190" w:lineRule="exact"/>
        <w:rPr>
          <w:sz w:val="20"/>
          <w:szCs w:val="20"/>
          <w:color w:val="auto"/>
        </w:rPr>
      </w:pPr>
    </w:p>
    <w:p>
      <w:pPr>
        <w:ind w:left="360" w:hanging="353"/>
        <w:spacing w:after="0"/>
        <w:tabs>
          <w:tab w:leader="none" w:pos="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No additional further options or awards may be granted under the 2015 Equity Compensation Plan.</w:t>
      </w:r>
    </w:p>
    <w:p>
      <w:pPr>
        <w:spacing w:after="0" w:line="240"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Weighted average exercise price for the 2015 Plan gives effect to outstanding RSUs, which have no exercise price. Excluding the RSUs, the weighted average exercise price would be $7.18 per share.</w:t>
      </w:r>
    </w:p>
    <w:p>
      <w:pPr>
        <w:spacing w:after="0" w:line="166"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Weighted average exercise price for the 2025 Plan gives effect to outstanding RSUs, which have no exercise price. Excluding the RSUs, the weighted average exercise price would be $1.77 per share.</w:t>
      </w:r>
    </w:p>
    <w:p>
      <w:pPr>
        <w:spacing w:after="0" w:line="166"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For a description of the material terms of this plan, see “Item 8—Notes to Consolidated Financial Statements—Note 6—2017 Inducement Plan.”</w:t>
      </w:r>
    </w:p>
    <w:p>
      <w:pPr>
        <w:spacing w:after="0" w:line="168"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For a description of the material terms of this plan, see “Item 8—Notes to Consolidated Financial Statements—Note 6—2024 Inducement Plan.”</w:t>
      </w:r>
    </w:p>
    <w:p>
      <w:pPr>
        <w:spacing w:after="0" w:line="166" w:lineRule="exact"/>
        <w:rPr>
          <w:rFonts w:ascii="Arial" w:cs="Arial" w:eastAsia="Arial" w:hAnsi="Arial"/>
          <w:sz w:val="20"/>
          <w:szCs w:val="20"/>
          <w:color w:val="auto"/>
        </w:rPr>
      </w:pPr>
    </w:p>
    <w:p>
      <w:pPr>
        <w:ind w:left="360" w:hanging="353"/>
        <w:spacing w:after="0" w:line="305" w:lineRule="auto"/>
        <w:tabs>
          <w:tab w:leader="none" w:pos="3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Weighted average exercise price for the 2024 Inducement Plan gives effect to outstanding RSUs, which have no exercise price. Excluding the RSUs, the weighted average exercise price would be $2.57 per share.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 Policy and Procedures</w:t>
      </w:r>
    </w:p>
    <w:p>
      <w:pPr>
        <w:spacing w:after="0" w:line="243" w:lineRule="exact"/>
        <w:rPr>
          <w:sz w:val="20"/>
          <w:szCs w:val="20"/>
          <w:color w:val="auto"/>
        </w:rPr>
      </w:pPr>
    </w:p>
    <w:p>
      <w:pPr>
        <w:jc w:val="both"/>
        <w:ind w:firstLine="720"/>
        <w:spacing w:after="0" w:line="297" w:lineRule="auto"/>
        <w:rPr>
          <w:sz w:val="20"/>
          <w:szCs w:val="20"/>
          <w:color w:val="auto"/>
        </w:rPr>
      </w:pPr>
      <w:r>
        <w:rPr>
          <w:rFonts w:ascii="Arial" w:cs="Arial" w:eastAsia="Arial" w:hAnsi="Arial"/>
          <w:sz w:val="17"/>
          <w:szCs w:val="17"/>
          <w:color w:val="auto"/>
        </w:rPr>
        <w:t>We have adopted a related person transactions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56" w:lineRule="exact"/>
        <w:rPr>
          <w:sz w:val="20"/>
          <w:szCs w:val="20"/>
          <w:color w:val="auto"/>
        </w:rPr>
      </w:pPr>
    </w:p>
    <w:p>
      <w:pPr>
        <w:jc w:val="both"/>
        <w:ind w:firstLine="720"/>
        <w:spacing w:after="0" w:line="284"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w:t>
      </w: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880" w:h="15480" w:orient="portrait"/>
          <w:cols w:equalWidth="0" w:num="1">
            <w:col w:w="9720"/>
          </w:cols>
          <w:pgMar w:left="1080" w:top="1173" w:right="1080" w:bottom="0" w:gutter="0" w:footer="0" w:header="0"/>
          <w:type w:val="continuous"/>
        </w:sectPr>
      </w:pPr>
    </w:p>
    <w:bookmarkStart w:id="128" w:name="page129"/>
    <w:bookmarkEnd w:id="128"/>
    <w:p>
      <w:pPr>
        <w:jc w:val="both"/>
        <w:spacing w:after="0" w:line="244" w:lineRule="auto"/>
        <w:rPr>
          <w:sz w:val="20"/>
          <w:szCs w:val="20"/>
          <w:color w:val="auto"/>
        </w:rPr>
      </w:pPr>
      <w:r>
        <w:rPr>
          <w:rFonts w:ascii="Arial" w:cs="Arial" w:eastAsia="Arial" w:hAnsi="Arial"/>
          <w:sz w:val="20"/>
          <w:szCs w:val="20"/>
          <w:color w:val="auto"/>
        </w:rPr>
        <w:t>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Business Conduct and Ethics, our employees and directors have an affirmative responsibility to disclose any potential conflicts of interest. In considering related person transactions, our Audit Committee, or other independent body of our Board, takes into account the relevant available facts and circumstances including, but not limited to:</w:t>
      </w:r>
    </w:p>
    <w:p>
      <w:pPr>
        <w:spacing w:after="0" w:line="221" w:lineRule="exact"/>
        <w:rPr>
          <w:sz w:val="20"/>
          <w:szCs w:val="20"/>
          <w:color w:val="auto"/>
        </w:rPr>
      </w:pPr>
    </w:p>
    <w:p>
      <w:pPr>
        <w:ind w:left="1440" w:hanging="353"/>
        <w:spacing w:after="0"/>
        <w:tabs>
          <w:tab w:leader="none" w:pos="14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risks, costs and benefits to us;</w:t>
      </w:r>
    </w:p>
    <w:p>
      <w:pPr>
        <w:spacing w:after="0" w:line="254" w:lineRule="exact"/>
        <w:rPr>
          <w:rFonts w:ascii="Arial" w:cs="Arial" w:eastAsia="Arial" w:hAnsi="Arial"/>
          <w:sz w:val="20"/>
          <w:szCs w:val="20"/>
          <w:color w:val="auto"/>
        </w:rPr>
      </w:pPr>
    </w:p>
    <w:p>
      <w:pPr>
        <w:ind w:left="1440" w:hanging="353"/>
        <w:spacing w:after="0" w:line="278" w:lineRule="auto"/>
        <w:tabs>
          <w:tab w:leader="none" w:pos="14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impact on a director’s independence in the event that the related person is a director, immediate family member of a director or an entity with which a director is affiliated;</w:t>
      </w:r>
    </w:p>
    <w:p>
      <w:pPr>
        <w:spacing w:after="0" w:line="181" w:lineRule="exact"/>
        <w:rPr>
          <w:rFonts w:ascii="Arial" w:cs="Arial" w:eastAsia="Arial" w:hAnsi="Arial"/>
          <w:sz w:val="20"/>
          <w:szCs w:val="20"/>
          <w:color w:val="auto"/>
        </w:rPr>
      </w:pPr>
    </w:p>
    <w:p>
      <w:pPr>
        <w:ind w:left="1440" w:hanging="353"/>
        <w:spacing w:after="0"/>
        <w:tabs>
          <w:tab w:leader="none" w:pos="14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terms of the transaction;</w:t>
      </w:r>
    </w:p>
    <w:p>
      <w:pPr>
        <w:spacing w:after="0" w:line="254" w:lineRule="exact"/>
        <w:rPr>
          <w:rFonts w:ascii="Arial" w:cs="Arial" w:eastAsia="Arial" w:hAnsi="Arial"/>
          <w:sz w:val="20"/>
          <w:szCs w:val="20"/>
          <w:color w:val="auto"/>
        </w:rPr>
      </w:pPr>
    </w:p>
    <w:p>
      <w:pPr>
        <w:ind w:left="1440" w:hanging="353"/>
        <w:spacing w:after="0"/>
        <w:tabs>
          <w:tab w:leader="none" w:pos="14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availability of other sources for comparable services or products; and</w:t>
      </w:r>
    </w:p>
    <w:p>
      <w:pPr>
        <w:spacing w:after="0" w:line="253" w:lineRule="exact"/>
        <w:rPr>
          <w:rFonts w:ascii="Arial" w:cs="Arial" w:eastAsia="Arial" w:hAnsi="Arial"/>
          <w:sz w:val="20"/>
          <w:szCs w:val="20"/>
          <w:color w:val="auto"/>
        </w:rPr>
      </w:pPr>
    </w:p>
    <w:p>
      <w:pPr>
        <w:ind w:left="1440" w:hanging="353"/>
        <w:spacing w:after="0" w:line="278" w:lineRule="auto"/>
        <w:tabs>
          <w:tab w:leader="none" w:pos="14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terms available to or from, as the case may be, unrelated third parties or to or from employees generally.</w:t>
      </w:r>
    </w:p>
    <w:p>
      <w:pPr>
        <w:spacing w:after="0" w:line="167"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Related Person Transactions</w:t>
      </w:r>
    </w:p>
    <w:p>
      <w:pPr>
        <w:spacing w:after="0" w:line="244"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Except as described below, there have been no transactions since January 1, 2024 to which we have been a participant in which the amount involved exceeded or will exceed the lesser of (1) $120,000 or (2) 1% of the average of our total assets for the last two completed fiscal years, and in which any of our directors, executive officers or holders of more than 5% of our capital stock, or any members of their immediate family, had or will have a direct or indirect material interest, other than compensation arrangements which are described under “Executive Compensation” and “Non-Employee Director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Participation in Private Placement</w:t>
      </w:r>
    </w:p>
    <w:p>
      <w:pPr>
        <w:spacing w:after="0" w:line="239" w:lineRule="exact"/>
        <w:rPr>
          <w:sz w:val="20"/>
          <w:szCs w:val="20"/>
          <w:color w:val="auto"/>
        </w:rPr>
      </w:pPr>
    </w:p>
    <w:p>
      <w:pPr>
        <w:jc w:val="both"/>
        <w:ind w:firstLine="720"/>
        <w:spacing w:after="0" w:line="336" w:lineRule="auto"/>
        <w:rPr>
          <w:sz w:val="20"/>
          <w:szCs w:val="20"/>
          <w:color w:val="auto"/>
        </w:rPr>
      </w:pPr>
      <w:r>
        <w:rPr>
          <w:rFonts w:ascii="Arial" w:cs="Arial" w:eastAsia="Arial" w:hAnsi="Arial"/>
          <w:sz w:val="18"/>
          <w:szCs w:val="18"/>
          <w:color w:val="auto"/>
        </w:rPr>
        <w:t>In November 2024, Anand Mehra, a member of our Board, purchased 666,666 shares of our common stock at a price per share of $2.25 in connection with a private placement for an aggregate purchase price of $1.5 million.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Agreements</w:t>
      </w:r>
    </w:p>
    <w:p>
      <w:pPr>
        <w:spacing w:after="0" w:line="243"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0"/>
          <w:szCs w:val="20"/>
          <w:color w:val="auto"/>
        </w:rPr>
        <w:t>In addition to the compensation arrangements with our directors and executive officers, we have entered into indemnity agreements with each of them which provide, among other things, that we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officer or other agent, and otherwise to the fullest extent permitted under Delaware law and our bylaws.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234" w:lineRule="exact"/>
        <w:rPr>
          <w:sz w:val="20"/>
          <w:szCs w:val="20"/>
          <w:color w:val="auto"/>
        </w:rPr>
      </w:pPr>
    </w:p>
    <w:p>
      <w:pPr>
        <w:jc w:val="both"/>
        <w:ind w:firstLine="720"/>
        <w:spacing w:after="0" w:line="289" w:lineRule="auto"/>
        <w:rPr>
          <w:sz w:val="20"/>
          <w:szCs w:val="20"/>
          <w:color w:val="auto"/>
        </w:rPr>
      </w:pPr>
      <w:r>
        <w:rPr>
          <w:rFonts w:ascii="Arial" w:cs="Arial" w:eastAsia="Arial" w:hAnsi="Arial"/>
          <w:sz w:val="18"/>
          <w:szCs w:val="18"/>
          <w:color w:val="auto"/>
        </w:rPr>
        <w:t>As required under the Nasdaq Stock Market (“Nasdaq”) listing standards, a majority of the members of a listed company’s board of directors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880" w:h="15480" w:orient="portrait"/>
          <w:cols w:equalWidth="0" w:num="1">
            <w:col w:w="9720"/>
          </w:cols>
          <w:pgMar w:left="1080" w:top="1177" w:right="1080"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color w:val="auto"/>
        </w:rPr>
        <w:t>Nasdaq, as in effect from time to time.</w:t>
      </w:r>
    </w:p>
    <w:p>
      <w:pPr>
        <w:spacing w:after="0" w:line="230"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our company, senior management and independent auditors, the Board has affirmatively determined that six of our eight current directors are independent directors within the meaning of the applicable Nasdaq listing standards: Mr. Humphries, Dr. Mehra, Mr. Molineaux, Dr. Schiff, Dr. Gowen and Mr. Milano. In making these determinations, the Board found that none of these directors had a material or other disqualifying relationship with our company. Dr. Walker, as our Chief Executive Officer, and Dr. Davis, as our President and Chief Operating Officer, are not independent as a result of their employment by our company.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68"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20"/>
          <w:szCs w:val="20"/>
          <w:color w:val="auto"/>
        </w:rPr>
        <w:t>The following table represents aggregate fees billed to us for the fiscal years ended December 31, 2025 and 2024 by PricewaterhouseCoopers LLP, our principal accountant.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Fiscal Year Ended December 31,</w:t>
            </w:r>
          </w:p>
        </w:tc>
      </w:tr>
      <w:tr>
        <w:trPr>
          <w:trHeight w:val="176"/>
        </w:trPr>
        <w:tc>
          <w:tcPr>
            <w:tcW w:w="4140" w:type="dxa"/>
            <w:vAlign w:val="bottom"/>
            <w:tcBorders>
              <w:bottom w:val="single" w:sz="8" w:color="E5E5E5"/>
            </w:tcBorders>
          </w:tcPr>
          <w:p>
            <w:pPr>
              <w:spacing w:after="0"/>
              <w:rPr>
                <w:sz w:val="15"/>
                <w:szCs w:val="15"/>
                <w:color w:val="auto"/>
              </w:rPr>
            </w:pPr>
          </w:p>
        </w:tc>
        <w:tc>
          <w:tcPr>
            <w:tcW w:w="326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jc w:val="right"/>
              <w:ind w:right="273"/>
              <w:spacing w:after="0" w:line="176"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jc w:val="right"/>
              <w:ind w:right="280"/>
              <w:spacing w:after="0" w:line="176" w:lineRule="exact"/>
              <w:rPr>
                <w:sz w:val="20"/>
                <w:szCs w:val="20"/>
                <w:color w:val="auto"/>
              </w:rPr>
            </w:pPr>
            <w:r>
              <w:rPr>
                <w:rFonts w:ascii="Arial" w:cs="Arial" w:eastAsia="Arial" w:hAnsi="Arial"/>
                <w:sz w:val="16"/>
                <w:szCs w:val="16"/>
                <w:b w:val="1"/>
                <w:bCs w:val="1"/>
                <w:color w:val="auto"/>
              </w:rPr>
              <w:t>2024</w:t>
            </w:r>
          </w:p>
        </w:tc>
      </w:tr>
      <w:tr>
        <w:trPr>
          <w:trHeight w:val="221"/>
        </w:trPr>
        <w:tc>
          <w:tcPr>
            <w:tcW w:w="4140" w:type="dxa"/>
            <w:vAlign w:val="bottom"/>
            <w:shd w:val="clear" w:color="auto" w:fill="E5E5E5"/>
          </w:tcPr>
          <w:p>
            <w:pPr>
              <w:spacing w:after="0" w:line="221" w:lineRule="exact"/>
              <w:rPr>
                <w:sz w:val="20"/>
                <w:szCs w:val="20"/>
                <w:color w:val="auto"/>
              </w:rPr>
            </w:pPr>
            <w:r>
              <w:rPr>
                <w:rFonts w:ascii="Arial" w:cs="Arial" w:eastAsia="Arial" w:hAnsi="Arial"/>
                <w:sz w:val="20"/>
                <w:szCs w:val="20"/>
                <w:color w:val="auto"/>
              </w:rPr>
              <w:t>Audit Fees</w:t>
            </w:r>
          </w:p>
        </w:tc>
        <w:tc>
          <w:tcPr>
            <w:tcW w:w="3260" w:type="dxa"/>
            <w:vAlign w:val="bottom"/>
            <w:shd w:val="clear" w:color="auto" w:fill="E5E5E5"/>
          </w:tcPr>
          <w:p>
            <w:pPr>
              <w:spacing w:after="0"/>
              <w:rPr>
                <w:sz w:val="19"/>
                <w:szCs w:val="19"/>
                <w:color w:val="auto"/>
              </w:rPr>
            </w:pPr>
          </w:p>
        </w:tc>
        <w:tc>
          <w:tcPr>
            <w:tcW w:w="1040" w:type="dxa"/>
            <w:vAlign w:val="bottom"/>
            <w:shd w:val="clear" w:color="auto" w:fill="E5E5E5"/>
          </w:tcPr>
          <w:p>
            <w:pPr>
              <w:jc w:val="right"/>
              <w:spacing w:after="0" w:line="221" w:lineRule="exact"/>
              <w:rPr>
                <w:sz w:val="20"/>
                <w:szCs w:val="20"/>
                <w:color w:val="auto"/>
              </w:rPr>
            </w:pPr>
            <w:r>
              <w:rPr>
                <w:rFonts w:ascii="Arial" w:cs="Arial" w:eastAsia="Arial" w:hAnsi="Arial"/>
                <w:sz w:val="20"/>
                <w:szCs w:val="20"/>
                <w:color w:val="auto"/>
              </w:rPr>
              <w:t>$  577,120</w:t>
            </w:r>
          </w:p>
        </w:tc>
        <w:tc>
          <w:tcPr>
            <w:tcW w:w="1280" w:type="dxa"/>
            <w:vAlign w:val="bottom"/>
            <w:gridSpan w:val="2"/>
            <w:shd w:val="clear" w:color="auto" w:fill="E5E5E5"/>
          </w:tcPr>
          <w:p>
            <w:pPr>
              <w:jc w:val="right"/>
              <w:spacing w:after="0" w:line="221" w:lineRule="exact"/>
              <w:rPr>
                <w:sz w:val="20"/>
                <w:szCs w:val="20"/>
                <w:color w:val="auto"/>
              </w:rPr>
            </w:pPr>
            <w:r>
              <w:rPr>
                <w:rFonts w:ascii="Arial" w:cs="Arial" w:eastAsia="Arial" w:hAnsi="Arial"/>
                <w:sz w:val="20"/>
                <w:szCs w:val="20"/>
                <w:color w:val="auto"/>
              </w:rPr>
              <w:t>$  507,000</w:t>
            </w:r>
          </w:p>
        </w:tc>
      </w:tr>
    </w:tbl>
    <w:p>
      <w:pPr>
        <w:spacing w:after="0" w:line="21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All audit fees were pre-approved by the Audit Committee.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243" w:lineRule="exact"/>
        <w:rPr>
          <w:sz w:val="20"/>
          <w:szCs w:val="20"/>
          <w:color w:val="auto"/>
        </w:rPr>
      </w:pPr>
    </w:p>
    <w:p>
      <w:pPr>
        <w:jc w:val="both"/>
        <w:ind w:firstLine="720"/>
        <w:spacing w:after="0" w:line="278" w:lineRule="auto"/>
        <w:rPr>
          <w:sz w:val="20"/>
          <w:szCs w:val="20"/>
          <w:color w:val="auto"/>
        </w:rPr>
      </w:pPr>
      <w:r>
        <w:rPr>
          <w:rFonts w:ascii="Arial" w:cs="Arial" w:eastAsia="Arial" w:hAnsi="Arial"/>
          <w:sz w:val="18"/>
          <w:szCs w:val="18"/>
          <w:color w:val="auto"/>
        </w:rPr>
        <w:t>The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880" w:h="15480" w:orient="portrait"/>
          <w:cols w:equalWidth="0" w:num="1">
            <w:col w:w="9720"/>
          </w:cols>
          <w:pgMar w:left="1080" w:top="1177" w:right="1080" w:bottom="0" w:gutter="0" w:footer="0" w:header="0"/>
          <w:type w:val="continuous"/>
        </w:sectPr>
      </w:pPr>
    </w:p>
    <w:bookmarkStart w:id="130" w:name="page131"/>
    <w:bookmarkEnd w:id="130"/>
    <w:p>
      <w:pPr>
        <w:ind w:left="4460"/>
        <w:spacing w:after="0"/>
        <w:rPr>
          <w:sz w:val="20"/>
          <w:szCs w:val="20"/>
          <w:color w:val="auto"/>
        </w:rPr>
      </w:pPr>
      <w:r>
        <w:rPr>
          <w:rFonts w:ascii="Arial" w:cs="Arial" w:eastAsia="Arial" w:hAnsi="Arial"/>
          <w:sz w:val="20"/>
          <w:szCs w:val="20"/>
          <w:b w:val="1"/>
          <w:bCs w:val="1"/>
          <w:color w:val="auto"/>
        </w:rPr>
        <w:t>PART IV</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35" w:lineRule="exact"/>
        <w:rPr>
          <w:sz w:val="20"/>
          <w:szCs w:val="20"/>
          <w:color w:val="auto"/>
        </w:rPr>
      </w:pPr>
    </w:p>
    <w:p>
      <w:pPr>
        <w:ind w:left="1160" w:hanging="433"/>
        <w:spacing w:after="0"/>
        <w:tabs>
          <w:tab w:leader="none" w:pos="1160" w:val="left"/>
        </w:tabs>
        <w:numPr>
          <w:ilvl w:val="0"/>
          <w:numId w:val="6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The following documents are filed as part of this report:</w:t>
      </w:r>
    </w:p>
    <w:p>
      <w:pPr>
        <w:spacing w:after="0" w:line="229" w:lineRule="exact"/>
        <w:rPr>
          <w:rFonts w:ascii="Arial" w:cs="Arial" w:eastAsia="Arial" w:hAnsi="Arial"/>
          <w:sz w:val="20"/>
          <w:szCs w:val="20"/>
          <w:b w:val="1"/>
          <w:bCs w:val="1"/>
          <w:i w:val="1"/>
          <w:iCs w:val="1"/>
          <w:color w:val="auto"/>
        </w:rPr>
      </w:pPr>
    </w:p>
    <w:p>
      <w:pPr>
        <w:ind w:left="1520" w:hanging="433"/>
        <w:spacing w:after="0"/>
        <w:tabs>
          <w:tab w:leader="none" w:pos="1520" w:val="left"/>
        </w:tabs>
        <w:numPr>
          <w:ilvl w:val="1"/>
          <w:numId w:val="66"/>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Financial Statements</w:t>
      </w:r>
    </w:p>
    <w:p>
      <w:pPr>
        <w:spacing w:after="0" w:line="230" w:lineRule="exact"/>
        <w:rPr>
          <w:sz w:val="20"/>
          <w:szCs w:val="20"/>
          <w:color w:val="auto"/>
        </w:rPr>
      </w:pPr>
    </w:p>
    <w:p>
      <w:pPr>
        <w:jc w:val="both"/>
        <w:ind w:left="1080" w:firstLine="360"/>
        <w:spacing w:after="0" w:line="278" w:lineRule="auto"/>
        <w:rPr>
          <w:sz w:val="20"/>
          <w:szCs w:val="20"/>
          <w:color w:val="auto"/>
        </w:rPr>
      </w:pPr>
      <w:r>
        <w:rPr>
          <w:rFonts w:ascii="Arial" w:cs="Arial" w:eastAsia="Arial" w:hAnsi="Arial"/>
          <w:sz w:val="20"/>
          <w:szCs w:val="20"/>
          <w:color w:val="auto"/>
        </w:rPr>
        <w:t>Our consolidated financial statements are listed in the “Index to Consolidated Financial Statements” under Part II. Item 8 of this Annual Report on Form 10-K.</w:t>
      </w:r>
    </w:p>
    <w:p>
      <w:pPr>
        <w:spacing w:after="0" w:line="157" w:lineRule="exact"/>
        <w:rPr>
          <w:sz w:val="20"/>
          <w:szCs w:val="20"/>
          <w:color w:val="auto"/>
        </w:rPr>
      </w:pPr>
    </w:p>
    <w:p>
      <w:pPr>
        <w:ind w:left="1080"/>
        <w:spacing w:after="0"/>
        <w:tabs>
          <w:tab w:leader="none" w:pos="1500" w:val="left"/>
        </w:tabs>
        <w:rPr>
          <w:sz w:val="20"/>
          <w:szCs w:val="20"/>
          <w:color w:val="auto"/>
        </w:rPr>
      </w:pPr>
      <w:r>
        <w:rPr>
          <w:rFonts w:ascii="Arial" w:cs="Arial" w:eastAsia="Arial" w:hAnsi="Arial"/>
          <w:sz w:val="20"/>
          <w:szCs w:val="20"/>
          <w:b w:val="1"/>
          <w:bCs w:val="1"/>
          <w:i w:val="1"/>
          <w:iCs w:val="1"/>
          <w:color w:val="auto"/>
        </w:rPr>
        <w:t>(2)</w:t>
      </w:r>
      <w:r>
        <w:rPr>
          <w:sz w:val="20"/>
          <w:szCs w:val="20"/>
          <w:color w:val="auto"/>
        </w:rPr>
        <w:tab/>
      </w:r>
      <w:r>
        <w:rPr>
          <w:rFonts w:ascii="Arial" w:cs="Arial" w:eastAsia="Arial" w:hAnsi="Arial"/>
          <w:sz w:val="17"/>
          <w:szCs w:val="17"/>
          <w:b w:val="1"/>
          <w:bCs w:val="1"/>
          <w:i w:val="1"/>
          <w:iCs w:val="1"/>
          <w:color w:val="auto"/>
        </w:rPr>
        <w:t>Financial Statement Schedules</w:t>
      </w:r>
    </w:p>
    <w:p>
      <w:pPr>
        <w:spacing w:after="0" w:line="231" w:lineRule="exact"/>
        <w:rPr>
          <w:sz w:val="20"/>
          <w:szCs w:val="20"/>
          <w:color w:val="auto"/>
        </w:rPr>
      </w:pPr>
    </w:p>
    <w:p>
      <w:pPr>
        <w:jc w:val="both"/>
        <w:ind w:left="1080" w:firstLine="360"/>
        <w:spacing w:after="0" w:line="258" w:lineRule="auto"/>
        <w:rPr>
          <w:sz w:val="20"/>
          <w:szCs w:val="20"/>
          <w:color w:val="auto"/>
        </w:rPr>
      </w:pPr>
      <w:r>
        <w:rPr>
          <w:rFonts w:ascii="Arial" w:cs="Arial" w:eastAsia="Arial" w:hAnsi="Arial"/>
          <w:sz w:val="20"/>
          <w:szCs w:val="20"/>
          <w:color w:val="auto"/>
        </w:rPr>
        <w:t>Financial statement schedules have been omitted in this report because they are not applicable, not required under the instructions, or the information required is set forth in the consolidated financial statements or related notes thereto.</w:t>
      </w:r>
    </w:p>
    <w:p>
      <w:pPr>
        <w:spacing w:after="0" w:line="178" w:lineRule="exact"/>
        <w:rPr>
          <w:sz w:val="20"/>
          <w:szCs w:val="20"/>
          <w:color w:val="auto"/>
        </w:rPr>
      </w:pPr>
    </w:p>
    <w:p>
      <w:pPr>
        <w:ind w:left="1520" w:hanging="433"/>
        <w:spacing w:after="0"/>
        <w:tabs>
          <w:tab w:leader="none" w:pos="152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Exhibits</w:t>
      </w:r>
    </w:p>
    <w:p>
      <w:pPr>
        <w:spacing w:after="0" w:line="230"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See exhibits listed under part (b) below.</w:t>
      </w:r>
    </w:p>
    <w:p>
      <w:pPr>
        <w:spacing w:after="0" w:line="231" w:lineRule="exact"/>
        <w:rPr>
          <w:sz w:val="20"/>
          <w:szCs w:val="20"/>
          <w:color w:val="auto"/>
        </w:rPr>
      </w:pPr>
    </w:p>
    <w:p>
      <w:pPr>
        <w:ind w:left="1160" w:hanging="432"/>
        <w:spacing w:after="0"/>
        <w:tabs>
          <w:tab w:leader="none" w:pos="1160" w:val="left"/>
        </w:tabs>
        <w:numPr>
          <w:ilvl w:val="0"/>
          <w:numId w:val="68"/>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220" w:type="dxa"/>
            <w:vAlign w:val="bottom"/>
          </w:tcPr>
          <w:p>
            <w:pPr>
              <w:spacing w:after="0"/>
              <w:rPr>
                <w:sz w:val="16"/>
                <w:szCs w:val="16"/>
                <w:color w:val="auto"/>
              </w:rPr>
            </w:pPr>
          </w:p>
        </w:tc>
        <w:tc>
          <w:tcPr>
            <w:tcW w:w="8740" w:type="dxa"/>
            <w:vAlign w:val="bottom"/>
            <w:vMerge w:val="restart"/>
          </w:tcPr>
          <w:p>
            <w:pPr>
              <w:ind w:left="3520"/>
              <w:spacing w:after="0"/>
              <w:rPr>
                <w:sz w:val="20"/>
                <w:szCs w:val="20"/>
                <w:color w:val="auto"/>
              </w:rPr>
            </w:pPr>
            <w:r>
              <w:rPr>
                <w:rFonts w:ascii="Arial" w:cs="Arial" w:eastAsia="Arial" w:hAnsi="Arial"/>
                <w:sz w:val="16"/>
                <w:szCs w:val="16"/>
                <w:b w:val="1"/>
                <w:bCs w:val="1"/>
                <w:color w:val="auto"/>
              </w:rPr>
              <w:t>Description of Document</w:t>
            </w:r>
          </w:p>
        </w:tc>
        <w:tc>
          <w:tcPr>
            <w:tcW w:w="0" w:type="dxa"/>
            <w:vAlign w:val="bottom"/>
          </w:tcPr>
          <w:p>
            <w:pPr>
              <w:spacing w:after="0"/>
              <w:rPr>
                <w:sz w:val="1"/>
                <w:szCs w:val="1"/>
                <w:color w:val="auto"/>
              </w:rPr>
            </w:pPr>
          </w:p>
        </w:tc>
      </w:tr>
      <w:tr>
        <w:trPr>
          <w:trHeight w:val="192"/>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220" w:type="dxa"/>
            <w:vAlign w:val="bottom"/>
          </w:tcPr>
          <w:p>
            <w:pPr>
              <w:spacing w:after="0"/>
              <w:rPr>
                <w:sz w:val="16"/>
                <w:szCs w:val="16"/>
                <w:color w:val="auto"/>
              </w:rPr>
            </w:pPr>
          </w:p>
        </w:tc>
        <w:tc>
          <w:tcPr>
            <w:tcW w:w="8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760" w:type="dxa"/>
            <w:vAlign w:val="bottom"/>
          </w:tcPr>
          <w:p>
            <w:pPr>
              <w:jc w:val="center"/>
              <w:spacing w:after="0"/>
              <w:rPr>
                <w:sz w:val="20"/>
                <w:szCs w:val="20"/>
                <w:color w:val="auto"/>
              </w:rPr>
            </w:pPr>
            <w:r>
              <w:rPr>
                <w:rFonts w:ascii="Arial" w:cs="Arial" w:eastAsia="Arial" w:hAnsi="Arial"/>
                <w:sz w:val="20"/>
                <w:szCs w:val="20"/>
                <w:color w:val="auto"/>
                <w:w w:val="92"/>
              </w:rPr>
              <w:t>2.1#</w:t>
            </w:r>
          </w:p>
        </w:tc>
        <w:tc>
          <w:tcPr>
            <w:tcW w:w="8960" w:type="dxa"/>
            <w:vAlign w:val="bottom"/>
            <w:gridSpan w:val="2"/>
          </w:tcPr>
          <w:p>
            <w:pPr>
              <w:ind w:left="220"/>
              <w:spacing w:after="0"/>
              <w:rPr>
                <w:sz w:val="20"/>
                <w:szCs w:val="20"/>
                <w:color w:val="auto"/>
              </w:rPr>
            </w:pPr>
            <w:r>
              <w:rPr>
                <w:rFonts w:ascii="Arial" w:cs="Arial" w:eastAsia="Arial" w:hAnsi="Arial"/>
                <w:sz w:val="20"/>
                <w:szCs w:val="20"/>
                <w:color w:val="auto"/>
                <w:w w:val="96"/>
              </w:rPr>
              <w:t>Agreement and Plan of Merger, dated as of August 3, 2017, by and among the Registrant, Aclaris Life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20"/>
                <w:szCs w:val="20"/>
                <w:color w:val="auto"/>
                <w:w w:val="91"/>
              </w:rPr>
              <w:t>Sciences, Inc., Confluence Life Sciences, Inc. and Fortis Advisors LLC (incorporated by reference to Exhibit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2.1 to the Registrant’s Quarterly Report on Form 10-Q (File No. 001-37581), filed with the SEC on</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November 7, 2017).</w:t>
            </w:r>
          </w:p>
        </w:tc>
        <w:tc>
          <w:tcPr>
            <w:tcW w:w="0" w:type="dxa"/>
            <w:vAlign w:val="bottom"/>
          </w:tcPr>
          <w:p>
            <w:pPr>
              <w:spacing w:after="0"/>
              <w:rPr>
                <w:sz w:val="1"/>
                <w:szCs w:val="1"/>
                <w:color w:val="auto"/>
              </w:rPr>
            </w:pPr>
          </w:p>
        </w:tc>
      </w:tr>
      <w:tr>
        <w:trPr>
          <w:trHeight w:val="353"/>
        </w:trPr>
        <w:tc>
          <w:tcPr>
            <w:tcW w:w="760" w:type="dxa"/>
            <w:vAlign w:val="bottom"/>
          </w:tcPr>
          <w:p>
            <w:pPr>
              <w:jc w:val="center"/>
              <w:spacing w:after="0"/>
              <w:rPr>
                <w:sz w:val="20"/>
                <w:szCs w:val="20"/>
                <w:color w:val="auto"/>
              </w:rPr>
            </w:pPr>
            <w:r>
              <w:rPr>
                <w:rFonts w:ascii="Arial" w:cs="Arial" w:eastAsia="Arial" w:hAnsi="Arial"/>
                <w:sz w:val="20"/>
                <w:szCs w:val="20"/>
                <w:color w:val="auto"/>
                <w:w w:val="86"/>
              </w:rPr>
              <w:t>3.1</w:t>
            </w:r>
          </w:p>
        </w:tc>
        <w:tc>
          <w:tcPr>
            <w:tcW w:w="8960" w:type="dxa"/>
            <w:vAlign w:val="bottom"/>
            <w:gridSpan w:val="2"/>
          </w:tcPr>
          <w:p>
            <w:pPr>
              <w:ind w:left="220"/>
              <w:spacing w:after="0"/>
              <w:rPr>
                <w:sz w:val="20"/>
                <w:szCs w:val="20"/>
                <w:color w:val="auto"/>
              </w:rPr>
            </w:pPr>
            <w:r>
              <w:rPr>
                <w:rFonts w:ascii="Arial" w:cs="Arial" w:eastAsia="Arial" w:hAnsi="Arial"/>
                <w:sz w:val="20"/>
                <w:szCs w:val="20"/>
                <w:color w:val="auto"/>
                <w:w w:val="90"/>
              </w:rPr>
              <w:t>Amended and Restated Certificate of Incorporation of the Registrant (incorporated by reference to Exhibit 3.1</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20"/>
                <w:szCs w:val="20"/>
                <w:color w:val="auto"/>
                <w:w w:val="95"/>
              </w:rPr>
              <w:t>to the Registrant’s Current Report on Form 8-K (File No. 001-37581), filed with the SEC on October 13,</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8960" w:type="dxa"/>
            <w:vAlign w:val="bottom"/>
            <w:gridSpan w:val="2"/>
          </w:tcPr>
          <w:p>
            <w:pPr>
              <w:ind w:left="220"/>
              <w:spacing w:after="0"/>
              <w:rPr>
                <w:sz w:val="20"/>
                <w:szCs w:val="20"/>
                <w:color w:val="auto"/>
              </w:rPr>
            </w:pPr>
            <w:r>
              <w:rPr>
                <w:rFonts w:ascii="Arial" w:cs="Arial" w:eastAsia="Arial" w:hAnsi="Arial"/>
                <w:sz w:val="20"/>
                <w:szCs w:val="20"/>
                <w:color w:val="auto"/>
              </w:rPr>
              <w:t>2015).</w:t>
            </w:r>
          </w:p>
        </w:tc>
        <w:tc>
          <w:tcPr>
            <w:tcW w:w="0" w:type="dxa"/>
            <w:vAlign w:val="bottom"/>
          </w:tcPr>
          <w:p>
            <w:pPr>
              <w:spacing w:after="0"/>
              <w:rPr>
                <w:sz w:val="1"/>
                <w:szCs w:val="1"/>
                <w:color w:val="auto"/>
              </w:rPr>
            </w:pPr>
          </w:p>
        </w:tc>
      </w:tr>
      <w:tr>
        <w:trPr>
          <w:trHeight w:val="353"/>
        </w:trPr>
        <w:tc>
          <w:tcPr>
            <w:tcW w:w="760" w:type="dxa"/>
            <w:vAlign w:val="bottom"/>
          </w:tcPr>
          <w:p>
            <w:pPr>
              <w:jc w:val="center"/>
              <w:spacing w:after="0"/>
              <w:rPr>
                <w:sz w:val="20"/>
                <w:szCs w:val="20"/>
                <w:color w:val="auto"/>
              </w:rPr>
            </w:pPr>
            <w:r>
              <w:rPr>
                <w:rFonts w:ascii="Arial" w:cs="Arial" w:eastAsia="Arial" w:hAnsi="Arial"/>
                <w:sz w:val="20"/>
                <w:szCs w:val="20"/>
                <w:color w:val="auto"/>
                <w:w w:val="86"/>
              </w:rPr>
              <w:t>3.2</w:t>
            </w:r>
          </w:p>
        </w:tc>
        <w:tc>
          <w:tcPr>
            <w:tcW w:w="2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Certificate of Amendment to Amended and Restated Certificate of Incorporation of the Registrant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20"/>
                <w:szCs w:val="20"/>
                <w:color w:val="auto"/>
                <w:w w:val="98"/>
              </w:rPr>
              <w:t>(incorporated herein by reference to Exhibit 3.1 to the Registrant’s Current Report on Form 8-K (File</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No. 001-37581), filed with the SEC on June 5, 2025).</w:t>
            </w:r>
          </w:p>
        </w:tc>
        <w:tc>
          <w:tcPr>
            <w:tcW w:w="0" w:type="dxa"/>
            <w:vAlign w:val="bottom"/>
          </w:tcPr>
          <w:p>
            <w:pPr>
              <w:spacing w:after="0"/>
              <w:rPr>
                <w:sz w:val="1"/>
                <w:szCs w:val="1"/>
                <w:color w:val="auto"/>
              </w:rPr>
            </w:pPr>
          </w:p>
        </w:tc>
      </w:tr>
      <w:tr>
        <w:trPr>
          <w:trHeight w:val="354"/>
        </w:trPr>
        <w:tc>
          <w:tcPr>
            <w:tcW w:w="760" w:type="dxa"/>
            <w:vAlign w:val="bottom"/>
          </w:tcPr>
          <w:p>
            <w:pPr>
              <w:jc w:val="center"/>
              <w:spacing w:after="0"/>
              <w:rPr>
                <w:sz w:val="20"/>
                <w:szCs w:val="20"/>
                <w:color w:val="auto"/>
              </w:rPr>
            </w:pPr>
            <w:r>
              <w:rPr>
                <w:rFonts w:ascii="Arial" w:cs="Arial" w:eastAsia="Arial" w:hAnsi="Arial"/>
                <w:sz w:val="20"/>
                <w:szCs w:val="20"/>
                <w:color w:val="auto"/>
                <w:w w:val="86"/>
              </w:rPr>
              <w:t>3.3</w:t>
            </w:r>
          </w:p>
        </w:tc>
        <w:tc>
          <w:tcPr>
            <w:tcW w:w="2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20"/>
                <w:szCs w:val="20"/>
                <w:color w:val="auto"/>
                <w:w w:val="90"/>
              </w:rPr>
              <w:t>Amended and Restated Bylaws of the Registrant (incorporated by reference to Exhibit 3.1 to the Registrant’s</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Current Report on Form 8-K (File No. 001-37581), filed with the SEC on June 24, 2020).</w:t>
            </w:r>
          </w:p>
        </w:tc>
        <w:tc>
          <w:tcPr>
            <w:tcW w:w="0" w:type="dxa"/>
            <w:vAlign w:val="bottom"/>
          </w:tcPr>
          <w:p>
            <w:pPr>
              <w:spacing w:after="0"/>
              <w:rPr>
                <w:sz w:val="1"/>
                <w:szCs w:val="1"/>
                <w:color w:val="auto"/>
              </w:rPr>
            </w:pPr>
          </w:p>
        </w:tc>
      </w:tr>
      <w:tr>
        <w:trPr>
          <w:trHeight w:val="390"/>
        </w:trPr>
        <w:tc>
          <w:tcPr>
            <w:tcW w:w="760" w:type="dxa"/>
            <w:vAlign w:val="bottom"/>
          </w:tcPr>
          <w:p>
            <w:pPr>
              <w:jc w:val="center"/>
              <w:spacing w:after="0"/>
              <w:rPr>
                <w:sz w:val="20"/>
                <w:szCs w:val="20"/>
                <w:color w:val="auto"/>
              </w:rPr>
            </w:pPr>
            <w:r>
              <w:rPr>
                <w:rFonts w:ascii="Arial" w:cs="Arial" w:eastAsia="Arial" w:hAnsi="Arial"/>
                <w:sz w:val="20"/>
                <w:szCs w:val="20"/>
                <w:color w:val="auto"/>
              </w:rPr>
              <w:t>4.1*</w:t>
            </w:r>
          </w:p>
        </w:tc>
        <w:tc>
          <w:tcPr>
            <w:tcW w:w="8960" w:type="dxa"/>
            <w:vAlign w:val="bottom"/>
            <w:gridSpan w:val="2"/>
          </w:tcPr>
          <w:p>
            <w:pPr>
              <w:ind w:left="220"/>
              <w:spacing w:after="0"/>
              <w:rPr>
                <w:sz w:val="20"/>
                <w:szCs w:val="20"/>
                <w:color w:val="auto"/>
              </w:rPr>
            </w:pPr>
            <w:r>
              <w:rPr>
                <w:rFonts w:ascii="Arial" w:cs="Arial" w:eastAsia="Arial" w:hAnsi="Arial"/>
                <w:sz w:val="20"/>
                <w:szCs w:val="20"/>
                <w:color w:val="auto"/>
              </w:rPr>
              <w:t>Description of Securities.</w:t>
            </w:r>
          </w:p>
        </w:tc>
        <w:tc>
          <w:tcPr>
            <w:tcW w:w="0" w:type="dxa"/>
            <w:vAlign w:val="bottom"/>
          </w:tcPr>
          <w:p>
            <w:pPr>
              <w:spacing w:after="0"/>
              <w:rPr>
                <w:sz w:val="1"/>
                <w:szCs w:val="1"/>
                <w:color w:val="auto"/>
              </w:rPr>
            </w:pPr>
          </w:p>
        </w:tc>
      </w:tr>
      <w:tr>
        <w:trPr>
          <w:trHeight w:val="354"/>
        </w:trPr>
        <w:tc>
          <w:tcPr>
            <w:tcW w:w="760" w:type="dxa"/>
            <w:vAlign w:val="bottom"/>
          </w:tcPr>
          <w:p>
            <w:pPr>
              <w:jc w:val="center"/>
              <w:spacing w:after="0"/>
              <w:rPr>
                <w:sz w:val="20"/>
                <w:szCs w:val="20"/>
                <w:color w:val="auto"/>
              </w:rPr>
            </w:pPr>
            <w:r>
              <w:rPr>
                <w:rFonts w:ascii="Arial" w:cs="Arial" w:eastAsia="Arial" w:hAnsi="Arial"/>
                <w:sz w:val="20"/>
                <w:szCs w:val="20"/>
                <w:color w:val="auto"/>
                <w:w w:val="94"/>
              </w:rPr>
              <w:t>10.1+</w:t>
            </w:r>
          </w:p>
        </w:tc>
        <w:tc>
          <w:tcPr>
            <w:tcW w:w="8960" w:type="dxa"/>
            <w:vAlign w:val="bottom"/>
            <w:gridSpan w:val="2"/>
          </w:tcPr>
          <w:p>
            <w:pPr>
              <w:ind w:left="220"/>
              <w:spacing w:after="0"/>
              <w:rPr>
                <w:sz w:val="20"/>
                <w:szCs w:val="20"/>
                <w:color w:val="auto"/>
              </w:rPr>
            </w:pPr>
            <w:r>
              <w:rPr>
                <w:rFonts w:ascii="Arial" w:cs="Arial" w:eastAsia="Arial" w:hAnsi="Arial"/>
                <w:sz w:val="20"/>
                <w:szCs w:val="20"/>
                <w:color w:val="auto"/>
                <w:w w:val="89"/>
              </w:rPr>
              <w:t>2015 Equity Incentive Plan (incorporated by reference to Exhibit 4.6 to the Registrant’s Registration Statement</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on Form S-8 (File No. 333-207434), filed with the SEC on October 15, 2015).</w:t>
            </w:r>
          </w:p>
        </w:tc>
        <w:tc>
          <w:tcPr>
            <w:tcW w:w="0" w:type="dxa"/>
            <w:vAlign w:val="bottom"/>
          </w:tcPr>
          <w:p>
            <w:pPr>
              <w:spacing w:after="0"/>
              <w:rPr>
                <w:sz w:val="1"/>
                <w:szCs w:val="1"/>
                <w:color w:val="auto"/>
              </w:rPr>
            </w:pPr>
          </w:p>
        </w:tc>
      </w:tr>
      <w:tr>
        <w:trPr>
          <w:trHeight w:val="353"/>
        </w:trPr>
        <w:tc>
          <w:tcPr>
            <w:tcW w:w="760" w:type="dxa"/>
            <w:vAlign w:val="bottom"/>
          </w:tcPr>
          <w:p>
            <w:pPr>
              <w:jc w:val="center"/>
              <w:spacing w:after="0"/>
              <w:rPr>
                <w:sz w:val="20"/>
                <w:szCs w:val="20"/>
                <w:color w:val="auto"/>
              </w:rPr>
            </w:pPr>
            <w:r>
              <w:rPr>
                <w:rFonts w:ascii="Arial" w:cs="Arial" w:eastAsia="Arial" w:hAnsi="Arial"/>
                <w:sz w:val="20"/>
                <w:szCs w:val="20"/>
                <w:color w:val="auto"/>
                <w:w w:val="90"/>
              </w:rPr>
              <w:t>10.2+</w:t>
            </w:r>
          </w:p>
        </w:tc>
        <w:tc>
          <w:tcPr>
            <w:tcW w:w="2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Form of Stock Option Grant Notice and Stock Option Agreement under 2015 Equity Incentive Plan</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20"/>
                <w:szCs w:val="20"/>
                <w:color w:val="auto"/>
                <w:w w:val="92"/>
              </w:rPr>
              <w:t>(incorporated by reference to Exhibit 10.10 to Amendment No. 2 to the Registrant’s Registration Statement</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on Form S-1 (File No. 333-206437), filed with the SEC on September 25, 2015).</w:t>
            </w:r>
          </w:p>
        </w:tc>
        <w:tc>
          <w:tcPr>
            <w:tcW w:w="0" w:type="dxa"/>
            <w:vAlign w:val="bottom"/>
          </w:tcPr>
          <w:p>
            <w:pPr>
              <w:spacing w:after="0"/>
              <w:rPr>
                <w:sz w:val="1"/>
                <w:szCs w:val="1"/>
                <w:color w:val="auto"/>
              </w:rPr>
            </w:pPr>
          </w:p>
        </w:tc>
      </w:tr>
      <w:tr>
        <w:trPr>
          <w:trHeight w:val="353"/>
        </w:trPr>
        <w:tc>
          <w:tcPr>
            <w:tcW w:w="760" w:type="dxa"/>
            <w:vAlign w:val="bottom"/>
          </w:tcPr>
          <w:p>
            <w:pPr>
              <w:jc w:val="center"/>
              <w:spacing w:after="0"/>
              <w:rPr>
                <w:sz w:val="20"/>
                <w:szCs w:val="20"/>
                <w:color w:val="auto"/>
              </w:rPr>
            </w:pPr>
            <w:r>
              <w:rPr>
                <w:rFonts w:ascii="Arial" w:cs="Arial" w:eastAsia="Arial" w:hAnsi="Arial"/>
                <w:sz w:val="20"/>
                <w:szCs w:val="20"/>
                <w:color w:val="auto"/>
                <w:w w:val="90"/>
              </w:rPr>
              <w:t>10.3+</w:t>
            </w:r>
          </w:p>
        </w:tc>
        <w:tc>
          <w:tcPr>
            <w:tcW w:w="8960" w:type="dxa"/>
            <w:vAlign w:val="bottom"/>
            <w:gridSpan w:val="2"/>
          </w:tcPr>
          <w:p>
            <w:pPr>
              <w:ind w:left="220"/>
              <w:spacing w:after="0"/>
              <w:rPr>
                <w:sz w:val="20"/>
                <w:szCs w:val="20"/>
                <w:color w:val="auto"/>
              </w:rPr>
            </w:pPr>
            <w:r>
              <w:rPr>
                <w:rFonts w:ascii="Arial" w:cs="Arial" w:eastAsia="Arial" w:hAnsi="Arial"/>
                <w:sz w:val="20"/>
                <w:szCs w:val="20"/>
                <w:color w:val="auto"/>
                <w:w w:val="92"/>
              </w:rPr>
              <w:t>Form of Restricted Stock Unit Grant Notice and Restricted Stock Unit Award Agreement under 2015 Equity</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Incentive Plan (incorporated by reference to Exhibit 10.11 to Amendment No. 2 to the Registrant’s</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0"/>
                <w:szCs w:val="20"/>
                <w:color w:val="auto"/>
                <w:w w:val="95"/>
              </w:rPr>
              <w:t>Registration Statement on Form S-1 (File No. 333-206437), filed with the SEC on September 25, 2015).</w:t>
            </w:r>
          </w:p>
        </w:tc>
        <w:tc>
          <w:tcPr>
            <w:tcW w:w="0" w:type="dxa"/>
            <w:vAlign w:val="bottom"/>
          </w:tcPr>
          <w:p>
            <w:pPr>
              <w:spacing w:after="0"/>
              <w:rPr>
                <w:sz w:val="1"/>
                <w:szCs w:val="1"/>
                <w:color w:val="auto"/>
              </w:rPr>
            </w:pPr>
          </w:p>
        </w:tc>
      </w:tr>
      <w:tr>
        <w:trPr>
          <w:trHeight w:val="354"/>
        </w:trPr>
        <w:tc>
          <w:tcPr>
            <w:tcW w:w="760" w:type="dxa"/>
            <w:vAlign w:val="bottom"/>
          </w:tcPr>
          <w:p>
            <w:pPr>
              <w:jc w:val="center"/>
              <w:spacing w:after="0"/>
              <w:rPr>
                <w:sz w:val="20"/>
                <w:szCs w:val="20"/>
                <w:color w:val="auto"/>
              </w:rPr>
            </w:pPr>
            <w:r>
              <w:rPr>
                <w:rFonts w:ascii="Arial" w:cs="Arial" w:eastAsia="Arial" w:hAnsi="Arial"/>
                <w:sz w:val="20"/>
                <w:szCs w:val="20"/>
                <w:color w:val="auto"/>
                <w:w w:val="90"/>
              </w:rPr>
              <w:t>10.4+</w:t>
            </w:r>
          </w:p>
        </w:tc>
        <w:tc>
          <w:tcPr>
            <w:tcW w:w="8960" w:type="dxa"/>
            <w:vAlign w:val="bottom"/>
            <w:gridSpan w:val="2"/>
          </w:tcPr>
          <w:p>
            <w:pPr>
              <w:ind w:left="220"/>
              <w:spacing w:after="0"/>
              <w:rPr>
                <w:sz w:val="20"/>
                <w:szCs w:val="20"/>
                <w:color w:val="auto"/>
              </w:rPr>
            </w:pPr>
            <w:r>
              <w:rPr>
                <w:rFonts w:ascii="Arial" w:cs="Arial" w:eastAsia="Arial" w:hAnsi="Arial"/>
                <w:sz w:val="20"/>
                <w:szCs w:val="20"/>
                <w:color w:val="auto"/>
                <w:w w:val="90"/>
              </w:rPr>
              <w:t>2017 Inducement Plan (incorporated herein by reference to Exhibit 10.1 to the Registrant’s Current Report on</w:t>
            </w:r>
          </w:p>
        </w:tc>
        <w:tc>
          <w:tcPr>
            <w:tcW w:w="0" w:type="dxa"/>
            <w:vAlign w:val="bottom"/>
          </w:tcPr>
          <w:p>
            <w:pPr>
              <w:spacing w:after="0"/>
              <w:rPr>
                <w:sz w:val="1"/>
                <w:szCs w:val="1"/>
                <w:color w:val="auto"/>
              </w:rPr>
            </w:pPr>
          </w:p>
        </w:tc>
      </w:tr>
      <w:tr>
        <w:trPr>
          <w:trHeight w:val="267"/>
        </w:trPr>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Arial" w:cs="Arial" w:eastAsia="Arial" w:hAnsi="Arial"/>
                <w:sz w:val="20"/>
                <w:szCs w:val="20"/>
                <w:color w:val="auto"/>
              </w:rPr>
              <w:t>Form 8-K (File No. 001-37581), filed with the SEC on August 1,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880" w:h="15480" w:orient="portrait"/>
          <w:cols w:equalWidth="0" w:num="1">
            <w:col w:w="9720"/>
          </w:cols>
          <w:pgMar w:left="1080" w:top="1173" w:right="1080" w:bottom="0" w:gutter="0" w:footer="0" w:header="0"/>
          <w:type w:val="continuous"/>
        </w:sectPr>
      </w:pPr>
    </w:p>
    <w:bookmarkStart w:id="131" w:name="page132"/>
    <w:bookmarkEnd w:id="131"/>
    <w:p>
      <w:pPr>
        <w:jc w:val="both"/>
        <w:ind w:left="920" w:hanging="829"/>
        <w:spacing w:after="0" w:line="259" w:lineRule="auto"/>
        <w:tabs>
          <w:tab w:leader="none" w:pos="90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color w:val="auto"/>
        </w:rPr>
        <w:t>Form of Stock Option Grant Notice and Stock Option Agreement used in connection with the 2017 Inducement Plan (incorporated herein by reference to Exhibit 10.2 to the Registrant’s Current Report on Form 8-K (File No. 001-37581), filed with the SEC on August 1, 2017).</w:t>
      </w:r>
    </w:p>
    <w:p>
      <w:pPr>
        <w:spacing w:after="0" w:line="105" w:lineRule="exact"/>
        <w:rPr>
          <w:sz w:val="20"/>
          <w:szCs w:val="20"/>
          <w:color w:val="auto"/>
        </w:rPr>
      </w:pPr>
    </w:p>
    <w:p>
      <w:pPr>
        <w:jc w:val="both"/>
        <w:ind w:left="920" w:hanging="829"/>
        <w:spacing w:after="0" w:line="278" w:lineRule="auto"/>
        <w:tabs>
          <w:tab w:leader="none" w:pos="90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20"/>
          <w:szCs w:val="20"/>
          <w:color w:val="auto"/>
        </w:rPr>
        <w:t>2024 Inducement Plan (incorporated herein by reference to Exhibit 10.4 to the Registrant’s Current Report on Form 8-K (File No. 001-37581), filed with the SEC on November 18, 2024).</w:t>
      </w:r>
    </w:p>
    <w:p>
      <w:pPr>
        <w:spacing w:after="0" w:line="88" w:lineRule="exact"/>
        <w:rPr>
          <w:sz w:val="20"/>
          <w:szCs w:val="20"/>
          <w:color w:val="auto"/>
        </w:rPr>
      </w:pPr>
    </w:p>
    <w:p>
      <w:pPr>
        <w:jc w:val="both"/>
        <w:ind w:left="920" w:hanging="829"/>
        <w:spacing w:after="0" w:line="259" w:lineRule="auto"/>
        <w:tabs>
          <w:tab w:leader="none" w:pos="90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Form of Stock Option Grant Notice and Stock Option Agreement used in connection with the 2024 Inducement Plan (incorporated herein by reference to Exhibit 10.5 to the Registrant’s Current Report on Form 8-K (File No. 001-37581), filed with the SEC on November 18, 2024).</w:t>
      </w:r>
    </w:p>
    <w:p>
      <w:pPr>
        <w:spacing w:after="0" w:line="105" w:lineRule="exact"/>
        <w:rPr>
          <w:sz w:val="20"/>
          <w:szCs w:val="20"/>
          <w:color w:val="auto"/>
        </w:rPr>
      </w:pPr>
    </w:p>
    <w:p>
      <w:pPr>
        <w:jc w:val="both"/>
        <w:ind w:left="920" w:hanging="829"/>
        <w:spacing w:after="0" w:line="301" w:lineRule="auto"/>
        <w:tabs>
          <w:tab w:leader="none" w:pos="90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8"/>
          <w:szCs w:val="18"/>
          <w:color w:val="auto"/>
        </w:rPr>
        <w:t>Form of Restricted Stock Unit Grant Notice and Restricted Stock Unit Award Agreement used in connection with the 2024 Inducement Plan (incorporated herein by reference to Exhibit 10.6 to the Registrant’s Current Report on Form 8-K (File No. 001-37581), filed with the SEC on November 18, 2024).</w:t>
      </w:r>
    </w:p>
    <w:p>
      <w:pPr>
        <w:spacing w:after="0" w:line="72" w:lineRule="exact"/>
        <w:rPr>
          <w:sz w:val="20"/>
          <w:szCs w:val="20"/>
          <w:color w:val="auto"/>
        </w:rPr>
      </w:pPr>
    </w:p>
    <w:p>
      <w:pPr>
        <w:jc w:val="both"/>
        <w:ind w:left="920" w:hanging="829"/>
        <w:spacing w:after="0" w:line="278" w:lineRule="auto"/>
        <w:tabs>
          <w:tab w:leader="none" w:pos="90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20"/>
          <w:szCs w:val="20"/>
          <w:color w:val="auto"/>
        </w:rPr>
        <w:t>2025 Equity Incentive Plan (incorporated herein by reference to Exhibit 10.1 to the Registrant’s Current Report on Form 8-K (File No. 001-37581), filed with the SEC on June 5, 2025).</w:t>
      </w:r>
    </w:p>
    <w:p>
      <w:pPr>
        <w:spacing w:after="0" w:line="86" w:lineRule="exact"/>
        <w:rPr>
          <w:sz w:val="20"/>
          <w:szCs w:val="20"/>
          <w:color w:val="auto"/>
        </w:rPr>
      </w:pPr>
    </w:p>
    <w:p>
      <w:pPr>
        <w:jc w:val="both"/>
        <w:ind w:left="920" w:hanging="879"/>
        <w:spacing w:after="0" w:line="279" w:lineRule="auto"/>
        <w:tabs>
          <w:tab w:leader="none" w:pos="90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9"/>
          <w:szCs w:val="19"/>
          <w:color w:val="auto"/>
        </w:rPr>
        <w:t>Form of Stock Option Grant Notice and Option Agreement used in connection with the Aclaris Therapeutics, Inc. 2025 Equity Incentive Plan (incorporated herein by reference to Exhibit 10.2 to the Registrant’s Current Report on Form 8-K (File No. 001-37581), filed with the SEC on June 5, 2025).</w:t>
      </w:r>
    </w:p>
    <w:p>
      <w:pPr>
        <w:spacing w:after="0" w:line="89" w:lineRule="exact"/>
        <w:rPr>
          <w:sz w:val="20"/>
          <w:szCs w:val="20"/>
          <w:color w:val="auto"/>
        </w:rPr>
      </w:pPr>
    </w:p>
    <w:p>
      <w:pPr>
        <w:jc w:val="both"/>
        <w:ind w:left="920" w:hanging="879"/>
        <w:spacing w:after="0" w:line="252" w:lineRule="auto"/>
        <w:tabs>
          <w:tab w:leader="none" w:pos="90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0"/>
          <w:szCs w:val="20"/>
          <w:color w:val="auto"/>
        </w:rPr>
        <w:t>Form of Restricted Stock Unit Grant Notice and Restricted Stock Unit Award Agreement used in connection with the Aclaris Therapeutics, Inc. 2025 Equity Incentive Plan (incorporated herein by reference to Exhibit 10.3 to the Registrant’s Current Report on Form 8-K (File No. 001-37581), filed with the SEC on June 5, 2025).</w:t>
      </w:r>
    </w:p>
    <w:p>
      <w:pPr>
        <w:spacing w:after="0" w:line="113" w:lineRule="exact"/>
        <w:rPr>
          <w:sz w:val="20"/>
          <w:szCs w:val="20"/>
          <w:color w:val="auto"/>
        </w:rPr>
      </w:pPr>
    </w:p>
    <w:p>
      <w:pPr>
        <w:jc w:val="both"/>
        <w:ind w:left="920" w:hanging="878"/>
        <w:spacing w:after="0" w:line="259" w:lineRule="auto"/>
        <w:tabs>
          <w:tab w:leader="none" w:pos="90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20"/>
          <w:szCs w:val="20"/>
          <w:color w:val="auto"/>
        </w:rPr>
        <w:t>Tenth Amended and Restated Non-Employee Director Compensation Policy (incorporated herein by reference to Exhibit 10.4 to the Registrant’s Quarterly Report on Form 10-Q (File No. 001-37581), filed with the SEC on May 8, 2025).</w:t>
      </w:r>
    </w:p>
    <w:p>
      <w:pPr>
        <w:spacing w:after="0" w:line="106" w:lineRule="exact"/>
        <w:rPr>
          <w:sz w:val="20"/>
          <w:szCs w:val="20"/>
          <w:color w:val="auto"/>
        </w:rPr>
      </w:pPr>
    </w:p>
    <w:p>
      <w:pPr>
        <w:jc w:val="both"/>
        <w:ind w:left="920" w:hanging="878"/>
        <w:spacing w:after="0" w:line="305" w:lineRule="auto"/>
        <w:tabs>
          <w:tab w:leader="none" w:pos="90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9"/>
          <w:szCs w:val="19"/>
          <w:color w:val="auto"/>
        </w:rPr>
        <w:t>Form of Indemnification Agreement (incorporated by reference to Exhibit 10.12 to the Registrant’s Registration Statement on Form S-1 (File No. 333-206437), filed with the SEC on August 17, 2015).</w:t>
      </w:r>
    </w:p>
    <w:p>
      <w:pPr>
        <w:spacing w:after="0" w:line="64" w:lineRule="exact"/>
        <w:rPr>
          <w:sz w:val="20"/>
          <w:szCs w:val="20"/>
          <w:color w:val="auto"/>
        </w:rPr>
      </w:pPr>
    </w:p>
    <w:p>
      <w:pPr>
        <w:jc w:val="both"/>
        <w:ind w:left="920" w:hanging="878"/>
        <w:spacing w:after="0" w:line="259" w:lineRule="auto"/>
        <w:tabs>
          <w:tab w:leader="none" w:pos="90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20"/>
          <w:szCs w:val="20"/>
          <w:color w:val="auto"/>
        </w:rPr>
        <w:t>Employment Agreement, dated as of April 28, 2025, by and between the Registrant and Jesse Hall (incorporated herein by reference to Exhibit 10.3 to the Registrant’s Quarterly Report on Form 10-Q (File No. 001-37581), filed with the SEC on May 8, 2025).</w:t>
      </w:r>
    </w:p>
    <w:p>
      <w:pPr>
        <w:spacing w:after="0" w:line="106" w:lineRule="exact"/>
        <w:rPr>
          <w:sz w:val="20"/>
          <w:szCs w:val="20"/>
          <w:color w:val="auto"/>
        </w:rPr>
      </w:pPr>
    </w:p>
    <w:p>
      <w:pPr>
        <w:jc w:val="both"/>
        <w:ind w:left="920" w:hanging="878"/>
        <w:spacing w:after="0" w:line="258" w:lineRule="auto"/>
        <w:tabs>
          <w:tab w:leader="none" w:pos="90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20"/>
          <w:szCs w:val="20"/>
          <w:color w:val="auto"/>
        </w:rPr>
        <w:t>Employment Agreement, dated as of January 31, 2022, by and between the Registrant and James Loerop (incorporated herein by reference to Exhibit 10.16 to the Registrant’s Annual Report on Form 10-K (File No. 001-37581), filed with the SEC on February 24, 2022).</w:t>
      </w:r>
    </w:p>
    <w:p>
      <w:pPr>
        <w:spacing w:after="0" w:line="108" w:lineRule="exact"/>
        <w:rPr>
          <w:sz w:val="20"/>
          <w:szCs w:val="20"/>
          <w:color w:val="auto"/>
        </w:rPr>
      </w:pPr>
    </w:p>
    <w:p>
      <w:pPr>
        <w:jc w:val="both"/>
        <w:ind w:left="920" w:hanging="878"/>
        <w:spacing w:after="0" w:line="259" w:lineRule="auto"/>
        <w:tabs>
          <w:tab w:leader="none" w:pos="90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20"/>
          <w:szCs w:val="20"/>
          <w:color w:val="auto"/>
        </w:rPr>
        <w:t>Employment Agreement, effective as of July 28, 2025, by and between the Registrant and Roland Kolbeck (incorporated herein by reference to Exhibit 10.1 to the Registrant’s Quarterly Report on Form 10-Q (File No. 001-37581), filed with the SEC on November 6, 2025).</w:t>
      </w:r>
    </w:p>
    <w:p>
      <w:pPr>
        <w:spacing w:after="0" w:line="105" w:lineRule="exact"/>
        <w:rPr>
          <w:sz w:val="20"/>
          <w:szCs w:val="20"/>
          <w:color w:val="auto"/>
        </w:rPr>
      </w:pPr>
    </w:p>
    <w:p>
      <w:pPr>
        <w:jc w:val="both"/>
        <w:ind w:left="920" w:hanging="879"/>
        <w:spacing w:after="0" w:line="259" w:lineRule="auto"/>
        <w:tabs>
          <w:tab w:leader="none" w:pos="90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20"/>
          <w:szCs w:val="20"/>
          <w:color w:val="auto"/>
        </w:rPr>
        <w:t>Employment Agreement, dated as of January 1, 2023, by and between the Registrant and Kevin Balthaser (incorporated herein by reference to Exhibit 10.24 to the Registrant’s Annual Report on Form 10-K (File No. 001-37581), filed with the SEC on February 23, 2023).</w:t>
      </w:r>
    </w:p>
    <w:p>
      <w:pPr>
        <w:spacing w:after="0" w:line="106" w:lineRule="exact"/>
        <w:rPr>
          <w:sz w:val="20"/>
          <w:szCs w:val="20"/>
          <w:color w:val="auto"/>
        </w:rPr>
      </w:pPr>
    </w:p>
    <w:p>
      <w:pPr>
        <w:jc w:val="right"/>
        <w:spacing w:after="0" w:line="267" w:lineRule="auto"/>
        <w:rPr>
          <w:sz w:val="20"/>
          <w:szCs w:val="20"/>
          <w:color w:val="auto"/>
        </w:rPr>
      </w:pPr>
      <w:r>
        <w:rPr>
          <w:rFonts w:ascii="Arial" w:cs="Arial" w:eastAsia="Arial" w:hAnsi="Arial"/>
          <w:sz w:val="19"/>
          <w:szCs w:val="19"/>
          <w:color w:val="auto"/>
        </w:rPr>
        <w:t>10.18§+   Employment Agreement, dated as of February 26, 2025, by and between the Registrant and Neal Walker (incorporated herein by reference to Exhibit 10.21 to the Registrant’s Annual Report on Form 10-K (File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20" w:type="dxa"/>
            <w:vAlign w:val="bottom"/>
          </w:tcPr>
          <w:p>
            <w:pPr>
              <w:spacing w:after="0"/>
              <w:rPr>
                <w:sz w:val="23"/>
                <w:szCs w:val="23"/>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No. 001-37581), filed with the SEC on February 27, 2025).</w:t>
            </w:r>
          </w:p>
        </w:tc>
      </w:tr>
      <w:tr>
        <w:trPr>
          <w:trHeight w:val="325"/>
        </w:trPr>
        <w:tc>
          <w:tcPr>
            <w:tcW w:w="720" w:type="dxa"/>
            <w:vAlign w:val="bottom"/>
          </w:tcPr>
          <w:p>
            <w:pPr>
              <w:jc w:val="right"/>
              <w:ind w:right="60"/>
              <w:spacing w:after="0"/>
              <w:rPr>
                <w:sz w:val="20"/>
                <w:szCs w:val="20"/>
                <w:color w:val="auto"/>
              </w:rPr>
            </w:pPr>
            <w:r>
              <w:rPr>
                <w:rFonts w:ascii="Arial" w:cs="Arial" w:eastAsia="Arial" w:hAnsi="Arial"/>
                <w:sz w:val="20"/>
                <w:szCs w:val="20"/>
                <w:color w:val="auto"/>
                <w:w w:val="87"/>
              </w:rPr>
              <w:t>10.19+</w:t>
            </w:r>
          </w:p>
        </w:tc>
        <w:tc>
          <w:tcPr>
            <w:tcW w:w="8900" w:type="dxa"/>
            <w:vAlign w:val="bottom"/>
          </w:tcPr>
          <w:p>
            <w:pPr>
              <w:ind w:left="160"/>
              <w:spacing w:after="0"/>
              <w:rPr>
                <w:sz w:val="20"/>
                <w:szCs w:val="20"/>
                <w:color w:val="auto"/>
              </w:rPr>
            </w:pPr>
            <w:r>
              <w:rPr>
                <w:rFonts w:ascii="Arial" w:cs="Arial" w:eastAsia="Arial" w:hAnsi="Arial"/>
                <w:sz w:val="20"/>
                <w:szCs w:val="20"/>
                <w:color w:val="auto"/>
                <w:w w:val="93"/>
              </w:rPr>
              <w:t>Employment Agreement, dated as of November 18, 2024, by and between the Registrant and Hugh Davis</w:t>
            </w:r>
          </w:p>
        </w:tc>
      </w:tr>
      <w:tr>
        <w:trPr>
          <w:trHeight w:val="230"/>
        </w:trPr>
        <w:tc>
          <w:tcPr>
            <w:tcW w:w="7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w w:val="97"/>
              </w:rPr>
              <w:t>(incorporated herein by reference to Exhibit 10.3 to the Registrant’s Current Report on Form 8-K (File</w:t>
            </w:r>
          </w:p>
        </w:tc>
      </w:tr>
      <w:tr>
        <w:trPr>
          <w:trHeight w:val="267"/>
        </w:trPr>
        <w:tc>
          <w:tcPr>
            <w:tcW w:w="720" w:type="dxa"/>
            <w:vAlign w:val="bottom"/>
          </w:tcPr>
          <w:p>
            <w:pPr>
              <w:spacing w:after="0"/>
              <w:rPr>
                <w:sz w:val="23"/>
                <w:szCs w:val="23"/>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No. 001-37581), filed with the SEC on November 18, 2024).</w:t>
            </w:r>
          </w:p>
        </w:tc>
      </w:tr>
      <w:tr>
        <w:trPr>
          <w:trHeight w:val="354"/>
        </w:trPr>
        <w:tc>
          <w:tcPr>
            <w:tcW w:w="720" w:type="dxa"/>
            <w:vAlign w:val="bottom"/>
          </w:tcPr>
          <w:p>
            <w:pPr>
              <w:jc w:val="right"/>
              <w:ind w:right="80"/>
              <w:spacing w:after="0"/>
              <w:rPr>
                <w:sz w:val="20"/>
                <w:szCs w:val="20"/>
                <w:color w:val="auto"/>
              </w:rPr>
            </w:pPr>
            <w:r>
              <w:rPr>
                <w:rFonts w:ascii="Arial" w:cs="Arial" w:eastAsia="Arial" w:hAnsi="Arial"/>
                <w:sz w:val="20"/>
                <w:szCs w:val="20"/>
                <w:color w:val="auto"/>
              </w:rPr>
              <w:t>10.20</w:t>
            </w:r>
          </w:p>
        </w:tc>
        <w:tc>
          <w:tcPr>
            <w:tcW w:w="8900" w:type="dxa"/>
            <w:vAlign w:val="bottom"/>
          </w:tcPr>
          <w:p>
            <w:pPr>
              <w:ind w:left="160"/>
              <w:spacing w:after="0"/>
              <w:rPr>
                <w:sz w:val="20"/>
                <w:szCs w:val="20"/>
                <w:color w:val="auto"/>
              </w:rPr>
            </w:pPr>
            <w:r>
              <w:rPr>
                <w:rFonts w:ascii="Arial" w:cs="Arial" w:eastAsia="Arial" w:hAnsi="Arial"/>
                <w:sz w:val="20"/>
                <w:szCs w:val="20"/>
                <w:color w:val="auto"/>
                <w:w w:val="91"/>
              </w:rPr>
              <w:t>Office Lease, dated May 26, 2023, by and between the Registrant and CBCC – Lee Road Acquisitions, LLC</w:t>
            </w:r>
          </w:p>
        </w:tc>
      </w:tr>
      <w:tr>
        <w:trPr>
          <w:trHeight w:val="230"/>
        </w:trPr>
        <w:tc>
          <w:tcPr>
            <w:tcW w:w="7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w w:val="97"/>
              </w:rPr>
              <w:t>(incorporated herein by reference to Exhibit 10.1 to the Registrant’s Current Report on Form 8-K (File</w:t>
            </w:r>
          </w:p>
        </w:tc>
      </w:tr>
      <w:tr>
        <w:trPr>
          <w:trHeight w:val="267"/>
        </w:trPr>
        <w:tc>
          <w:tcPr>
            <w:tcW w:w="720" w:type="dxa"/>
            <w:vAlign w:val="bottom"/>
          </w:tcPr>
          <w:p>
            <w:pPr>
              <w:spacing w:after="0"/>
              <w:rPr>
                <w:sz w:val="23"/>
                <w:szCs w:val="23"/>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No. 001-37581), filed with the SEC on June 1, 2023).</w:t>
            </w:r>
          </w:p>
        </w:tc>
      </w:tr>
    </w:tbl>
    <w:p>
      <w:pPr>
        <w:spacing w:after="0" w:line="200" w:lineRule="exact"/>
        <w:rPr>
          <w:sz w:val="20"/>
          <w:szCs w:val="20"/>
          <w:color w:val="auto"/>
        </w:rPr>
      </w:pPr>
    </w:p>
    <w:p>
      <w:pPr>
        <w:sectPr>
          <w:pgSz w:w="11880" w:h="15480" w:orient="portrait"/>
          <w:cols w:equalWidth="0" w:num="1">
            <w:col w:w="9660"/>
          </w:cols>
          <w:pgMar w:left="1140" w:top="1177" w:right="108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130</w:t>
      </w:r>
    </w:p>
    <w:p>
      <w:pPr>
        <w:sectPr>
          <w:pgSz w:w="11880" w:h="15480" w:orient="portrait"/>
          <w:cols w:equalWidth="0" w:num="1">
            <w:col w:w="9660"/>
          </w:cols>
          <w:pgMar w:left="1140" w:top="1177" w:right="1080" w:bottom="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860" w:type="dxa"/>
            <w:vAlign w:val="bottom"/>
          </w:tcPr>
          <w:p>
            <w:pPr>
              <w:jc w:val="center"/>
              <w:spacing w:after="0"/>
              <w:rPr>
                <w:sz w:val="20"/>
                <w:szCs w:val="20"/>
                <w:color w:val="auto"/>
              </w:rPr>
            </w:pPr>
            <w:r>
              <w:rPr>
                <w:rFonts w:ascii="Arial" w:cs="Arial" w:eastAsia="Arial" w:hAnsi="Arial"/>
                <w:sz w:val="20"/>
                <w:szCs w:val="20"/>
                <w:color w:val="auto"/>
              </w:rPr>
              <w:t>10.21</w:t>
            </w:r>
          </w:p>
        </w:tc>
        <w:tc>
          <w:tcPr>
            <w:tcW w:w="8860" w:type="dxa"/>
            <w:vAlign w:val="bottom"/>
          </w:tcPr>
          <w:p>
            <w:pPr>
              <w:ind w:left="120"/>
              <w:spacing w:after="0"/>
              <w:rPr>
                <w:sz w:val="20"/>
                <w:szCs w:val="20"/>
                <w:color w:val="auto"/>
              </w:rPr>
            </w:pPr>
            <w:r>
              <w:rPr>
                <w:rFonts w:ascii="Arial" w:cs="Arial" w:eastAsia="Arial" w:hAnsi="Arial"/>
                <w:sz w:val="20"/>
                <w:szCs w:val="20"/>
                <w:color w:val="auto"/>
                <w:w w:val="95"/>
              </w:rPr>
              <w:t>Royalty Purchase Agreement, effective as of July 16, 2024, by and between the Registrant and OCM IP</w:t>
            </w:r>
          </w:p>
        </w:tc>
      </w:tr>
      <w:tr>
        <w:trPr>
          <w:trHeight w:val="230"/>
        </w:trPr>
        <w:tc>
          <w:tcPr>
            <w:tcW w:w="86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0"/>
              </w:rPr>
              <w:t>Healthcare Portfolio LP (incorporated herein by reference to Exhibit 10.1 to the Registrant’s Quarterly Report</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on Form 10-Q (File No. 001-37581), filed with the SEC on August 7, 2024).</w:t>
            </w:r>
          </w:p>
        </w:tc>
      </w:tr>
      <w:tr>
        <w:trPr>
          <w:trHeight w:val="353"/>
        </w:trPr>
        <w:tc>
          <w:tcPr>
            <w:tcW w:w="860" w:type="dxa"/>
            <w:vAlign w:val="bottom"/>
          </w:tcPr>
          <w:p>
            <w:pPr>
              <w:jc w:val="center"/>
              <w:spacing w:after="0"/>
              <w:rPr>
                <w:sz w:val="20"/>
                <w:szCs w:val="20"/>
                <w:color w:val="auto"/>
              </w:rPr>
            </w:pPr>
            <w:r>
              <w:rPr>
                <w:rFonts w:ascii="Arial" w:cs="Arial" w:eastAsia="Arial" w:hAnsi="Arial"/>
                <w:sz w:val="20"/>
                <w:szCs w:val="20"/>
                <w:color w:val="auto"/>
                <w:w w:val="87"/>
              </w:rPr>
              <w:t>10.22</w:t>
            </w:r>
          </w:p>
        </w:tc>
        <w:tc>
          <w:tcPr>
            <w:tcW w:w="8860" w:type="dxa"/>
            <w:vAlign w:val="bottom"/>
          </w:tcPr>
          <w:p>
            <w:pPr>
              <w:ind w:left="120"/>
              <w:spacing w:after="0"/>
              <w:rPr>
                <w:sz w:val="20"/>
                <w:szCs w:val="20"/>
                <w:color w:val="auto"/>
              </w:rPr>
            </w:pPr>
            <w:r>
              <w:rPr>
                <w:rFonts w:ascii="Arial" w:cs="Arial" w:eastAsia="Arial" w:hAnsi="Arial"/>
                <w:sz w:val="20"/>
                <w:szCs w:val="20"/>
                <w:color w:val="auto"/>
                <w:w w:val="92"/>
              </w:rPr>
              <w:t>Amended and Restated Sales Agreement, dated February 27, 2025, by and among the Registrant, Leerink</w:t>
            </w:r>
          </w:p>
        </w:tc>
      </w:tr>
      <w:tr>
        <w:trPr>
          <w:trHeight w:val="230"/>
        </w:trPr>
        <w:tc>
          <w:tcPr>
            <w:tcW w:w="86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Partners LLC and Cantor Fitzgerald &amp; Co. (incorporated herein by reference to Exhibit 10.24 to the</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3"/>
              </w:rPr>
              <w:t>Registrant’s Annual Report on Form 10-K (File No. 001-37581), filed with the SEC on February 27, 2025).</w:t>
            </w:r>
          </w:p>
        </w:tc>
      </w:tr>
      <w:tr>
        <w:trPr>
          <w:trHeight w:val="353"/>
        </w:trPr>
        <w:tc>
          <w:tcPr>
            <w:tcW w:w="860" w:type="dxa"/>
            <w:vAlign w:val="bottom"/>
          </w:tcPr>
          <w:p>
            <w:pPr>
              <w:jc w:val="center"/>
              <w:spacing w:after="0"/>
              <w:rPr>
                <w:sz w:val="20"/>
                <w:szCs w:val="20"/>
                <w:color w:val="auto"/>
              </w:rPr>
            </w:pPr>
            <w:r>
              <w:rPr>
                <w:rFonts w:ascii="Arial" w:cs="Arial" w:eastAsia="Arial" w:hAnsi="Arial"/>
                <w:sz w:val="20"/>
                <w:szCs w:val="20"/>
                <w:color w:val="auto"/>
                <w:w w:val="95"/>
              </w:rPr>
              <w:t>10.23 §</w:t>
            </w:r>
          </w:p>
        </w:tc>
        <w:tc>
          <w:tcPr>
            <w:tcW w:w="8860" w:type="dxa"/>
            <w:vAlign w:val="bottom"/>
          </w:tcPr>
          <w:p>
            <w:pPr>
              <w:ind w:left="120"/>
              <w:spacing w:after="0"/>
              <w:rPr>
                <w:sz w:val="20"/>
                <w:szCs w:val="20"/>
                <w:color w:val="auto"/>
              </w:rPr>
            </w:pPr>
            <w:r>
              <w:rPr>
                <w:rFonts w:ascii="Arial" w:cs="Arial" w:eastAsia="Arial" w:hAnsi="Arial"/>
                <w:sz w:val="20"/>
                <w:szCs w:val="20"/>
                <w:color w:val="auto"/>
                <w:w w:val="91"/>
              </w:rPr>
              <w:t>Exclusive License Agreement, dated as of November 18, 2024, by and between the Registrant and Biosion,</w:t>
            </w:r>
          </w:p>
        </w:tc>
      </w:tr>
      <w:tr>
        <w:trPr>
          <w:trHeight w:val="230"/>
        </w:trPr>
        <w:tc>
          <w:tcPr>
            <w:tcW w:w="86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1"/>
              </w:rPr>
              <w:t>Inc. (incorporated herein by reference to Exhibit 10.26 to the Registrant’s Annual Report on Form 10-K (File</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No. 001-37581), filed with the SEC on February 27, 2025).</w:t>
            </w:r>
          </w:p>
        </w:tc>
      </w:tr>
      <w:tr>
        <w:trPr>
          <w:trHeight w:val="354"/>
        </w:trPr>
        <w:tc>
          <w:tcPr>
            <w:tcW w:w="860" w:type="dxa"/>
            <w:vAlign w:val="bottom"/>
          </w:tcPr>
          <w:p>
            <w:pPr>
              <w:jc w:val="center"/>
              <w:spacing w:after="0"/>
              <w:rPr>
                <w:sz w:val="20"/>
                <w:szCs w:val="20"/>
                <w:color w:val="auto"/>
              </w:rPr>
            </w:pPr>
            <w:r>
              <w:rPr>
                <w:rFonts w:ascii="Arial" w:cs="Arial" w:eastAsia="Arial" w:hAnsi="Arial"/>
                <w:sz w:val="20"/>
                <w:szCs w:val="20"/>
                <w:color w:val="auto"/>
                <w:w w:val="95"/>
              </w:rPr>
              <w:t>10.24 §</w:t>
            </w:r>
          </w:p>
        </w:tc>
        <w:tc>
          <w:tcPr>
            <w:tcW w:w="8860" w:type="dxa"/>
            <w:vAlign w:val="bottom"/>
          </w:tcPr>
          <w:p>
            <w:pPr>
              <w:ind w:left="120"/>
              <w:spacing w:after="0"/>
              <w:rPr>
                <w:sz w:val="20"/>
                <w:szCs w:val="20"/>
                <w:color w:val="auto"/>
              </w:rPr>
            </w:pPr>
            <w:r>
              <w:rPr>
                <w:rFonts w:ascii="Arial" w:cs="Arial" w:eastAsia="Arial" w:hAnsi="Arial"/>
                <w:sz w:val="20"/>
                <w:szCs w:val="20"/>
                <w:color w:val="auto"/>
                <w:w w:val="96"/>
              </w:rPr>
              <w:t>Collaboration Agreement, dated as of November 18, 2024, by and among the Registrant, Biosion, Inc.</w:t>
            </w:r>
          </w:p>
        </w:tc>
      </w:tr>
      <w:tr>
        <w:trPr>
          <w:trHeight w:val="229"/>
        </w:trPr>
        <w:tc>
          <w:tcPr>
            <w:tcW w:w="860" w:type="dxa"/>
            <w:vAlign w:val="bottom"/>
          </w:tcPr>
          <w:p>
            <w:pPr>
              <w:spacing w:after="0"/>
              <w:rPr>
                <w:sz w:val="19"/>
                <w:szCs w:val="19"/>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1"/>
              </w:rPr>
              <w:t>and Chia Tai Tianqing Pharmaceutical Group, Co., Ltd. (incorporated herein by reference to Exhibit 10.27 to</w:t>
            </w:r>
          </w:p>
        </w:tc>
      </w:tr>
      <w:tr>
        <w:trPr>
          <w:trHeight w:val="230"/>
        </w:trPr>
        <w:tc>
          <w:tcPr>
            <w:tcW w:w="86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6"/>
              </w:rPr>
              <w:t>the Registrant’s Annual Report on Form 10-K (File No. 001-37581), filed with the SEC on February 27,</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2025).</w:t>
            </w:r>
          </w:p>
        </w:tc>
      </w:tr>
      <w:tr>
        <w:trPr>
          <w:trHeight w:val="354"/>
        </w:trPr>
        <w:tc>
          <w:tcPr>
            <w:tcW w:w="860" w:type="dxa"/>
            <w:vAlign w:val="bottom"/>
          </w:tcPr>
          <w:p>
            <w:pPr>
              <w:jc w:val="center"/>
              <w:spacing w:after="0"/>
              <w:rPr>
                <w:sz w:val="20"/>
                <w:szCs w:val="20"/>
                <w:color w:val="auto"/>
              </w:rPr>
            </w:pPr>
            <w:r>
              <w:rPr>
                <w:rFonts w:ascii="Arial" w:cs="Arial" w:eastAsia="Arial" w:hAnsi="Arial"/>
                <w:sz w:val="20"/>
                <w:szCs w:val="20"/>
                <w:color w:val="auto"/>
                <w:w w:val="92"/>
              </w:rPr>
              <w:t>10.25 §</w:t>
            </w:r>
          </w:p>
        </w:tc>
        <w:tc>
          <w:tcPr>
            <w:tcW w:w="8860" w:type="dxa"/>
            <w:vAlign w:val="bottom"/>
          </w:tcPr>
          <w:p>
            <w:pPr>
              <w:ind w:left="120"/>
              <w:spacing w:after="0"/>
              <w:rPr>
                <w:sz w:val="20"/>
                <w:szCs w:val="20"/>
                <w:color w:val="auto"/>
              </w:rPr>
            </w:pPr>
            <w:r>
              <w:rPr>
                <w:rFonts w:ascii="Arial" w:cs="Arial" w:eastAsia="Arial" w:hAnsi="Arial"/>
                <w:sz w:val="20"/>
                <w:szCs w:val="20"/>
                <w:color w:val="auto"/>
                <w:w w:val="90"/>
              </w:rPr>
              <w:t>Form of Common Stock Purchase Warrant Agreement issued on November 18, 2024 (incorporated herein by</w:t>
            </w:r>
          </w:p>
        </w:tc>
      </w:tr>
      <w:tr>
        <w:trPr>
          <w:trHeight w:val="230"/>
        </w:trPr>
        <w:tc>
          <w:tcPr>
            <w:tcW w:w="86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3"/>
              </w:rPr>
              <w:t>reference to Exhibit 10.28 to the Registrant’s Annual Report on Form 10-K (File No. 001-37581), filed with</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the SEC on February 27, 2025).</w:t>
            </w:r>
          </w:p>
        </w:tc>
      </w:tr>
      <w:tr>
        <w:trPr>
          <w:trHeight w:val="353"/>
        </w:trPr>
        <w:tc>
          <w:tcPr>
            <w:tcW w:w="860" w:type="dxa"/>
            <w:vAlign w:val="bottom"/>
          </w:tcPr>
          <w:p>
            <w:pPr>
              <w:jc w:val="center"/>
              <w:spacing w:after="0"/>
              <w:rPr>
                <w:sz w:val="20"/>
                <w:szCs w:val="20"/>
                <w:color w:val="auto"/>
              </w:rPr>
            </w:pPr>
            <w:r>
              <w:rPr>
                <w:rFonts w:ascii="Arial" w:cs="Arial" w:eastAsia="Arial" w:hAnsi="Arial"/>
                <w:sz w:val="20"/>
                <w:szCs w:val="20"/>
                <w:color w:val="auto"/>
                <w:w w:val="92"/>
              </w:rPr>
              <w:t>19.1</w:t>
            </w:r>
          </w:p>
        </w:tc>
        <w:tc>
          <w:tcPr>
            <w:tcW w:w="8860" w:type="dxa"/>
            <w:vAlign w:val="bottom"/>
          </w:tcPr>
          <w:p>
            <w:pPr>
              <w:ind w:left="120"/>
              <w:spacing w:after="0"/>
              <w:rPr>
                <w:sz w:val="20"/>
                <w:szCs w:val="20"/>
                <w:color w:val="auto"/>
              </w:rPr>
            </w:pPr>
            <w:r>
              <w:rPr>
                <w:rFonts w:ascii="Arial" w:cs="Arial" w:eastAsia="Arial" w:hAnsi="Arial"/>
                <w:sz w:val="20"/>
                <w:szCs w:val="20"/>
                <w:color w:val="auto"/>
                <w:w w:val="97"/>
              </w:rPr>
              <w:t>Insider Trading Policy (incorporated by reference to Exhibit 19.1 to the Registrant’s Annual Report on</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Form 10-K (File No. 001-37581), filed with the SEC on February 27, 2025).</w:t>
            </w:r>
          </w:p>
        </w:tc>
      </w:tr>
      <w:tr>
        <w:trPr>
          <w:trHeight w:val="354"/>
        </w:trPr>
        <w:tc>
          <w:tcPr>
            <w:tcW w:w="860" w:type="dxa"/>
            <w:vAlign w:val="bottom"/>
          </w:tcPr>
          <w:p>
            <w:pPr>
              <w:jc w:val="center"/>
              <w:spacing w:after="0"/>
              <w:rPr>
                <w:sz w:val="20"/>
                <w:szCs w:val="20"/>
                <w:color w:val="auto"/>
              </w:rPr>
            </w:pPr>
            <w:r>
              <w:rPr>
                <w:rFonts w:ascii="Arial" w:cs="Arial" w:eastAsia="Arial" w:hAnsi="Arial"/>
                <w:sz w:val="20"/>
                <w:szCs w:val="20"/>
                <w:color w:val="auto"/>
                <w:w w:val="92"/>
              </w:rPr>
              <w:t>21.1</w:t>
            </w:r>
          </w:p>
        </w:tc>
        <w:tc>
          <w:tcPr>
            <w:tcW w:w="8860" w:type="dxa"/>
            <w:vAlign w:val="bottom"/>
          </w:tcPr>
          <w:p>
            <w:pPr>
              <w:ind w:left="120"/>
              <w:spacing w:after="0"/>
              <w:rPr>
                <w:sz w:val="20"/>
                <w:szCs w:val="20"/>
                <w:color w:val="auto"/>
              </w:rPr>
            </w:pPr>
            <w:r>
              <w:rPr>
                <w:rFonts w:ascii="Arial" w:cs="Arial" w:eastAsia="Arial" w:hAnsi="Arial"/>
                <w:sz w:val="20"/>
                <w:szCs w:val="20"/>
                <w:color w:val="auto"/>
                <w:w w:val="93"/>
              </w:rPr>
              <w:t>Subsidiaries of the Registrant (incorporated herein by reference to Exhibit 21.1 to the Registrant’s Annual</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Report on Form 10-K (File No. 001-37581), filed with the SEC on February 27, 2024).</w:t>
            </w:r>
          </w:p>
        </w:tc>
      </w:tr>
      <w:tr>
        <w:trPr>
          <w:trHeight w:val="390"/>
        </w:trPr>
        <w:tc>
          <w:tcPr>
            <w:tcW w:w="860" w:type="dxa"/>
            <w:vAlign w:val="bottom"/>
          </w:tcPr>
          <w:p>
            <w:pPr>
              <w:jc w:val="center"/>
              <w:spacing w:after="0"/>
              <w:rPr>
                <w:sz w:val="20"/>
                <w:szCs w:val="20"/>
                <w:color w:val="auto"/>
              </w:rPr>
            </w:pPr>
            <w:r>
              <w:rPr>
                <w:rFonts w:ascii="Arial" w:cs="Arial" w:eastAsia="Arial" w:hAnsi="Arial"/>
                <w:sz w:val="20"/>
                <w:szCs w:val="20"/>
                <w:color w:val="auto"/>
                <w:w w:val="94"/>
              </w:rPr>
              <w:t>23.1*</w:t>
            </w:r>
          </w:p>
        </w:tc>
        <w:tc>
          <w:tcPr>
            <w:tcW w:w="8860" w:type="dxa"/>
            <w:vAlign w:val="bottom"/>
          </w:tcPr>
          <w:p>
            <w:pPr>
              <w:ind w:left="120"/>
              <w:spacing w:after="0"/>
              <w:rPr>
                <w:sz w:val="20"/>
                <w:szCs w:val="20"/>
                <w:color w:val="auto"/>
              </w:rPr>
            </w:pPr>
            <w:r>
              <w:rPr>
                <w:rFonts w:ascii="Arial" w:cs="Arial" w:eastAsia="Arial" w:hAnsi="Arial"/>
                <w:sz w:val="20"/>
                <w:szCs w:val="20"/>
                <w:color w:val="auto"/>
              </w:rPr>
              <w:t>Consent of PricewaterhouseCoopers LLP, independent registered public accounting firm.</w:t>
            </w:r>
          </w:p>
        </w:tc>
      </w:tr>
      <w:tr>
        <w:trPr>
          <w:trHeight w:val="390"/>
        </w:trPr>
        <w:tc>
          <w:tcPr>
            <w:tcW w:w="860" w:type="dxa"/>
            <w:vAlign w:val="bottom"/>
          </w:tcPr>
          <w:p>
            <w:pPr>
              <w:jc w:val="center"/>
              <w:spacing w:after="0"/>
              <w:rPr>
                <w:sz w:val="20"/>
                <w:szCs w:val="20"/>
                <w:color w:val="auto"/>
              </w:rPr>
            </w:pPr>
            <w:r>
              <w:rPr>
                <w:rFonts w:ascii="Arial" w:cs="Arial" w:eastAsia="Arial" w:hAnsi="Arial"/>
                <w:sz w:val="20"/>
                <w:szCs w:val="20"/>
                <w:color w:val="auto"/>
                <w:w w:val="94"/>
              </w:rPr>
              <w:t>24.1*</w:t>
            </w:r>
          </w:p>
        </w:tc>
        <w:tc>
          <w:tcPr>
            <w:tcW w:w="8860" w:type="dxa"/>
            <w:vAlign w:val="bottom"/>
          </w:tcPr>
          <w:p>
            <w:pPr>
              <w:ind w:left="120"/>
              <w:spacing w:after="0"/>
              <w:rPr>
                <w:sz w:val="20"/>
                <w:szCs w:val="20"/>
                <w:color w:val="auto"/>
              </w:rPr>
            </w:pPr>
            <w:r>
              <w:rPr>
                <w:rFonts w:ascii="Arial" w:cs="Arial" w:eastAsia="Arial" w:hAnsi="Arial"/>
                <w:sz w:val="20"/>
                <w:szCs w:val="20"/>
                <w:color w:val="auto"/>
              </w:rPr>
              <w:t>Power of Attorney (contained on signature page hereto).</w:t>
            </w:r>
          </w:p>
        </w:tc>
      </w:tr>
      <w:tr>
        <w:trPr>
          <w:trHeight w:val="353"/>
        </w:trPr>
        <w:tc>
          <w:tcPr>
            <w:tcW w:w="860" w:type="dxa"/>
            <w:vAlign w:val="bottom"/>
          </w:tcPr>
          <w:p>
            <w:pPr>
              <w:jc w:val="center"/>
              <w:spacing w:after="0"/>
              <w:rPr>
                <w:sz w:val="20"/>
                <w:szCs w:val="20"/>
                <w:color w:val="auto"/>
              </w:rPr>
            </w:pPr>
            <w:r>
              <w:rPr>
                <w:rFonts w:ascii="Arial" w:cs="Arial" w:eastAsia="Arial" w:hAnsi="Arial"/>
                <w:sz w:val="20"/>
                <w:szCs w:val="20"/>
                <w:color w:val="auto"/>
                <w:w w:val="94"/>
              </w:rPr>
              <w:t>31.1*</w:t>
            </w:r>
          </w:p>
        </w:tc>
        <w:tc>
          <w:tcPr>
            <w:tcW w:w="8860" w:type="dxa"/>
            <w:vAlign w:val="bottom"/>
          </w:tcPr>
          <w:p>
            <w:pPr>
              <w:ind w:left="120"/>
              <w:spacing w:after="0"/>
              <w:rPr>
                <w:sz w:val="20"/>
                <w:szCs w:val="20"/>
                <w:color w:val="auto"/>
              </w:rPr>
            </w:pPr>
            <w:r>
              <w:rPr>
                <w:rFonts w:ascii="Arial" w:cs="Arial" w:eastAsia="Arial" w:hAnsi="Arial"/>
                <w:sz w:val="20"/>
                <w:szCs w:val="20"/>
                <w:color w:val="auto"/>
                <w:w w:val="90"/>
              </w:rPr>
              <w:t>Certification of Principal Executive Officer pursuant to Rules 13a-14(a) and 15d-14(a) promulgated under the</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3"/>
              </w:rPr>
              <w:t>Securities Exchange Act of 1934, as adopted pursuant to Section 302 of the Sarbanes-Oxley Act of 2002.</w:t>
            </w:r>
          </w:p>
        </w:tc>
      </w:tr>
      <w:tr>
        <w:trPr>
          <w:trHeight w:val="354"/>
        </w:trPr>
        <w:tc>
          <w:tcPr>
            <w:tcW w:w="860" w:type="dxa"/>
            <w:vAlign w:val="bottom"/>
          </w:tcPr>
          <w:p>
            <w:pPr>
              <w:jc w:val="center"/>
              <w:spacing w:after="0"/>
              <w:rPr>
                <w:sz w:val="20"/>
                <w:szCs w:val="20"/>
                <w:color w:val="auto"/>
              </w:rPr>
            </w:pPr>
            <w:r>
              <w:rPr>
                <w:rFonts w:ascii="Arial" w:cs="Arial" w:eastAsia="Arial" w:hAnsi="Arial"/>
                <w:sz w:val="20"/>
                <w:szCs w:val="20"/>
                <w:color w:val="auto"/>
                <w:w w:val="94"/>
              </w:rPr>
              <w:t>31.2*</w:t>
            </w:r>
          </w:p>
        </w:tc>
        <w:tc>
          <w:tcPr>
            <w:tcW w:w="8860" w:type="dxa"/>
            <w:vAlign w:val="bottom"/>
          </w:tcPr>
          <w:p>
            <w:pPr>
              <w:ind w:left="120"/>
              <w:spacing w:after="0"/>
              <w:rPr>
                <w:sz w:val="20"/>
                <w:szCs w:val="20"/>
                <w:color w:val="auto"/>
              </w:rPr>
            </w:pPr>
            <w:r>
              <w:rPr>
                <w:rFonts w:ascii="Arial" w:cs="Arial" w:eastAsia="Arial" w:hAnsi="Arial"/>
                <w:sz w:val="20"/>
                <w:szCs w:val="20"/>
                <w:color w:val="auto"/>
                <w:w w:val="91"/>
              </w:rPr>
              <w:t>Certification of Principal Financial Officer pursuant to Rules 13a-14(a) and 15d-14(a) promulgated under the</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3"/>
              </w:rPr>
              <w:t>Securities Exchange Act of 1934, as adopted pursuant to section 302 of the Sarbanes-Oxley Act of 2002.</w:t>
            </w:r>
          </w:p>
        </w:tc>
      </w:tr>
      <w:tr>
        <w:trPr>
          <w:trHeight w:val="353"/>
        </w:trPr>
        <w:tc>
          <w:tcPr>
            <w:tcW w:w="86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8860" w:type="dxa"/>
            <w:vAlign w:val="bottom"/>
          </w:tcPr>
          <w:p>
            <w:pPr>
              <w:ind w:left="120"/>
              <w:spacing w:after="0"/>
              <w:rPr>
                <w:sz w:val="20"/>
                <w:szCs w:val="20"/>
                <w:color w:val="auto"/>
              </w:rPr>
            </w:pPr>
            <w:r>
              <w:rPr>
                <w:rFonts w:ascii="Arial" w:cs="Arial" w:eastAsia="Arial" w:hAnsi="Arial"/>
                <w:sz w:val="20"/>
                <w:szCs w:val="20"/>
                <w:color w:val="auto"/>
                <w:w w:val="93"/>
              </w:rPr>
              <w:t>Certification of Principal Executive Officer and Principal Financial Officer pursuant to Rules 13a-14(b) and</w:t>
            </w:r>
          </w:p>
        </w:tc>
      </w:tr>
      <w:tr>
        <w:trPr>
          <w:trHeight w:val="230"/>
        </w:trPr>
        <w:tc>
          <w:tcPr>
            <w:tcW w:w="86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1"/>
              </w:rPr>
              <w:t>15d-14(b) promulgated under the Securities Exchange Act of 1934 and 18 U.S.C. Section 1350, as adopted</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pursuant to section 906 of The Sarbanes-Oxley Act of 2002.</w:t>
            </w:r>
          </w:p>
        </w:tc>
      </w:tr>
      <w:tr>
        <w:trPr>
          <w:trHeight w:val="354"/>
        </w:trPr>
        <w:tc>
          <w:tcPr>
            <w:tcW w:w="860" w:type="dxa"/>
            <w:vAlign w:val="bottom"/>
          </w:tcPr>
          <w:p>
            <w:pPr>
              <w:jc w:val="center"/>
              <w:spacing w:after="0"/>
              <w:rPr>
                <w:sz w:val="20"/>
                <w:szCs w:val="20"/>
                <w:color w:val="auto"/>
              </w:rPr>
            </w:pPr>
            <w:r>
              <w:rPr>
                <w:rFonts w:ascii="Arial" w:cs="Arial" w:eastAsia="Arial" w:hAnsi="Arial"/>
                <w:sz w:val="20"/>
                <w:szCs w:val="20"/>
                <w:color w:val="auto"/>
                <w:w w:val="92"/>
              </w:rPr>
              <w:t>97.1</w:t>
            </w:r>
          </w:p>
        </w:tc>
        <w:tc>
          <w:tcPr>
            <w:tcW w:w="8860" w:type="dxa"/>
            <w:vAlign w:val="bottom"/>
          </w:tcPr>
          <w:p>
            <w:pPr>
              <w:ind w:left="120"/>
              <w:spacing w:after="0"/>
              <w:rPr>
                <w:sz w:val="20"/>
                <w:szCs w:val="20"/>
                <w:color w:val="auto"/>
              </w:rPr>
            </w:pPr>
            <w:r>
              <w:rPr>
                <w:rFonts w:ascii="Arial" w:cs="Arial" w:eastAsia="Arial" w:hAnsi="Arial"/>
                <w:sz w:val="20"/>
                <w:szCs w:val="20"/>
                <w:color w:val="auto"/>
                <w:w w:val="98"/>
              </w:rPr>
              <w:t>Incentive Compensation Recoupment Policy (incorporated herein by reference to Exhibit 97.1 to the</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w w:val="93"/>
              </w:rPr>
              <w:t>Registrant’s Annual Report on Form 10-K (File No. 001-37581), filed with the SEC on February 27, 2024).</w:t>
            </w:r>
          </w:p>
        </w:tc>
      </w:tr>
      <w:tr>
        <w:trPr>
          <w:trHeight w:val="354"/>
        </w:trPr>
        <w:tc>
          <w:tcPr>
            <w:tcW w:w="860" w:type="dxa"/>
            <w:vAlign w:val="bottom"/>
          </w:tcPr>
          <w:p>
            <w:pPr>
              <w:jc w:val="center"/>
              <w:spacing w:after="0"/>
              <w:rPr>
                <w:sz w:val="20"/>
                <w:szCs w:val="20"/>
                <w:color w:val="auto"/>
              </w:rPr>
            </w:pPr>
            <w:r>
              <w:rPr>
                <w:rFonts w:ascii="Arial" w:cs="Arial" w:eastAsia="Arial" w:hAnsi="Arial"/>
                <w:sz w:val="20"/>
                <w:szCs w:val="20"/>
                <w:color w:val="auto"/>
                <w:w w:val="94"/>
              </w:rPr>
              <w:t>101.INS</w:t>
            </w:r>
          </w:p>
        </w:tc>
        <w:tc>
          <w:tcPr>
            <w:tcW w:w="8860" w:type="dxa"/>
            <w:vAlign w:val="bottom"/>
          </w:tcPr>
          <w:p>
            <w:pPr>
              <w:ind w:left="120"/>
              <w:spacing w:after="0"/>
              <w:rPr>
                <w:sz w:val="20"/>
                <w:szCs w:val="20"/>
                <w:color w:val="auto"/>
              </w:rPr>
            </w:pPr>
            <w:r>
              <w:rPr>
                <w:rFonts w:ascii="Arial" w:cs="Arial" w:eastAsia="Arial" w:hAnsi="Arial"/>
                <w:sz w:val="20"/>
                <w:szCs w:val="20"/>
                <w:color w:val="auto"/>
                <w:w w:val="92"/>
              </w:rPr>
              <w:t>XBRL Instance Document (the instance document does not appear in the Interactive Data File because its</w:t>
            </w:r>
          </w:p>
        </w:tc>
      </w:tr>
      <w:tr>
        <w:trPr>
          <w:trHeight w:val="267"/>
        </w:trPr>
        <w:tc>
          <w:tcPr>
            <w:tcW w:w="860" w:type="dxa"/>
            <w:vAlign w:val="bottom"/>
          </w:tcPr>
          <w:p>
            <w:pPr>
              <w:spacing w:after="0"/>
              <w:rPr>
                <w:sz w:val="23"/>
                <w:szCs w:val="23"/>
                <w:color w:val="auto"/>
              </w:rPr>
            </w:pPr>
          </w:p>
        </w:tc>
        <w:tc>
          <w:tcPr>
            <w:tcW w:w="8860" w:type="dxa"/>
            <w:vAlign w:val="bottom"/>
          </w:tcPr>
          <w:p>
            <w:pPr>
              <w:ind w:left="120"/>
              <w:spacing w:after="0"/>
              <w:rPr>
                <w:sz w:val="20"/>
                <w:szCs w:val="20"/>
                <w:color w:val="auto"/>
              </w:rPr>
            </w:pPr>
            <w:r>
              <w:rPr>
                <w:rFonts w:ascii="Arial" w:cs="Arial" w:eastAsia="Arial" w:hAnsi="Arial"/>
                <w:sz w:val="20"/>
                <w:szCs w:val="20"/>
                <w:color w:val="auto"/>
              </w:rPr>
              <w:t>XBRL tags are embedded within the Inline XBRL document)</w:t>
            </w:r>
          </w:p>
        </w:tc>
      </w:tr>
      <w:tr>
        <w:trPr>
          <w:trHeight w:val="390"/>
        </w:trPr>
        <w:tc>
          <w:tcPr>
            <w:tcW w:w="860" w:type="dxa"/>
            <w:vAlign w:val="bottom"/>
          </w:tcPr>
          <w:p>
            <w:pPr>
              <w:jc w:val="center"/>
              <w:spacing w:after="0"/>
              <w:rPr>
                <w:sz w:val="20"/>
                <w:szCs w:val="20"/>
                <w:color w:val="auto"/>
              </w:rPr>
            </w:pPr>
            <w:r>
              <w:rPr>
                <w:rFonts w:ascii="Arial" w:cs="Arial" w:eastAsia="Arial" w:hAnsi="Arial"/>
                <w:sz w:val="20"/>
                <w:szCs w:val="20"/>
                <w:color w:val="auto"/>
                <w:w w:val="91"/>
              </w:rPr>
              <w:t>101.SCH</w:t>
            </w:r>
          </w:p>
        </w:tc>
        <w:tc>
          <w:tcPr>
            <w:tcW w:w="8860" w:type="dxa"/>
            <w:vAlign w:val="bottom"/>
          </w:tcPr>
          <w:p>
            <w:pPr>
              <w:ind w:left="120"/>
              <w:spacing w:after="0"/>
              <w:rPr>
                <w:sz w:val="20"/>
                <w:szCs w:val="20"/>
                <w:color w:val="auto"/>
              </w:rPr>
            </w:pPr>
            <w:r>
              <w:rPr>
                <w:rFonts w:ascii="Arial" w:cs="Arial" w:eastAsia="Arial" w:hAnsi="Arial"/>
                <w:sz w:val="20"/>
                <w:szCs w:val="20"/>
                <w:color w:val="auto"/>
              </w:rPr>
              <w:t>Inline XBRL Taxonomy Extension Schema Document</w:t>
            </w:r>
          </w:p>
        </w:tc>
      </w:tr>
      <w:tr>
        <w:trPr>
          <w:trHeight w:val="390"/>
        </w:trPr>
        <w:tc>
          <w:tcPr>
            <w:tcW w:w="860" w:type="dxa"/>
            <w:vAlign w:val="bottom"/>
          </w:tcPr>
          <w:p>
            <w:pPr>
              <w:jc w:val="center"/>
              <w:spacing w:after="0"/>
              <w:rPr>
                <w:sz w:val="20"/>
                <w:szCs w:val="20"/>
                <w:color w:val="auto"/>
              </w:rPr>
            </w:pPr>
            <w:r>
              <w:rPr>
                <w:rFonts w:ascii="Arial" w:cs="Arial" w:eastAsia="Arial" w:hAnsi="Arial"/>
                <w:sz w:val="20"/>
                <w:szCs w:val="20"/>
                <w:color w:val="auto"/>
                <w:w w:val="97"/>
              </w:rPr>
              <w:t>101.CAL</w:t>
            </w:r>
          </w:p>
        </w:tc>
        <w:tc>
          <w:tcPr>
            <w:tcW w:w="8860" w:type="dxa"/>
            <w:vAlign w:val="bottom"/>
          </w:tcPr>
          <w:p>
            <w:pPr>
              <w:ind w:left="12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90"/>
        </w:trPr>
        <w:tc>
          <w:tcPr>
            <w:tcW w:w="860" w:type="dxa"/>
            <w:vAlign w:val="bottom"/>
          </w:tcPr>
          <w:p>
            <w:pPr>
              <w:jc w:val="center"/>
              <w:spacing w:after="0"/>
              <w:rPr>
                <w:sz w:val="20"/>
                <w:szCs w:val="20"/>
                <w:color w:val="auto"/>
              </w:rPr>
            </w:pPr>
            <w:r>
              <w:rPr>
                <w:rFonts w:ascii="Arial" w:cs="Arial" w:eastAsia="Arial" w:hAnsi="Arial"/>
                <w:sz w:val="20"/>
                <w:szCs w:val="20"/>
                <w:color w:val="auto"/>
                <w:w w:val="93"/>
              </w:rPr>
              <w:t>101.DEF</w:t>
            </w:r>
          </w:p>
        </w:tc>
        <w:tc>
          <w:tcPr>
            <w:tcW w:w="8860" w:type="dxa"/>
            <w:vAlign w:val="bottom"/>
          </w:tcPr>
          <w:p>
            <w:pPr>
              <w:ind w:left="120"/>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390"/>
        </w:trPr>
        <w:tc>
          <w:tcPr>
            <w:tcW w:w="860" w:type="dxa"/>
            <w:vAlign w:val="bottom"/>
          </w:tcPr>
          <w:p>
            <w:pPr>
              <w:jc w:val="center"/>
              <w:spacing w:after="0"/>
              <w:rPr>
                <w:sz w:val="20"/>
                <w:szCs w:val="20"/>
                <w:color w:val="auto"/>
              </w:rPr>
            </w:pPr>
            <w:r>
              <w:rPr>
                <w:rFonts w:ascii="Arial" w:cs="Arial" w:eastAsia="Arial" w:hAnsi="Arial"/>
                <w:sz w:val="20"/>
                <w:szCs w:val="20"/>
                <w:color w:val="auto"/>
                <w:w w:val="98"/>
              </w:rPr>
              <w:t>101.LAB</w:t>
            </w:r>
          </w:p>
        </w:tc>
        <w:tc>
          <w:tcPr>
            <w:tcW w:w="8860" w:type="dxa"/>
            <w:vAlign w:val="bottom"/>
          </w:tcPr>
          <w:p>
            <w:pPr>
              <w:ind w:left="12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90"/>
        </w:trPr>
        <w:tc>
          <w:tcPr>
            <w:tcW w:w="860" w:type="dxa"/>
            <w:vAlign w:val="bottom"/>
          </w:tcPr>
          <w:p>
            <w:pPr>
              <w:jc w:val="center"/>
              <w:spacing w:after="0"/>
              <w:rPr>
                <w:sz w:val="20"/>
                <w:szCs w:val="20"/>
                <w:color w:val="auto"/>
              </w:rPr>
            </w:pPr>
            <w:r>
              <w:rPr>
                <w:rFonts w:ascii="Arial" w:cs="Arial" w:eastAsia="Arial" w:hAnsi="Arial"/>
                <w:sz w:val="20"/>
                <w:szCs w:val="20"/>
                <w:color w:val="auto"/>
                <w:w w:val="92"/>
              </w:rPr>
              <w:t>101.PRE</w:t>
            </w:r>
          </w:p>
        </w:tc>
        <w:tc>
          <w:tcPr>
            <w:tcW w:w="8860" w:type="dxa"/>
            <w:vAlign w:val="bottom"/>
          </w:tcPr>
          <w:p>
            <w:pPr>
              <w:ind w:left="120"/>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122" w:lineRule="exact"/>
        <w:rPr>
          <w:sz w:val="20"/>
          <w:szCs w:val="20"/>
          <w:color w:val="auto"/>
        </w:rPr>
      </w:pPr>
    </w:p>
    <w:p>
      <w:pPr>
        <w:ind w:left="980" w:hanging="748"/>
        <w:spacing w:after="0"/>
        <w:tabs>
          <w:tab w:leader="none" w:pos="980" w:val="left"/>
        </w:tabs>
        <w:numPr>
          <w:ilvl w:val="1"/>
          <w:numId w:val="69"/>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30" w:lineRule="exact"/>
        <w:rPr>
          <w:rFonts w:ascii="Arial" w:cs="Arial" w:eastAsia="Arial" w:hAnsi="Arial"/>
          <w:sz w:val="20"/>
          <w:szCs w:val="20"/>
          <w:color w:val="auto"/>
        </w:rPr>
      </w:pPr>
    </w:p>
    <w:p>
      <w:pPr>
        <w:ind w:left="360" w:hanging="353"/>
        <w:spacing w:after="0"/>
        <w:tabs>
          <w:tab w:leader="none" w:pos="3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-172720</wp:posOffset>
                </wp:positionV>
                <wp:extent cx="154178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3.5999pt" to="121.65pt,-13.5999pt" o:allowincell="f" strokecolor="#000000" strokeweight="1.0199pt"/>
            </w:pict>
          </mc:Fallback>
        </mc:AlternateContent>
      </w:r>
    </w:p>
    <w:p>
      <w:pPr>
        <w:spacing w:after="0" w:line="60" w:lineRule="exact"/>
        <w:rPr>
          <w:sz w:val="20"/>
          <w:szCs w:val="20"/>
          <w:color w:val="auto"/>
        </w:rPr>
      </w:pPr>
    </w:p>
    <w:p>
      <w:pPr>
        <w:jc w:val="both"/>
        <w:ind w:left="360" w:hanging="353"/>
        <w:spacing w:after="0" w:line="334" w:lineRule="auto"/>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Annual Report pursuant to 18 U.S.C. Section 1350, and is not being filed for purposes of Section 18 of the Securities Exchange Act of 1934, as amended, and is not to be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ectPr>
          <w:pgSz w:w="11880" w:h="15480" w:orient="portrait"/>
          <w:cols w:equalWidth="0" w:num="1">
            <w:col w:w="9720"/>
          </w:cols>
          <w:pgMar w:left="1080" w:top="1177" w:right="1080" w:bottom="0" w:gutter="0" w:footer="0" w:header="0"/>
          <w:type w:val="continuous"/>
        </w:sectPr>
      </w:pPr>
    </w:p>
    <w:bookmarkStart w:id="133" w:name="page134"/>
    <w:bookmarkEnd w:id="133"/>
    <w:p>
      <w:pPr>
        <w:ind w:left="360"/>
        <w:spacing w:after="0" w:line="278" w:lineRule="auto"/>
        <w:rPr>
          <w:sz w:val="20"/>
          <w:szCs w:val="20"/>
          <w:color w:val="auto"/>
        </w:rPr>
      </w:pPr>
      <w:r>
        <w:rPr>
          <w:rFonts w:ascii="Arial" w:cs="Arial" w:eastAsia="Arial" w:hAnsi="Arial"/>
          <w:sz w:val="20"/>
          <w:szCs w:val="20"/>
          <w:color w:val="auto"/>
        </w:rPr>
        <w:t>incorporated by reference into any filing of the Registrant, whether made before or after the date hereof, regardless of any general incorporation language in such filing.</w:t>
      </w:r>
    </w:p>
    <w:p>
      <w:pPr>
        <w:spacing w:after="0" w:line="7" w:lineRule="exact"/>
        <w:rPr>
          <w:sz w:val="20"/>
          <w:szCs w:val="20"/>
          <w:color w:val="auto"/>
        </w:rPr>
      </w:pPr>
    </w:p>
    <w:p>
      <w:pPr>
        <w:ind w:left="360" w:hanging="353"/>
        <w:spacing w:after="0"/>
        <w:tabs>
          <w:tab w:leader="none" w:pos="3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Indicates management contract or compensatory plan.</w:t>
      </w:r>
    </w:p>
    <w:p>
      <w:pPr>
        <w:spacing w:after="0" w:line="80" w:lineRule="exact"/>
        <w:rPr>
          <w:sz w:val="20"/>
          <w:szCs w:val="20"/>
          <w:color w:val="auto"/>
        </w:rPr>
      </w:pPr>
    </w:p>
    <w:p>
      <w:pPr>
        <w:ind w:left="360" w:hanging="353"/>
        <w:spacing w:after="0" w:line="278" w:lineRule="auto"/>
        <w:tabs>
          <w:tab w:leader="none" w:pos="3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Confidential treatment has been granted with respect to portions of this exhibit (indicated by asterisks) and those portions have been separately filed with the SEC.</w:t>
      </w:r>
    </w:p>
    <w:p>
      <w:pPr>
        <w:spacing w:after="0" w:line="7" w:lineRule="exact"/>
        <w:rPr>
          <w:sz w:val="20"/>
          <w:szCs w:val="20"/>
          <w:color w:val="auto"/>
        </w:rPr>
      </w:pPr>
    </w:p>
    <w:p>
      <w:pPr>
        <w:ind w:left="360"/>
        <w:spacing w:after="0" w:line="253" w:lineRule="auto"/>
        <w:rPr>
          <w:sz w:val="20"/>
          <w:szCs w:val="20"/>
          <w:color w:val="auto"/>
        </w:rPr>
      </w:pPr>
      <w:r>
        <w:rPr>
          <w:rFonts w:ascii="Arial" w:cs="Arial" w:eastAsia="Arial" w:hAnsi="Arial"/>
          <w:sz w:val="20"/>
          <w:szCs w:val="20"/>
          <w:color w:val="auto"/>
        </w:rPr>
        <w:t>Pursuant to Item 601(b)(10)(iv) of Regulation S-K promulgated by the SEC, certain portions of this exhibit have been redacted because the Company has determined that the information is both not material and is the type that the Company treats as private or confidential. The Company hereby agrees to furnish supplementally to the SEC, upon its request, an unredacted copy of the exhibit.</w:t>
      </w:r>
    </w:p>
    <w:p>
      <w:pPr>
        <w:spacing w:after="0" w:line="31" w:lineRule="exact"/>
        <w:rPr>
          <w:sz w:val="20"/>
          <w:szCs w:val="20"/>
          <w:color w:val="auto"/>
        </w:rPr>
      </w:pPr>
    </w:p>
    <w:p>
      <w:pPr>
        <w:jc w:val="both"/>
        <w:ind w:left="360" w:hanging="353"/>
        <w:spacing w:after="0" w:line="258" w:lineRule="auto"/>
        <w:tabs>
          <w:tab w:leader="none" w:pos="361" w:val="left"/>
        </w:tabs>
        <w:numPr>
          <w:ilvl w:val="0"/>
          <w:numId w:val="74"/>
        </w:numPr>
        <w:rPr>
          <w:rFonts w:ascii="Arial" w:cs="Arial" w:eastAsia="Arial" w:hAnsi="Arial"/>
          <w:sz w:val="20"/>
          <w:szCs w:val="20"/>
          <w:color w:val="auto"/>
        </w:rPr>
      </w:pPr>
      <w:r>
        <w:rPr>
          <w:rFonts w:ascii="Arial" w:cs="Arial" w:eastAsia="Arial" w:hAnsi="Arial"/>
          <w:sz w:val="20"/>
          <w:szCs w:val="20"/>
          <w:color w:val="auto"/>
        </w:rPr>
        <w:t>Pursuant to Item 601(a)(5) of Regulation S-K promulgated by the SEC, certain exhibits and schedules to this agreement have been omitted. The Company hereby agrees to furnish supplementally to the SEC, upon its request, any or all of such omitted exhibits or schedules.</w:t>
      </w:r>
    </w:p>
    <w:p>
      <w:pPr>
        <w:spacing w:after="0" w:line="184" w:lineRule="exact"/>
        <w:rPr>
          <w:sz w:val="20"/>
          <w:szCs w:val="20"/>
          <w:color w:val="auto"/>
        </w:rPr>
      </w:pPr>
    </w:p>
    <w:p>
      <w:pPr>
        <w:jc w:val="center"/>
        <w:ind w:right="7120"/>
        <w:spacing w:after="0"/>
        <w:rPr>
          <w:sz w:val="20"/>
          <w:szCs w:val="20"/>
          <w:color w:val="auto"/>
        </w:rPr>
      </w:pPr>
      <w:r>
        <w:rPr>
          <w:rFonts w:ascii="Arial" w:cs="Arial" w:eastAsia="Arial" w:hAnsi="Arial"/>
          <w:sz w:val="18"/>
          <w:szCs w:val="18"/>
          <w:b w:val="1"/>
          <w:bCs w:val="1"/>
          <w:color w:val="auto"/>
        </w:rPr>
        <w:t>Item 16. Form 10-K Summary</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720"/>
          </w:cols>
          <w:pgMar w:left="1080" w:top="117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880" w:h="15480" w:orient="portrait"/>
          <w:cols w:equalWidth="0" w:num="1">
            <w:col w:w="9720"/>
          </w:cols>
          <w:pgMar w:left="1080" w:top="1177" w:right="1080" w:bottom="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20"/>
          <w:szCs w:val="20"/>
          <w:b w:val="1"/>
          <w:bCs w:val="1"/>
          <w:color w:val="auto"/>
        </w:rPr>
        <w:t>SIGNATURES</w:t>
      </w:r>
    </w:p>
    <w:p>
      <w:pPr>
        <w:spacing w:after="0" w:line="165" w:lineRule="exact"/>
        <w:rPr>
          <w:sz w:val="20"/>
          <w:szCs w:val="20"/>
          <w:color w:val="auto"/>
        </w:rPr>
      </w:pPr>
    </w:p>
    <w:p>
      <w:pPr>
        <w:jc w:val="both"/>
        <w:ind w:firstLine="720"/>
        <w:spacing w:after="0" w:line="305" w:lineRule="auto"/>
        <w:rPr>
          <w:sz w:val="20"/>
          <w:szCs w:val="20"/>
          <w:color w:val="auto"/>
        </w:rPr>
      </w:pPr>
      <w:r>
        <w:rPr>
          <w:rFonts w:ascii="Arial" w:cs="Arial" w:eastAsia="Arial" w:hAnsi="Arial"/>
          <w:sz w:val="19"/>
          <w:szCs w:val="19"/>
          <w:color w:val="auto"/>
        </w:rPr>
        <w:t>Pursuant to the requirements of Section 13 or 15(d) of the Securities Exchange Act of 1934, as amended, the registrant has duly caused this report to be signed on its behalf by the undersigned, thereunto duly authorized.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40" w:type="dxa"/>
            <w:vAlign w:val="bottom"/>
          </w:tcPr>
          <w:p>
            <w:pPr>
              <w:spacing w:after="0"/>
              <w:rPr>
                <w:sz w:val="23"/>
                <w:szCs w:val="23"/>
                <w:color w:val="auto"/>
              </w:rPr>
            </w:pPr>
          </w:p>
        </w:tc>
        <w:tc>
          <w:tcPr>
            <w:tcW w:w="6280" w:type="dxa"/>
            <w:vAlign w:val="bottom"/>
            <w:gridSpan w:val="2"/>
          </w:tcPr>
          <w:p>
            <w:pPr>
              <w:ind w:left="1420"/>
              <w:spacing w:after="0"/>
              <w:rPr>
                <w:sz w:val="20"/>
                <w:szCs w:val="20"/>
                <w:color w:val="auto"/>
              </w:rPr>
            </w:pPr>
            <w:r>
              <w:rPr>
                <w:rFonts w:ascii="Arial" w:cs="Arial" w:eastAsia="Arial" w:hAnsi="Arial"/>
                <w:sz w:val="20"/>
                <w:szCs w:val="20"/>
                <w:b w:val="1"/>
                <w:bCs w:val="1"/>
                <w:color w:val="auto"/>
              </w:rPr>
              <w:t>ACLARIS THERAPEUTICS, INC.</w:t>
            </w:r>
          </w:p>
        </w:tc>
      </w:tr>
      <w:tr>
        <w:trPr>
          <w:trHeight w:val="393"/>
        </w:trPr>
        <w:tc>
          <w:tcPr>
            <w:tcW w:w="3440" w:type="dxa"/>
            <w:vAlign w:val="bottom"/>
          </w:tcPr>
          <w:p>
            <w:pPr>
              <w:spacing w:after="0"/>
              <w:rPr>
                <w:sz w:val="20"/>
                <w:szCs w:val="20"/>
                <w:color w:val="auto"/>
              </w:rPr>
            </w:pPr>
            <w:r>
              <w:rPr>
                <w:rFonts w:ascii="Arial" w:cs="Arial" w:eastAsia="Arial" w:hAnsi="Arial"/>
                <w:sz w:val="20"/>
                <w:szCs w:val="20"/>
                <w:color w:val="auto"/>
              </w:rPr>
              <w:t>Date: February 26, 2026</w:t>
            </w:r>
          </w:p>
        </w:tc>
        <w:tc>
          <w:tcPr>
            <w:tcW w:w="6280" w:type="dxa"/>
            <w:vAlign w:val="bottom"/>
            <w:gridSpan w:val="2"/>
          </w:tcPr>
          <w:p>
            <w:pPr>
              <w:ind w:left="1420"/>
              <w:spacing w:after="0"/>
              <w:rPr>
                <w:sz w:val="20"/>
                <w:szCs w:val="20"/>
                <w:color w:val="auto"/>
              </w:rPr>
            </w:pPr>
            <w:r>
              <w:rPr>
                <w:rFonts w:ascii="Arial" w:cs="Arial" w:eastAsia="Arial" w:hAnsi="Arial"/>
                <w:sz w:val="20"/>
                <w:szCs w:val="20"/>
                <w:color w:val="auto"/>
              </w:rPr>
              <w:t>By: /s/ Neal Walker</w:t>
            </w:r>
          </w:p>
        </w:tc>
      </w:tr>
      <w:tr>
        <w:trPr>
          <w:trHeight w:val="201"/>
        </w:trPr>
        <w:tc>
          <w:tcPr>
            <w:tcW w:w="3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8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color w:val="auto"/>
              </w:rPr>
              <w:t>Neal Walker</w:t>
            </w:r>
          </w:p>
        </w:tc>
      </w:tr>
      <w:tr>
        <w:trPr>
          <w:trHeight w:val="267"/>
        </w:trPr>
        <w:tc>
          <w:tcPr>
            <w:tcW w:w="3440" w:type="dxa"/>
            <w:vAlign w:val="bottom"/>
          </w:tcPr>
          <w:p>
            <w:pPr>
              <w:spacing w:after="0"/>
              <w:rPr>
                <w:sz w:val="23"/>
                <w:szCs w:val="23"/>
                <w:color w:val="auto"/>
              </w:rPr>
            </w:pPr>
          </w:p>
        </w:tc>
        <w:tc>
          <w:tcPr>
            <w:tcW w:w="6280" w:type="dxa"/>
            <w:vAlign w:val="bottom"/>
            <w:gridSpan w:val="2"/>
          </w:tcPr>
          <w:p>
            <w:pPr>
              <w:ind w:left="180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339"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9"/>
          <w:szCs w:val="19"/>
          <w:color w:val="auto"/>
        </w:rPr>
        <w:t>KNOW ALL PERSONS BY THESE PRESENTS, that each person whose signature appears below constitutes and appoints Neal Walker and Kevin Balthaser, jointly and severally, as his or her true and lawful attorneys-in-fact and agents, with full power of substitution and resubstitution, for him or her and in his or her name, place and stead, in any and all capacities, to sign this Annual Report on Form 10-K of Aclaris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09" w:lineRule="exact"/>
        <w:rPr>
          <w:sz w:val="20"/>
          <w:szCs w:val="20"/>
          <w:color w:val="auto"/>
        </w:rPr>
      </w:pPr>
    </w:p>
    <w:p>
      <w:pPr>
        <w:jc w:val="both"/>
        <w:ind w:firstLine="720"/>
        <w:spacing w:after="0" w:line="304" w:lineRule="auto"/>
        <w:rPr>
          <w:sz w:val="20"/>
          <w:szCs w:val="20"/>
          <w:color w:val="auto"/>
        </w:rPr>
      </w:pPr>
      <w:r>
        <w:rPr>
          <w:rFonts w:ascii="Arial" w:cs="Arial" w:eastAsia="Arial" w:hAnsi="Arial"/>
          <w:sz w:val="19"/>
          <w:szCs w:val="19"/>
          <w:color w:val="auto"/>
        </w:rPr>
        <w:t>Pursuant to the requirements of the Securities Exchange Act of 1934, as amended, this report has been signed below by the following persons on behalf of the registrant and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260" w:type="dxa"/>
            <w:vAlign w:val="bottom"/>
          </w:tcPr>
          <w:p>
            <w:pPr>
              <w:spacing w:after="0"/>
              <w:rPr>
                <w:sz w:val="17"/>
                <w:szCs w:val="17"/>
                <w:color w:val="auto"/>
              </w:rPr>
            </w:pPr>
          </w:p>
        </w:tc>
        <w:tc>
          <w:tcPr>
            <w:tcW w:w="4220" w:type="dxa"/>
            <w:vAlign w:val="bottom"/>
            <w:tcBorders>
              <w:bottom w:val="single" w:sz="8" w:color="auto"/>
            </w:tcBorders>
          </w:tcPr>
          <w:p>
            <w:pPr>
              <w:ind w:left="1960"/>
              <w:spacing w:after="0"/>
              <w:rPr>
                <w:sz w:val="20"/>
                <w:szCs w:val="20"/>
                <w:color w:val="auto"/>
              </w:rPr>
            </w:pPr>
            <w:r>
              <w:rPr>
                <w:rFonts w:ascii="Arial" w:cs="Arial" w:eastAsia="Arial" w:hAnsi="Arial"/>
                <w:sz w:val="16"/>
                <w:szCs w:val="16"/>
                <w:b w:val="1"/>
                <w:bCs w:val="1"/>
                <w:color w:val="auto"/>
              </w:rPr>
              <w:t>Title</w:t>
            </w:r>
          </w:p>
        </w:tc>
        <w:tc>
          <w:tcPr>
            <w:tcW w:w="28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261"/>
        </w:trPr>
        <w:tc>
          <w:tcPr>
            <w:tcW w:w="2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0"/>
                <w:szCs w:val="20"/>
                <w:color w:val="auto"/>
                <w:w w:val="92"/>
              </w:rPr>
              <w:t>Chief Executive Officer, and Chairman of the Board</w:t>
            </w:r>
          </w:p>
        </w:tc>
        <w:tc>
          <w:tcPr>
            <w:tcW w:w="28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0"/>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Neal Walker</w:t>
            </w:r>
          </w:p>
        </w:tc>
        <w:tc>
          <w:tcPr>
            <w:tcW w:w="26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of Directors</w:t>
            </w:r>
          </w:p>
        </w:tc>
        <w:tc>
          <w:tcPr>
            <w:tcW w:w="2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3"/>
              </w:rPr>
              <w:t>Neal Walker</w:t>
            </w:r>
          </w:p>
        </w:tc>
        <w:tc>
          <w:tcPr>
            <w:tcW w:w="26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Arial" w:cs="Arial" w:eastAsia="Arial" w:hAnsi="Arial"/>
                <w:sz w:val="20"/>
                <w:szCs w:val="20"/>
                <w:i w:val="1"/>
                <w:iCs w:val="1"/>
                <w:color w:val="auto"/>
              </w:rPr>
              <w:t>(Principal Executive Officer)</w:t>
            </w: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7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Kevin Balthaser</w:t>
            </w:r>
          </w:p>
        </w:tc>
        <w:tc>
          <w:tcPr>
            <w:tcW w:w="26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01"/>
        </w:trPr>
        <w:tc>
          <w:tcPr>
            <w:tcW w:w="2980" w:type="dxa"/>
            <w:vAlign w:val="bottom"/>
          </w:tcPr>
          <w:p>
            <w:pPr>
              <w:jc w:val="center"/>
              <w:spacing w:after="0" w:line="202" w:lineRule="exact"/>
              <w:rPr>
                <w:sz w:val="20"/>
                <w:szCs w:val="20"/>
                <w:color w:val="auto"/>
              </w:rPr>
            </w:pPr>
            <w:r>
              <w:rPr>
                <w:rFonts w:ascii="Arial" w:cs="Arial" w:eastAsia="Arial" w:hAnsi="Arial"/>
                <w:sz w:val="20"/>
                <w:szCs w:val="20"/>
                <w:color w:val="auto"/>
                <w:w w:val="92"/>
              </w:rPr>
              <w:t>Kevin Balthaser</w:t>
            </w:r>
          </w:p>
        </w:tc>
        <w:tc>
          <w:tcPr>
            <w:tcW w:w="26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20"/>
                <w:szCs w:val="20"/>
                <w:i w:val="1"/>
                <w:iCs w:val="1"/>
                <w:color w:val="auto"/>
              </w:rPr>
              <w:t>(Principal Financial Officer and Principal</w:t>
            </w: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65"/>
        </w:trPr>
        <w:tc>
          <w:tcPr>
            <w:tcW w:w="2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Arial" w:cs="Arial" w:eastAsia="Arial" w:hAnsi="Arial"/>
                <w:sz w:val="20"/>
                <w:szCs w:val="20"/>
                <w:i w:val="1"/>
                <w:iCs w:val="1"/>
                <w:color w:val="auto"/>
              </w:rPr>
              <w:t>Accounting Officer)</w:t>
            </w: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397"/>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Christopher Molineaux</w:t>
            </w:r>
          </w:p>
        </w:tc>
        <w:tc>
          <w:tcPr>
            <w:tcW w:w="26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Lead Independent Director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2"/>
              </w:rPr>
              <w:t>Christopher Molineaux</w:t>
            </w:r>
          </w:p>
        </w:tc>
        <w:tc>
          <w:tcPr>
            <w:tcW w:w="2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7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Anand Mehra, M.D.</w:t>
            </w:r>
          </w:p>
        </w:tc>
        <w:tc>
          <w:tcPr>
            <w:tcW w:w="4480" w:type="dxa"/>
            <w:vAlign w:val="bottom"/>
            <w:gridSpan w:val="2"/>
          </w:tcPr>
          <w:p>
            <w:pPr>
              <w:ind w:left="260"/>
              <w:spacing w:after="0"/>
              <w:rPr>
                <w:sz w:val="20"/>
                <w:szCs w:val="20"/>
                <w:color w:val="auto"/>
              </w:rPr>
            </w:pPr>
            <w:r>
              <w:rPr>
                <w:rFonts w:ascii="Arial" w:cs="Arial" w:eastAsia="Arial" w:hAnsi="Arial"/>
                <w:sz w:val="20"/>
                <w:szCs w:val="20"/>
                <w:color w:val="auto"/>
              </w:rPr>
              <w:t>Director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3"/>
              </w:rPr>
              <w:t>Anand Mehra, M.D.</w:t>
            </w:r>
          </w:p>
        </w:tc>
        <w:tc>
          <w:tcPr>
            <w:tcW w:w="2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7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/s/ William Humphries</w:t>
            </w:r>
          </w:p>
        </w:tc>
        <w:tc>
          <w:tcPr>
            <w:tcW w:w="26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Director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4"/>
              </w:rPr>
              <w:t>William Humphries</w:t>
            </w:r>
          </w:p>
        </w:tc>
        <w:tc>
          <w:tcPr>
            <w:tcW w:w="2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7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/s/ Andrew Schiff</w:t>
            </w:r>
          </w:p>
        </w:tc>
        <w:tc>
          <w:tcPr>
            <w:tcW w:w="4480" w:type="dxa"/>
            <w:vAlign w:val="bottom"/>
            <w:gridSpan w:val="2"/>
          </w:tcPr>
          <w:p>
            <w:pPr>
              <w:ind w:left="260"/>
              <w:spacing w:after="0"/>
              <w:rPr>
                <w:sz w:val="20"/>
                <w:szCs w:val="20"/>
                <w:color w:val="auto"/>
              </w:rPr>
            </w:pPr>
            <w:r>
              <w:rPr>
                <w:rFonts w:ascii="Arial" w:cs="Arial" w:eastAsia="Arial" w:hAnsi="Arial"/>
                <w:sz w:val="20"/>
                <w:szCs w:val="20"/>
                <w:color w:val="auto"/>
              </w:rPr>
              <w:t>Director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5"/>
              </w:rPr>
              <w:t>Andrew Schiff</w:t>
            </w:r>
          </w:p>
        </w:tc>
        <w:tc>
          <w:tcPr>
            <w:tcW w:w="2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7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Hugh Davis</w:t>
            </w:r>
          </w:p>
        </w:tc>
        <w:tc>
          <w:tcPr>
            <w:tcW w:w="4480" w:type="dxa"/>
            <w:vAlign w:val="bottom"/>
            <w:gridSpan w:val="2"/>
          </w:tcPr>
          <w:p>
            <w:pPr>
              <w:ind w:left="260"/>
              <w:spacing w:after="0"/>
              <w:rPr>
                <w:sz w:val="20"/>
                <w:szCs w:val="20"/>
                <w:color w:val="auto"/>
              </w:rPr>
            </w:pPr>
            <w:r>
              <w:rPr>
                <w:rFonts w:ascii="Arial" w:cs="Arial" w:eastAsia="Arial" w:hAnsi="Arial"/>
                <w:sz w:val="20"/>
                <w:szCs w:val="20"/>
                <w:color w:val="auto"/>
              </w:rPr>
              <w:t>President, Chief Operating Officer and Director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2"/>
              </w:rPr>
              <w:t>Hugh Davis</w:t>
            </w:r>
          </w:p>
        </w:tc>
        <w:tc>
          <w:tcPr>
            <w:tcW w:w="2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7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Maxine Gowen</w:t>
            </w:r>
          </w:p>
        </w:tc>
        <w:tc>
          <w:tcPr>
            <w:tcW w:w="4480" w:type="dxa"/>
            <w:vAlign w:val="bottom"/>
            <w:gridSpan w:val="2"/>
          </w:tcPr>
          <w:p>
            <w:pPr>
              <w:ind w:left="260"/>
              <w:spacing w:after="0"/>
              <w:rPr>
                <w:sz w:val="20"/>
                <w:szCs w:val="20"/>
                <w:color w:val="auto"/>
              </w:rPr>
            </w:pPr>
            <w:r>
              <w:rPr>
                <w:rFonts w:ascii="Arial" w:cs="Arial" w:eastAsia="Arial" w:hAnsi="Arial"/>
                <w:sz w:val="20"/>
                <w:szCs w:val="20"/>
                <w:color w:val="auto"/>
              </w:rPr>
              <w:t>Director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2"/>
              </w:rPr>
              <w:t>Maxine Gowen</w:t>
            </w:r>
          </w:p>
        </w:tc>
        <w:tc>
          <w:tcPr>
            <w:tcW w:w="2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378"/>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/s/ Vincent Milano</w:t>
            </w:r>
          </w:p>
        </w:tc>
        <w:tc>
          <w:tcPr>
            <w:tcW w:w="26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Director</w:t>
            </w:r>
          </w:p>
        </w:tc>
        <w:tc>
          <w:tcPr>
            <w:tcW w:w="2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February 26, 2026</w:t>
            </w:r>
          </w:p>
        </w:tc>
      </w:tr>
      <w:tr>
        <w:trPr>
          <w:trHeight w:val="256"/>
        </w:trPr>
        <w:tc>
          <w:tcPr>
            <w:tcW w:w="2980" w:type="dxa"/>
            <w:vAlign w:val="bottom"/>
          </w:tcPr>
          <w:p>
            <w:pPr>
              <w:jc w:val="center"/>
              <w:spacing w:after="0"/>
              <w:rPr>
                <w:sz w:val="20"/>
                <w:szCs w:val="20"/>
                <w:color w:val="auto"/>
              </w:rPr>
            </w:pPr>
            <w:r>
              <w:rPr>
                <w:rFonts w:ascii="Arial" w:cs="Arial" w:eastAsia="Arial" w:hAnsi="Arial"/>
                <w:sz w:val="20"/>
                <w:szCs w:val="20"/>
                <w:color w:val="auto"/>
                <w:w w:val="96"/>
              </w:rPr>
              <w:t>Vincent Milano</w:t>
            </w:r>
          </w:p>
        </w:tc>
        <w:tc>
          <w:tcPr>
            <w:tcW w:w="2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720"/>
          </w:cols>
          <w:pgMar w:left="1080" w:top="117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880" w:h="15480" w:orient="portrait"/>
          <w:cols w:equalWidth="0" w:num="1">
            <w:col w:w="9720"/>
          </w:cols>
          <w:pgMar w:left="1080" w:top="1173" w:right="1080" w:bottom="0" w:gutter="0" w:footer="0" w:header="0"/>
          <w:type w:val="continuous"/>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 Neal Walker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Chair, Chief Executive Officer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Christopher P. Molineaux</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Lead Independent Director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Hugh Davis, Ph.D.</w:t>
      </w:r>
    </w:p>
    <w:p>
      <w:pPr>
        <w:spacing w:after="0" w:line="1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Director, President and Chief Operating Officer</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Maxine Gowen, Ph.D.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Humphries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Anand Mehra, M.D.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Vincent Milano</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Andrew Schiff, M.D.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-1664970</wp:posOffset>
            </wp:positionV>
            <wp:extent cx="7397750" cy="9829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extLst>
                    </a:blip>
                    <a:srcRect/>
                    <a:stretch>
                      <a:fillRect/>
                    </a:stretch>
                  </pic:blipFill>
                  <pic:spPr bwMode="auto">
                    <a:xfrm>
                      <a:off x="0" y="0"/>
                      <a:ext cx="7397750" cy="982980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 Neal Walker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Hugh Davis, Ph.D.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Kevin Balthaser</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Roland Kolbeck, Ph.D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Chief Scientific Officer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Jesse Hall, M.D.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Chief Medical Officer</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James Loerop</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REFERENCE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w:t>
      </w:r>
    </w:p>
    <w:p>
      <w:pPr>
        <w:spacing w:after="0" w:line="10"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annual meeting of stockholders will be held virtually at www. virtualshareholdermeeting.com/ ACRS2026, at 9:00 a.m. Eastern Time on Thursday, June 4, 2026.</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Registrar and Transfer Agent</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Broadridge Corporate Issuer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Solutions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P.O. Box 1342</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Brentwood, NY 11717</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www.broadridge.com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Exchange: Nasdaq Global Select Market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Ticker Symbol: ACRS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Stockholder inquiries should be directed to:</w:t>
      </w:r>
    </w:p>
    <w:p>
      <w:pPr>
        <w:spacing w:after="0" w:line="220" w:lineRule="exact"/>
        <w:rPr>
          <w:sz w:val="20"/>
          <w:szCs w:val="20"/>
          <w:color w:val="auto"/>
        </w:rPr>
      </w:pPr>
    </w:p>
    <w:p>
      <w:pPr>
        <w:spacing w:after="0"/>
        <w:tabs>
          <w:tab w:leader="none" w:pos="3020" w:val="left"/>
        </w:tabs>
        <w:rPr>
          <w:sz w:val="20"/>
          <w:szCs w:val="20"/>
          <w:color w:val="auto"/>
        </w:rPr>
      </w:pPr>
      <w:r>
        <w:rPr>
          <w:rFonts w:ascii="Arial" w:cs="Arial" w:eastAsia="Arial" w:hAnsi="Arial"/>
          <w:sz w:val="20"/>
          <w:szCs w:val="20"/>
          <w:color w:val="auto"/>
        </w:rPr>
        <w:t>701 Lee Road</w:t>
      </w:r>
      <w:r>
        <w:rPr>
          <w:sz w:val="20"/>
          <w:szCs w:val="20"/>
          <w:color w:val="auto"/>
        </w:rPr>
        <w:tab/>
      </w:r>
      <w:r>
        <w:rPr>
          <w:rFonts w:ascii="Arial" w:cs="Arial" w:eastAsia="Arial" w:hAnsi="Arial"/>
          <w:sz w:val="18"/>
          <w:szCs w:val="18"/>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Suite 103</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Wayne, PA 19087</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Tel: 484-324-7933</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Email: investors@aclaristx.com.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Counsel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Cooley LLP</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One Freedom Square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Reston Town Center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11951 Freedom Drive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Reston, VA 20190</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Auditors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PricewaterhouseCoopers LLP</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Two Commerce Square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2001 Market Street | Suite 1800</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Philadelphia, PA 19103</w:t>
      </w:r>
    </w:p>
    <w:p>
      <w:pPr>
        <w:spacing w:after="0" w:line="27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Forward</w:t>
      </w:r>
      <w:r>
        <w:rPr>
          <w:rFonts w:ascii="Arial" w:cs="Arial" w:eastAsia="Arial" w:hAnsi="Arial"/>
          <w:sz w:val="18"/>
          <w:szCs w:val="18"/>
          <w:color w:val="auto"/>
        </w:rPr>
        <w:t>–</w:t>
      </w:r>
      <w:r>
        <w:rPr>
          <w:rFonts w:ascii="Arial" w:cs="Arial" w:eastAsia="Arial" w:hAnsi="Arial"/>
          <w:sz w:val="18"/>
          <w:szCs w:val="18"/>
          <w:b w:val="1"/>
          <w:bCs w:val="1"/>
          <w:color w:val="auto"/>
        </w:rPr>
        <w:t xml:space="preserve">Looking Statements </w:t>
      </w:r>
      <w:r>
        <w:rPr>
          <w:rFonts w:ascii="Arial" w:cs="Arial" w:eastAsia="Arial" w:hAnsi="Arial"/>
          <w:sz w:val="18"/>
          <w:szCs w:val="18"/>
          <w:color w:val="auto"/>
        </w:rPr>
        <w:t>This annual report to stockholders contains forward-looking information about Aclaris’ future operating and financial performance, business plans and prospects, and product candidates that involves substantial risk and uncertainties. Please refer to the special note regarding forward-looking statements in this annual report for additional information regarding our forward-looking statements.</w:t>
      </w:r>
    </w:p>
    <w:p>
      <w:pPr>
        <w:sectPr>
          <w:pgSz w:w="11880" w:h="15480" w:orient="portrait"/>
          <w:cols w:equalWidth="0" w:num="3">
            <w:col w:w="3180" w:space="440"/>
            <w:col w:w="3200" w:space="420"/>
            <w:col w:w="3200"/>
          </w:cols>
          <w:pgMar w:left="660" w:top="1440" w:right="78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0011"/>
        </w:rPr>
        <w:t>701 Lee Road • Suite 103 • Wayne, PA 19087</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0011"/>
        </w:rPr>
        <w:t>www.aclaristx.com</w:t>
      </w:r>
    </w:p>
    <w:p>
      <w:pPr>
        <w:sectPr>
          <w:pgSz w:w="11880" w:h="15480" w:orient="portrait"/>
          <w:cols w:equalWidth="0" w:num="1">
            <w:col w:w="9000"/>
          </w:cols>
          <w:pgMar w:left="1440" w:top="1440" w:right="1440" w:bottom="343"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000011"/>
        </w:rPr>
        <w:t>© 2026 Aclaris Therapeutics, Inc. All rights reserved.</w:t>
      </w:r>
      <w:r>
        <w:rPr>
          <w:rFonts w:ascii="Arial" w:cs="Arial" w:eastAsia="Arial" w:hAnsi="Arial"/>
          <w:sz w:val="16"/>
          <w:szCs w:val="16"/>
          <w:color w:val="FFFFFF"/>
        </w:rPr>
        <w:t>served.</w:t>
      </w:r>
    </w:p>
    <w:sectPr>
      <w:pgSz w:w="11880" w:h="15480" w:orient="portrait"/>
      <w:cols w:equalWidth="0" w:num="1">
        <w:col w:w="9000"/>
      </w:cols>
      <w:pgMar w:left="1440" w:top="1440" w:right="1440" w:bottom="3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lowerRoman"/>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lowerRoman"/>
      <w:start w:val="2"/>
    </w:lvl>
  </w:abstractNum>
  <w:abstractNum w:abstractNumId="38">
    <w:nsid w:val="39386575"/>
    <w:multiLevelType w:val="hybridMultilevel"/>
    <w:lvl w:ilvl="0">
      <w:lvlJc w:val="left"/>
      <w:lvlText w:val="(%1)"/>
      <w:numFmt w:val="lowerRoman"/>
      <w:start w:val="3"/>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lowerRoman"/>
      <w:start w:val="2"/>
    </w:lvl>
  </w:abstractNum>
  <w:abstractNum w:abstractNumId="48">
    <w:nsid w:val="3F6AB60F"/>
    <w:multiLevelType w:val="hybridMultilevel"/>
    <w:lvl w:ilvl="0">
      <w:lvlJc w:val="left"/>
      <w:lvlText w:val="%1."/>
      <w:numFmt w:val="decimal"/>
      <w:start w:val="11"/>
    </w:lvl>
  </w:abstractNum>
  <w:abstractNum w:abstractNumId="49">
    <w:nsid w:val="61574095"/>
    <w:multiLevelType w:val="hybridMultilevel"/>
    <w:lvl w:ilvl="0">
      <w:lvlJc w:val="left"/>
      <w:lvlText w:val="(%1)"/>
      <w:numFmt w:val="lowerRoman"/>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2"/>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7"/>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5"/>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lowerLetter"/>
      <w:start w:val="1"/>
    </w:lvl>
    <w:lvl w:ilvl="1">
      <w:lvlJc w:val="left"/>
      <w:lvlText w:val="(%2)"/>
      <w:numFmt w:val="decimal"/>
      <w:start w:val="1"/>
    </w:lvl>
  </w:abstractNum>
  <w:abstractNum w:abstractNumId="66">
    <w:nsid w:val="98A3148"/>
    <w:multiLevelType w:val="hybridMultilevel"/>
    <w:lvl w:ilvl="0">
      <w:lvlJc w:val="left"/>
      <w:lvlText w:val="(%1)"/>
      <w:numFmt w:val="decimal"/>
      <w:start w:val="3"/>
    </w:lvl>
  </w:abstractNum>
  <w:abstractNum w:abstractNumId="67">
    <w:nsid w:val="799D0247"/>
    <w:multiLevelType w:val="hybridMultilevel"/>
    <w:lvl w:ilvl="0">
      <w:lvlJc w:val="left"/>
      <w:lvlText w:val="(%1)"/>
      <w:numFmt w:val="lowerLetter"/>
      <w:start w:val="2"/>
    </w:lvl>
  </w:abstractNum>
  <w:abstractNum w:abstractNumId="68">
    <w:nsid w:val="6B94764"/>
    <w:multiLevelType w:val="hybridMultilevel"/>
    <w:lvl w:ilvl="0">
      <w:lvlJc w:val="left"/>
      <w:lvlText w:val="*"/>
      <w:numFmt w:val="bullet"/>
      <w:start w:val="1"/>
    </w:lvl>
    <w:lvl w:ilvl="1">
      <w:lvlJc w:val="left"/>
      <w:lvlText w:val="%2"/>
      <w:numFmt w:val="decimal"/>
      <w:start w:val="104"/>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2026-04-23T06:51:48Z</dcterms:created>
  <dcterms:modified xsi:type="dcterms:W3CDTF">2026-04-23T06:51:48Z</dcterms:modified>
</cp:coreProperties>
</file>