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780" w:right="26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3" w:lineRule="exact"/>
        <w:rPr>
          <w:sz w:val="24"/>
          <w:szCs w:val="24"/>
          <w:color w:val="auto"/>
        </w:rPr>
      </w:pPr>
    </w:p>
    <w:p>
      <w:pPr>
        <w:ind w:left="780" w:right="220" w:hanging="448"/>
        <w:spacing w:after="0" w:line="256"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100" w:space="720"/>
            <w:col w:w="4600"/>
          </w:cols>
          <w:pgMar w:left="240" w:top="233" w:right="239" w:bottom="0" w:gutter="0" w:footer="0" w:header="0"/>
          <w:type w:val="continuous"/>
        </w:sectPr>
      </w:pP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001-37581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229235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Aclaris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46-0571712</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1"/>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0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101 Lindenwood Drive, Suite 400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5"/>
              </w:rPr>
              <w:t>Malvern, PA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19355</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04"/>
        </w:trPr>
        <w:tc>
          <w:tcPr>
            <w:tcW w:w="640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(484) 324-7933</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r>
        <w:trPr>
          <w:trHeight w:val="419"/>
        </w:trPr>
        <w:tc>
          <w:tcPr>
            <w:tcW w:w="6400" w:type="dxa"/>
            <w:vAlign w:val="bottom"/>
          </w:tcPr>
          <w:p>
            <w:pPr>
              <w:jc w:val="center"/>
              <w:ind w:left="2170"/>
              <w:spacing w:after="0"/>
              <w:rPr>
                <w:sz w:val="20"/>
                <w:szCs w:val="20"/>
                <w:color w:val="auto"/>
              </w:rPr>
            </w:pPr>
            <w:r>
              <w:rPr>
                <w:rFonts w:ascii="Arial" w:cs="Arial" w:eastAsia="Arial" w:hAnsi="Arial"/>
                <w:sz w:val="18"/>
                <w:szCs w:val="18"/>
                <w:b w:val="1"/>
                <w:bCs w:val="1"/>
                <w:color w:val="auto"/>
                <w:w w:val="96"/>
              </w:rPr>
              <w:t>N/A</w:t>
            </w:r>
          </w:p>
        </w:tc>
        <w:tc>
          <w:tcPr>
            <w:tcW w:w="152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203200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6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8"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ectPr>
          <w:pgSz w:w="11900" w:h="16838" w:orient="portrait"/>
          <w:cols w:equalWidth="0" w:num="1">
            <w:col w:w="11420"/>
          </w:cols>
          <w:pgMar w:left="240" w:top="233" w:right="239" w:bottom="0" w:gutter="0" w:footer="0" w:header="0"/>
          <w:type w:val="continuous"/>
        </w:sectPr>
      </w:pPr>
    </w:p>
    <w:p>
      <w:pPr>
        <w:spacing w:after="0" w:line="110"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23"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sectPr>
          <w:pgSz w:w="11900" w:h="16838" w:orient="portrait"/>
          <w:cols w:equalWidth="0" w:num="2">
            <w:col w:w="6820" w:space="720"/>
            <w:col w:w="3880"/>
          </w:cols>
          <w:pgMar w:left="240" w:top="233" w:right="239" w:bottom="0" w:gutter="0" w:footer="0" w:header="0"/>
          <w:type w:val="continuous"/>
        </w:sect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 Yes o No x</w:t>
      </w:r>
    </w:p>
    <w:p>
      <w:pPr>
        <w:spacing w:after="0" w:line="22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$0.00001 per share, as of the close of business on November 17, 2015 was 20,157,503.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283845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ACLARIS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5"/>
        </w:trPr>
        <w:tc>
          <w:tcPr>
            <w:tcW w:w="308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500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8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Financial Statements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gridSpan w:val="19"/>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Unaudited Condensed Consolidated Balance Sheets as of September 30, 2015 and December 31, 2014</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Operations and Comprehensive Loss for the three and nine months ended</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30, 2015 and 2014</w:t>
              </w:r>
            </w:hyperlink>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 Condensed Consolidated Statements of Convertible Preferred Stock and Stockholders’ Deficit for the period from January 1,</w:t>
              </w:r>
            </w:hyperlink>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2015 to September 30, 2015</w:t>
              </w:r>
            </w:hyperlink>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25"/>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Unaudited Condensed Consolidated Statements of Cash Flows for the nine months ended September 30, 2015 and 2014</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Unaudited Condensed Consolidated Financial Statements</w:t>
              </w:r>
            </w:hyperlink>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8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0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574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530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618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6480" w:type="dxa"/>
            <w:vAlign w:val="bottom"/>
            <w:gridSpan w:val="13"/>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2. Unregistered Sales of Equity Securities and Use of Proceeds</w:t>
              </w:r>
            </w:hyperlink>
          </w:p>
        </w:tc>
        <w:tc>
          <w:tcPr>
            <w:tcW w:w="31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2"/>
        </w:trPr>
        <w:tc>
          <w:tcPr>
            <w:tcW w:w="808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6920" w:type="dxa"/>
            <w:vAlign w:val="bottom"/>
            <w:gridSpan w:val="15"/>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 Index</w:t>
              </w:r>
            </w:hyperlink>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80" w:type="dxa"/>
            <w:vAlign w:val="bottom"/>
            <w:tcBorders>
              <w:top w:val="single" w:sz="8" w:color="0000EE"/>
            </w:tcBorders>
            <w:gridSpan w:val="4"/>
          </w:tcPr>
          <w:p>
            <w:pPr>
              <w:spacing w:after="0"/>
              <w:rPr>
                <w:sz w:val="24"/>
                <w:szCs w:val="24"/>
                <w:color w:val="auto"/>
              </w:rPr>
            </w:pPr>
          </w:p>
        </w:tc>
        <w:tc>
          <w:tcPr>
            <w:tcW w:w="6020" w:type="dxa"/>
            <w:vAlign w:val="bottom"/>
            <w:gridSpan w:val="14"/>
          </w:tcPr>
          <w:p>
            <w:pPr>
              <w:jc w:val="center"/>
              <w:ind w:left="3310"/>
              <w:spacing w:after="0"/>
              <w:rPr>
                <w:sz w:val="20"/>
                <w:szCs w:val="20"/>
                <w:color w:val="auto"/>
              </w:rPr>
            </w:pPr>
            <w:r>
              <w:rPr>
                <w:rFonts w:ascii="Arial" w:cs="Arial" w:eastAsia="Arial" w:hAnsi="Arial"/>
                <w:sz w:val="18"/>
                <w:szCs w:val="18"/>
                <w:color w:val="auto"/>
                <w:w w:val="99"/>
              </w:rPr>
              <w:t>2</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shd w:val="clear" w:color="auto" w:fill="0000EE"/>
          </w:tcPr>
          <w:p>
            <w:pPr>
              <w:spacing w:after="0" w:line="20" w:lineRule="exact"/>
              <w:rPr>
                <w:sz w:val="1"/>
                <w:szCs w:val="1"/>
                <w:color w:val="auto"/>
              </w:rPr>
            </w:pPr>
          </w:p>
        </w:tc>
        <w:tc>
          <w:tcPr>
            <w:tcW w:w="680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rPr>
              <w:t>ACLARIS THERAPEUTICS,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25,419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12,986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39,360</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gridSpan w:val="20"/>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-3766185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-3766185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95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588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-121920</wp:posOffset>
            </wp:positionV>
            <wp:extent cx="1912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60"/>
          </w:cols>
          <w:pgMar w:left="240" w:top="82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958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r>
      <w:tr>
        <w:trPr>
          <w:trHeight w:val="210"/>
        </w:trPr>
        <w:tc>
          <w:tcPr>
            <w:tcW w:w="81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0"/>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8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Convertible preferred stock (Series A, B and C), $0.00001 par value; 40,286,041 and 34,090,000 shares</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authorized at September 30, 2015 and December 31, 2014, respectively; 40,286,041 and 27,341,057 shares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issued and outstanding at September 30, 2015 and December 31, 2014, respectively; aggregate liquidation</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of $78,282 and $35,882 at September 30, 2015 and December 31, 2014, respectively</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78,305</w:t>
            </w: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36,677</w:t>
            </w:r>
          </w:p>
        </w:tc>
        <w:tc>
          <w:tcPr>
            <w:tcW w:w="80" w:type="dxa"/>
            <w:vAlign w:val="bottom"/>
            <w:shd w:val="clear" w:color="auto" w:fill="CCEEFF"/>
          </w:tcPr>
          <w:p>
            <w:pPr>
              <w:spacing w:after="0"/>
              <w:rPr>
                <w:sz w:val="20"/>
                <w:szCs w:val="20"/>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$0.00001 par value; 110,000,000 and 77,000,000 shares authorized at September 30, 2015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December 31, 2014, respectively; 2,730,427 and 2,730,427 shares issued and outstanding</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81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(38,119)</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(20,749)</w:t>
            </w:r>
          </w:p>
        </w:tc>
      </w:tr>
      <w:tr>
        <w:trPr>
          <w:trHeight w:val="210"/>
        </w:trPr>
        <w:tc>
          <w:tcPr>
            <w:tcW w:w="81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8100" w:type="dxa"/>
            <w:vAlign w:val="bottom"/>
          </w:tcPr>
          <w:p>
            <w:pPr>
              <w:ind w:left="38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42,087</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12,937</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2,928</w:t>
            </w:r>
          </w:p>
        </w:tc>
        <w:tc>
          <w:tcPr>
            <w:tcW w:w="5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(15,849)</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(2,353)</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(18,202)</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7"/>
              </w:rPr>
              <w:t>Net loss per share attributable to common stockholders, basic</w:t>
            </w:r>
          </w:p>
        </w:tc>
        <w:tc>
          <w:tcPr>
            <w:tcW w:w="480" w:type="dxa"/>
            <w:vAlign w:val="bottom"/>
            <w:gridSpan w:val="2"/>
            <w:vMerge w:val="restart"/>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(8.44)</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48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1"/>
              </w:rPr>
              <w:t>Weighted average common shares outstanding, basic and diluted</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2,274,617</w:t>
            </w:r>
          </w:p>
        </w:tc>
        <w:tc>
          <w:tcPr>
            <w:tcW w:w="3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1,794,909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2,155,685</w:t>
            </w:r>
          </w:p>
        </w:tc>
        <w:tc>
          <w:tcPr>
            <w:tcW w:w="2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1,675,976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80"/>
              <w:spacing w:after="0" w:line="201" w:lineRule="exact"/>
              <w:rPr>
                <w:sz w:val="20"/>
                <w:szCs w:val="20"/>
                <w:color w:val="auto"/>
              </w:rPr>
            </w:pPr>
            <w:r>
              <w:rPr>
                <w:rFonts w:ascii="Arial" w:cs="Arial" w:eastAsia="Arial" w:hAnsi="Arial"/>
                <w:sz w:val="18"/>
                <w:szCs w:val="18"/>
                <w:color w:val="auto"/>
              </w:rPr>
              <w:t>Unrealized gain (loss) on marketable securities, net of tax</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of $0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1, 2015 TO SEPTEMBER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10"/>
          </w:tcPr>
          <w:p>
            <w:pPr>
              <w:jc w:val="right"/>
              <w:ind w:right="220"/>
              <w:spacing w:after="0"/>
              <w:rPr>
                <w:sz w:val="20"/>
                <w:szCs w:val="20"/>
                <w:color w:val="auto"/>
              </w:rPr>
            </w:pPr>
            <w:r>
              <w:rPr>
                <w:rFonts w:ascii="Arial" w:cs="Arial" w:eastAsia="Arial" w:hAnsi="Arial"/>
                <w:sz w:val="18"/>
                <w:szCs w:val="18"/>
                <w:b w:val="1"/>
                <w:bCs w:val="1"/>
                <w:color w:val="auto"/>
                <w:w w:val="97"/>
              </w:rPr>
              <w:t>(In thousands, except share data)</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98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0"/>
              </w:rPr>
              <w:t>Series A, B and C</w:t>
            </w:r>
          </w:p>
        </w:tc>
        <w:tc>
          <w:tcPr>
            <w:tcW w:w="2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98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98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6"/>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140" w:type="dxa"/>
            <w:vAlign w:val="bottom"/>
            <w:gridSpan w:val="4"/>
          </w:tcPr>
          <w:p>
            <w:pPr>
              <w:jc w:val="center"/>
              <w:ind w:left="604"/>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w:t>
            </w:r>
          </w:p>
        </w:tc>
        <w:tc>
          <w:tcPr>
            <w:tcW w:w="1040" w:type="dxa"/>
            <w:vAlign w:val="bottom"/>
            <w:gridSpan w:val="3"/>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vMerge w:val="restart"/>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4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January 1, 2015</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88"/>
              </w:rPr>
              <w:t>27,341,057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36,677</w:t>
            </w:r>
          </w:p>
        </w:tc>
        <w:tc>
          <w:tcPr>
            <w:tcW w:w="16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7"/>
              </w:rPr>
              <w:t>2,730,427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500"/>
              <w:spacing w:after="0" w:line="199"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6"/>
              </w:rPr>
              <w:t>$  (20,749)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8"/>
              </w:rPr>
              <w:t>$  (20,755)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0"/>
              <w:spacing w:after="0"/>
              <w:rPr>
                <w:sz w:val="20"/>
                <w:szCs w:val="20"/>
                <w:color w:val="auto"/>
              </w:rPr>
            </w:pPr>
            <w:r>
              <w:rPr>
                <w:rFonts w:ascii="Arial" w:cs="Arial" w:eastAsia="Arial" w:hAnsi="Arial"/>
                <w:sz w:val="18"/>
                <w:szCs w:val="18"/>
                <w:color w:val="auto"/>
              </w:rPr>
              <w:t>Issuance of Series C convertible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40" w:type="dxa"/>
            <w:vAlign w:val="bottom"/>
          </w:tcPr>
          <w:p>
            <w:pPr>
              <w:ind w:left="380"/>
              <w:spacing w:after="0"/>
              <w:rPr>
                <w:sz w:val="20"/>
                <w:szCs w:val="20"/>
                <w:color w:val="auto"/>
              </w:rPr>
            </w:pPr>
            <w:r>
              <w:rPr>
                <w:rFonts w:ascii="Arial" w:cs="Arial" w:eastAsia="Arial" w:hAnsi="Arial"/>
                <w:sz w:val="18"/>
                <w:szCs w:val="18"/>
                <w:color w:val="auto"/>
              </w:rPr>
              <w:t>preferred stock, net of issuance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40" w:type="dxa"/>
            <w:vAlign w:val="bottom"/>
          </w:tcPr>
          <w:p>
            <w:pPr>
              <w:ind w:left="380"/>
              <w:spacing w:after="0"/>
              <w:rPr>
                <w:sz w:val="20"/>
                <w:szCs w:val="20"/>
                <w:color w:val="auto"/>
              </w:rPr>
            </w:pPr>
            <w:r>
              <w:rPr>
                <w:rFonts w:ascii="Arial" w:cs="Arial" w:eastAsia="Arial" w:hAnsi="Arial"/>
                <w:sz w:val="18"/>
                <w:szCs w:val="18"/>
                <w:color w:val="auto"/>
              </w:rPr>
              <w:t>costs of $136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12,944,984</w:t>
            </w:r>
          </w:p>
        </w:tc>
        <w:tc>
          <w:tcPr>
            <w:tcW w:w="20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39,864</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6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marketable</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040" w:type="dxa"/>
            <w:vAlign w:val="bottom"/>
          </w:tcPr>
          <w:p>
            <w:pPr>
              <w:ind w:left="200"/>
              <w:spacing w:after="0"/>
              <w:rPr>
                <w:sz w:val="20"/>
                <w:szCs w:val="20"/>
                <w:color w:val="auto"/>
              </w:rPr>
            </w:pPr>
            <w:r>
              <w:rPr>
                <w:rFonts w:ascii="Arial" w:cs="Arial" w:eastAsia="Arial" w:hAnsi="Arial"/>
                <w:sz w:val="18"/>
                <w:szCs w:val="18"/>
                <w:color w:val="auto"/>
                <w:w w:val="97"/>
              </w:rPr>
              <w:t>Stock-based compensation expense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02"/>
        </w:trPr>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Accretion of convertible preferred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to redemption value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16"/>
        </w:trPr>
        <w:tc>
          <w:tcPr>
            <w:tcW w:w="30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6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(15,849)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(15,849)</w:t>
            </w:r>
          </w:p>
        </w:tc>
      </w:tr>
      <w:tr>
        <w:trPr>
          <w:trHeight w:val="22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40,286,041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78,305</w:t>
            </w:r>
          </w:p>
        </w:tc>
        <w:tc>
          <w:tcPr>
            <w:tcW w:w="18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2,730,427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(38,119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 September</w:t>
      </w:r>
    </w:p>
    <w:p>
      <w:pPr>
        <w:jc w:val="center"/>
        <w:ind w:left="8200"/>
        <w:spacing w:after="0" w:line="236" w:lineRule="auto"/>
        <w:rPr>
          <w:sz w:val="20"/>
          <w:szCs w:val="20"/>
          <w:color w:val="auto"/>
        </w:rPr>
      </w:pPr>
      <w:r>
        <w:rPr>
          <w:rFonts w:ascii="Arial" w:cs="Arial" w:eastAsia="Arial" w:hAnsi="Arial"/>
          <w:sz w:val="14"/>
          <w:szCs w:val="14"/>
          <w:b w:val="1"/>
          <w:bCs w:val="1"/>
          <w:color w:val="auto"/>
        </w:rPr>
        <w:t>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20" w:type="dxa"/>
            <w:vAlign w:val="bottom"/>
          </w:tcPr>
          <w:p>
            <w:pPr>
              <w:ind w:left="380"/>
              <w:spacing w:after="0"/>
              <w:rPr>
                <w:sz w:val="20"/>
                <w:szCs w:val="20"/>
                <w:color w:val="auto"/>
              </w:rPr>
            </w:pPr>
            <w:r>
              <w:rPr>
                <w:rFonts w:ascii="Arial" w:cs="Arial" w:eastAsia="Arial" w:hAnsi="Arial"/>
                <w:sz w:val="18"/>
                <w:szCs w:val="18"/>
                <w:color w:val="auto"/>
              </w:rPr>
              <w:t>Deferred rent</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56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702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(13,002)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and maturities of marketable securities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1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39,864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initial public offering costs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10,757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r>
              <w:rPr>
                <w:rFonts w:ascii="Arial" w:cs="Arial" w:eastAsia="Arial" w:hAnsi="Arial"/>
                <w:sz w:val="18"/>
                <w:szCs w:val="18"/>
                <w:color w:val="auto"/>
              </w:rPr>
              <w:t>:</w:t>
            </w: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 purchases included in accounts payable</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rPr>
              <w:t>Accretion of convertible preferred stock to redemption value</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1,764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preferred stock purchased put option on date of issuance</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0"/>
        </w:trPr>
        <w:tc>
          <w:tcPr>
            <w:tcW w:w="7020" w:type="dxa"/>
            <w:vAlign w:val="bottom"/>
          </w:tcPr>
          <w:p>
            <w:pPr>
              <w:ind w:left="20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ACLARIS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Aclaris Therapeutics, Inc. (the “Company”) was incorporated under the laws of the State of Delaware in 2012. The Company is a clinical-stage specialty pharmaceutical company focused on identifying, developing and commercializing innovative and differentiated drugs to address significant unmet needs in dermatology. The Company’s lead drug candidate, A-101, is a proprietary high-concentration hydrogen peroxide topical solution that the Company is</w:t>
      </w:r>
    </w:p>
    <w:p>
      <w:pPr>
        <w:sectPr>
          <w:pgSz w:w="11900" w:h="16838" w:orient="portrait"/>
          <w:cols w:equalWidth="0" w:num="1">
            <w:col w:w="11420"/>
          </w:cols>
          <w:pgMar w:left="240" w:top="134" w:right="239" w:bottom="0" w:gutter="0" w:footer="0" w:header="0"/>
        </w:sectPr>
      </w:pPr>
    </w:p>
    <w:bookmarkStart w:id="4" w:name="page5"/>
    <w:bookmarkEnd w:id="4"/>
    <w:p>
      <w:pPr>
        <w:spacing w:after="0" w:line="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developing as a prescription treatment for seborrheic keratosis (“SK”), a common non-malignant skin tumor. The Company has completed three Phase 2 clinical trials of A-101 in patients with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July 17, 2015, Aclaris Therapeutics International Limited was established as a wholly-owned subsidiary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6, 2015, the Company’s registration statement on Form S-1 relating to its initial public offering of its common stock (the “IPO”) was declared effective by the Securities and Exchange Commission (“SEC”). The shares began trading on The NASDAQ Global Select Market on October 7, 2015. The IPO closed on October 13, 2015, and 5,000,000 shares of common stock were sold at a price to the public of $11.00 per share, for aggregate gross proceeds of $55,000. In addition, upon the closing of the IPO, all of the Company’s outstanding convertible preferred stock was converted into an aggregate total of 11,677,076 shares of common stock.</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October 12, 2015, the underwriters of the IPO exercised in full their option to purchase additional shares, and on October 13, 2015, the Company’s sold 750,000 additional shares of common stock at a price to the public of $11.00 per share, for aggregate gross proceeds of $8,250.</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paid to the underwriters underwriting discounts and commissions of $4,428 in connection with the IPO, including the underwriters’ exercise of their option to purchase additional shares. In addition, the Company incurred expenses of approximately $2,200 in connection with the IPO. Thus, the net offering proceeds to the Company, after deducting underwriting discounts and commissions and offering expenses, were $56,623.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September 24, 2015, the Company effected a 1-for-3.45 reverse stock split of its issued and outstanding shares of common stock and a proportional adjustment to the existing conversion ratios for each series of the Company’s convertible preferred stock (see Note 6). Accordingly, all share and per share amounts for all periods presented in these financial statements and notes thereto have been adjusted retroactively, where applicable, to reflect this reverse stock split and adjustment of the preferred stock conversion ratios.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At September 30, 2015, the Company had working capital of $37,463, an accumulated deficit of $38,119 and cash, cash equivalents and marketable securities of $38,405. Upon consummation of its IPO on October 13, 2015, the Company received cash proceeds, net of underwriting discounts and commissions, of $58,823. The Company has not generated any product revenues and has not achieved profitable operations. There is no assurance that profitable operations will ever be achieved, and, if achieved, will be sustained on a continuing basis. In addition, development activities, clinical and pre-clinical testing, and commercialization of the Company’s products will require significant additional financing.</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expects that its cash and cash equivalents as of September 30, 2015, together with the proceeds received in connection with its IPO in October 2015, will be sufficient to fund its operations for at least the next 24 months.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The financial statements include the consolidated accounts of the Company and its wholly-owned subsidiary, Aclaris Therapeutics International Limited. All intercompany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accrual of research and development expenses and the valuation of common stock and stock-based awards.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Estimates are periodically reviewed in light of changes in circumstances, facts and experience. Actual results could differ from the Company’s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accompanying condensed consolidated balance sheet as of September 30, 2015, the condensed consolidated statements of operations and comprehensive loss for the three and nine months ended September 30, 2015 and 2014, the condensed consolidated statement of convertible preferred stock and stockholders’ deficit for the nine months ended September 30, 2015, and the condensed consolidated statements of cash flows for the nine months ended September 30, 2015 and 2014 are unaudited.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2015, the results of its operations and comprehensive loss for the three and nine months ended September 30, 2015 and 2014 and its cash flows for the nine months ended September 30, 2015 and 2014. The financial data and other information disclosed in these notes related to the nine months ended September 30, 2015 and 2014 are unaudited. The results for the nine months ended September 30, 2015 are not necessarily indicative of results to be expected for the year ending December 31, 2015, any other interim periods, or any future year or period. The unaudited interim financial statements of the Company included herein have been prepared, pursuant to the rules and regulations of the</w:t>
      </w:r>
    </w:p>
    <w:p>
      <w:pPr>
        <w:sectPr>
          <w:pgSz w:w="11900" w:h="16863" w:orient="portrait"/>
          <w:cols w:equalWidth="0" w:num="1">
            <w:col w:w="11400"/>
          </w:cols>
          <w:pgMar w:left="240" w:top="125" w:right="259" w:bottom="0" w:gutter="0" w:footer="0" w:header="0"/>
        </w:sectPr>
      </w:pPr>
    </w:p>
    <w:bookmarkStart w:id="5" w:name="page6"/>
    <w:bookmarkEnd w:id="5"/>
    <w:p>
      <w:pPr>
        <w:ind w:right="360"/>
        <w:spacing w:after="0" w:line="302" w:lineRule="auto"/>
        <w:rPr>
          <w:sz w:val="20"/>
          <w:szCs w:val="20"/>
          <w:color w:val="auto"/>
        </w:rPr>
      </w:pPr>
      <w:r>
        <w:rPr>
          <w:rFonts w:ascii="Arial" w:cs="Arial" w:eastAsia="Arial" w:hAnsi="Arial"/>
          <w:sz w:val="16"/>
          <w:szCs w:val="16"/>
          <w:color w:val="auto"/>
        </w:rPr>
        <w:t>SEC. Certain information and footnote disclosures normally included in financial statements prepared in accordance with GAAP have been condensed or omitted from this report, as is permitted by such rules and regulations. These unaudited condensed consolidated financial statements should be read in conjunction with the audited financial statements and the notes thereto for the year ended December 31, 2014 included in the Company’s final prospectus filed on October 8, 2015 with the SEC pursuant to Rule 424(b)(4) of the Securities Act of 1933, as amended (the “Securities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2014 included in the Company’s final prospectus filed on October 8, 2015 with the SEC pursuant to the Securities Act. Since the date of such financial statements, there have been no changes to the Company’s significant accounting policies, other than those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deficit as a reduction of additional paid-in capital generated as a result of the offering. As of September 30, 2015, the Company had recorded $1,943 of deferred offering costs incurred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IPO. The deferred offering costs were offset against the net proceeds received upon completion of the IPO in October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measured at fair value on a recurring basis and indicate the level of the fair value hierarchy utilized to determine such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as of September 30,</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818"/>
              <w:spacing w:after="0"/>
              <w:rPr>
                <w:sz w:val="20"/>
                <w:szCs w:val="20"/>
                <w:color w:val="auto"/>
              </w:rPr>
            </w:pPr>
            <w:r>
              <w:rPr>
                <w:rFonts w:ascii="Arial" w:cs="Arial" w:eastAsia="Arial" w:hAnsi="Arial"/>
                <w:sz w:val="14"/>
                <w:szCs w:val="14"/>
                <w:b w:val="1"/>
                <w:bCs w:val="1"/>
                <w:color w:val="auto"/>
                <w:w w:val="94"/>
              </w:rPr>
              <w:t>2015 Using:</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14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9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Fair Value Measurements as of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818"/>
              <w:spacing w:after="0"/>
              <w:rPr>
                <w:sz w:val="20"/>
                <w:szCs w:val="20"/>
                <w:color w:val="auto"/>
              </w:rPr>
            </w:pPr>
            <w:r>
              <w:rPr>
                <w:rFonts w:ascii="Arial" w:cs="Arial" w:eastAsia="Arial" w:hAnsi="Arial"/>
                <w:sz w:val="14"/>
                <w:szCs w:val="14"/>
                <w:b w:val="1"/>
                <w:bCs w:val="1"/>
                <w:color w:val="auto"/>
                <w:w w:val="94"/>
              </w:rPr>
              <w:t>2014 Using:</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14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9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10,012</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September 30, 2015 and December 31, 2014, the Company’s cash equivalents, which were invested in money market funds, were valued based on Level 1 inputs. In determining the fair value of its corporate debt securities and U.S. government agency debt securities as of September 30, 2015 and December 31, 2014, the Company relied on quoted prices for identical securities in markets that are not active, a Level 2 input. These quoted prices were obtained by the Company with the assistance of a third-party pricing service based on available trade, bid and other observable market data for identical securities. Quarterly, the Company compares the quoted prices obtained from the third-party pricing service to other available independent pricing information to validate the reasonableness of the quoted prices provided. The Company evaluates whether adjustments to third-party pricing is necessary and, historically, the Company has not made adjustments to quoted prices obtained from the third-party pricing service. During the nine months ended September 30, 2015 and the years ended December 31, 2014, there were no transfers between Level 1, Level 2 and Level 3.</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2015 and December 31, 2014, the fair value of the Company’s available-for-sale marketable securities by type of security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585"/>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3"/>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left="185"/>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183"/>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85"/>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12,985</w:t>
            </w:r>
          </w:p>
        </w:tc>
        <w:tc>
          <w:tcPr>
            <w:tcW w:w="1120" w:type="dxa"/>
            <w:vAlign w:val="bottom"/>
          </w:tcPr>
          <w:p>
            <w:pPr>
              <w:jc w:val="right"/>
              <w:ind w:right="943"/>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605"/>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3"/>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left="185"/>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183"/>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85"/>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2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5,096</w:t>
            </w:r>
          </w:p>
        </w:tc>
        <w:tc>
          <w:tcPr>
            <w:tcW w:w="300" w:type="dxa"/>
            <w:vAlign w:val="bottom"/>
          </w:tcPr>
          <w:p>
            <w:pPr>
              <w:spacing w:after="0"/>
              <w:rPr>
                <w:sz w:val="18"/>
                <w:szCs w:val="18"/>
                <w:color w:val="auto"/>
              </w:rPr>
            </w:pPr>
          </w:p>
        </w:tc>
        <w:tc>
          <w:tcPr>
            <w:tcW w:w="1120" w:type="dxa"/>
            <w:vAlign w:val="bottom"/>
          </w:tcPr>
          <w:p>
            <w:pPr>
              <w:jc w:val="right"/>
              <w:ind w:right="943"/>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agency debt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w:t>
            </w:r>
          </w:p>
        </w:tc>
        <w:tc>
          <w:tcPr>
            <w:tcW w:w="1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4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2015 and December 31, 2014, the Company’s corporate debt securities had credit ratings of A and above and remaining maturities of less than 8 months and less than 13 months,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0"/>
        </w:trPr>
        <w:tc>
          <w:tcPr>
            <w:tcW w:w="5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Depreciation expense was $32 and $3 for the three months ended September 30, 2015 and 2014, respectively, and $57 and $9 for the nine months ended September 30, 2015 and 2014, respectively. Construction in progress as of September 30, 2015 consisted of manufacturing equipment, which is expected to be placed into service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 costs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532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issued Series A, Series B and Series C convertible preferred stock (collectively, the “Preferred Stock”). As of September 30, 2015 and December 31, 2014, the Company’s certificate of incorporation, as amended and restated, authorized the Company to issue 40,286,041 shares and 34,090,000 shares, respectively, of Preferred Stock, $0.00001 par value.</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September 2014, the Company entered into a stock purchase agreement pursuant to which the Company agreed to sell to the investors an initial issuance (the “First Tranche”) of 6,451,057 shares of Series B convertible preferred stock (the “Series B preferred stock”) at $1.65 per share for gross proceeds of $10,644. Per the terms of that stock purchase agreement, upon the successful attainment of two specified milestones, the Company was entitled to call a second tranche of 6,451,057 shares of Series B preferred stock at $1.65 per share (the “purchased put option”). The Company had the right, but not the obligation, to exercise its purchased put option after successful attainment of the specified milestones as confirmed by a vote of five-sixths of the members of the Company’s board of directors and 60% of voting stockholders of the Company. The two milestones related to (i) the successful achievement of the primary efficacy endpoint and demonstrated safety of a specified Phase 2b clinical trial of A-101 in patients with SK, and (ii) the occurrence of an end-of-Phase 2 meeting with the U.S. Food and Drug Administration (“FDA”), as a result of which the FDA did not raise any objection to the Company proceeding to a Phase 3 clinical trial of A-101 in patients with SK.</w:t>
      </w:r>
    </w:p>
    <w:p>
      <w:pPr>
        <w:spacing w:after="0" w:line="18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connection with the initial issuance of Series B preferred stock in September 2014, the Company recorded the First Tranche transaction, net of issuance costs of $60, and the $1,039 issuance-date fair value of the purchased put option. The purchased put option was recorded as a charge to accumulated deficit within stockholders’ deficit and as an increase to the carrying value of Series B preferred stock based on the Company’s conclusion that the purchased put option met the equity classification criteria at time of issuance as the purchased put option (i) was a freestanding financial instrument that did not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require the Company to issue shares that are potentially redeemable and (ii) required gross physical settlement in all circumstances.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fair value of the purchased put option was determined on the date of its issuance using the Black-Scholes option-pricing model with the following assumptions and inputs: risk-free interest rate of 0.08%, expected term of nine months, expected volatility of 80.0%, no expected dividends and fair value of underlying instruments of $1.65. The fair value calculation also included an estimate of a 60% probability of occurrence of the successful attainment of the specified milestones that triggered the Company’s ability to exercise the purchased put option, as well as an estimate of a 60% probability of the Company exercising the purchased put option, if it became exercisable.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28, 2015, the Company issued 12,944,984 shares of Series C convertible preferred stock (“Series C preferred stock”) at a price of $3.09 per share for gross proceeds of $40,000. The rights and preferences of the Series C preferred stock were similar to those of the Series A and Series B preferred stock, except that (1) the Original Issue Price for Series C preferred stock was $3.09 per share, (2) the holders of the Series C preferred stock did not have redemption rights, and (3) the holders of the Series C preferred stock had specified protective rights not held by the holders of the Series A and Series B preferred stock.</w:t>
      </w:r>
    </w:p>
    <w:p>
      <w:pPr>
        <w:sectPr>
          <w:pgSz w:w="11900" w:h="16838" w:orient="portrait"/>
          <w:cols w:equalWidth="0" w:num="1">
            <w:col w:w="11420"/>
          </w:cols>
          <w:pgMar w:left="240" w:top="368" w:right="239" w:bottom="157" w:gutter="0" w:footer="0" w:header="0"/>
        </w:sectPr>
      </w:pPr>
    </w:p>
    <w:bookmarkStart w:id="7" w:name="page8"/>
    <w:bookmarkEnd w:id="7"/>
    <w:p>
      <w:pPr>
        <w:ind w:right="40"/>
        <w:spacing w:after="0" w:line="293" w:lineRule="auto"/>
        <w:rPr>
          <w:sz w:val="20"/>
          <w:szCs w:val="20"/>
          <w:color w:val="auto"/>
        </w:rPr>
      </w:pPr>
      <w:r>
        <w:rPr>
          <w:rFonts w:ascii="Arial" w:cs="Arial" w:eastAsia="Arial" w:hAnsi="Arial"/>
          <w:sz w:val="16"/>
          <w:szCs w:val="16"/>
          <w:color w:val="auto"/>
        </w:rPr>
        <w:t>In connection with the closing of the Series C preferred stock financing, the redemption rights of the Series A and Series B preferred stock were removed at that time. As a result of the removal of the redemption rights, as of August 25, 2015, the Company ceased the periodic recording of adjustments to accrete the carrying values of Series A and Series B preferred stock to their respective redemption values through September 30, 2019, which had been the first required redemption date. The accretion for the three and nine months ended September 30, 2015 represents both the issuance costs and cumulative accrued but unpaid dividends through August 28, 2015. Subsequent to August 28, 2015, the Company was no longer required to record the accumulated undeclared dividends on its balance sheet, but is required to deduct accumulated undeclared dividends as part of its loss per share calculation.</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Also in connection with the closing of the Series C preferred stock financing, the terms of a qualified public offering requiring the conversion of all shares of the Company’s Preferred Stock into common stock were changed and the Series B preferred stock purchase agreement was amended to terminate the Company’s purchased put option with respect to a second tranche of Series B preferred stock.</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Preferred Stock was subject to redemption under certain deemed liquidation events, and as such, the Preferred Stock was considered contingently redeemable for accounting purposes. Accordingly, the Preferred Stock was recorded within temporary equity in the condensed consolidated financial statements. The Company has not adjusted the Preferred Stock to its redemption amount at each reporting period, as the redemption of such Preferred Stock was not deemed probable of occurrence during the periods presented. The redemption of the Preferred Stock was not considered probable as the redemption was contingent on the occurrence of such deemed liquidation events which the Company concluded were not probable for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300" w:type="dxa"/>
            <w:vAlign w:val="bottom"/>
          </w:tcPr>
          <w:p>
            <w:pPr>
              <w:spacing w:after="0"/>
              <w:rPr>
                <w:sz w:val="10"/>
                <w:szCs w:val="10"/>
                <w:color w:val="auto"/>
              </w:rPr>
            </w:pPr>
          </w:p>
        </w:tc>
        <w:tc>
          <w:tcPr>
            <w:tcW w:w="12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Liquidation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3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Preference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20,890,000</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6,055,060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6,451,057</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6,451,057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11,496</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1,869,859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12,944,984</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12,944,984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40,286,041</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40,286,041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78,282</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11,677,076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300" w:type="dxa"/>
            <w:vAlign w:val="bottom"/>
          </w:tcPr>
          <w:p>
            <w:pPr>
              <w:spacing w:after="0"/>
              <w:rPr>
                <w:sz w:val="10"/>
                <w:szCs w:val="10"/>
                <w:color w:val="auto"/>
              </w:rPr>
            </w:pPr>
          </w:p>
        </w:tc>
        <w:tc>
          <w:tcPr>
            <w:tcW w:w="12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Liquidation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3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Preference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20,890,000</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6,055,060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13,200,000</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6,451,057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10,859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1,869,859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34,090,000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27,341,057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7,924,919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11</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Each share of Preferred Stock was convertible into common stock at the option of the stockholder at any time after the date of issuance. Each share of the Preferred Stock was convertible into shares of common stock, at the applicable conversion ratio of each series of Preferred Stock then in effect, upon the earlier of (i) a qualified public offering with net proceeds of not less than $40,000 and a price of not less than $12.80 per share, subject to appropriate adjustment for any stock dividend, stock split, combination or other similar recapitalization, and (ii) the date specified by written consent or agreement of the holders of 60% of the then-outstanding shares of Preferred Stock, voting together as a single class (on an as-converted basis).</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conversion ratio of each series of Preferred Stock was determined by dividing the Original Issue Price of each series of preferred stock by the Conversion Price of each series. The Conversion Price was $3.45 for Series A preferred stock, $5.6925 for Series B preferred stock and $10.6605 for Series C preferred stock and was subject to adjustment as set forth in the Company’s certificate of incorporation, as amended and restated. As of September 30, 2015 and December 31, 2014, all outstanding shares of Series A and Series B preferred stock were convertible into common stock on a 3.45-for-1 basis.</w:t>
      </w:r>
    </w:p>
    <w:p>
      <w:pPr>
        <w:spacing w:after="0" w:line="15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previously discussed in Note 1, the Company completed its IPO in October 2015. Upon the closing of the IPO, all of the Company’s outstanding Preferred Stock was converted into an aggregate total of 11,677,076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2015 and December 31, 2014, the Company’s certificate of incorporation, as amended and restated, authorized the Company to issue 110,000,000 shares and 77,000,000 shares, respectively, of $0.00001 par value common stock.</w:t>
      </w:r>
    </w:p>
    <w:p>
      <w:pPr>
        <w:spacing w:after="0" w:line="170"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 When dividends are declared on shares of common stock, the Company must declare at the same time a dividend payable to the holders of Preferred Stock equivalent to the dividend amount they would receive if each preferred share were converted into common stock. The Company may not pay dividends to common stockholders until all dividends accrued or declared but unpaid on the Preferred Stock have been paid in full. No dividends had been declared through September 30, 2015.</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2015 and December 31, 2014, the Company had reserved 13,216,245 shares and 8,425,181 shares of common stock, respectively, for the conversion of the outstanding shares of Series A, Series B and Series C preferred stock (see Note 6) and the exercise of outstanding stock options and the number of shares remaining available for future grant under the Company’s 2012 Plan (see Note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ectPr>
          <w:pgSz w:w="11900" w:h="16838" w:orient="portrait"/>
          <w:cols w:equalWidth="0" w:num="1">
            <w:col w:w="11460"/>
          </w:cols>
          <w:pgMar w:left="240" w:top="125" w:right="199" w:bottom="181"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8"/>
          <w:szCs w:val="18"/>
          <w:color w:val="auto"/>
        </w:rPr>
        <w:t>The Company has granted restricted common stock with time-based vesting conditions. Unvested shares of restricted common stock may not be sold or transferred by the holder. These restrictions lapse according to the time-based vesting conditions of each award. Upon a qualified public offering or a change in control of the Company, all unvested shares of restricted common stock vest immediately.</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July 2012, the Company issued 2,730,427 shares of common stock to its founders in connection with the Company’s formation, of which 1,918,834 shares were subject to vesting pursuant to restricted stock agreements, with 25% of such shares vesting in July 2013 and the remaining 75% vesting in equal monthly installments over a three-year period thereafter. The estimated grant-date fair value of these restricted common shares was $0.00001 per share, equal to the par value of each share. As of September 30, 2015 and December 31, 2014, 399,757 shares and 759,538 shares, respectively, were subject to repurchase.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restricted stock activity since January 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 Shares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common stock as of December 31,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759,538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00"/>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359,781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0.00001</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common stock as of September 30,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aggregate intrinsic value of restricted stock awards that vested during the three months ended September 30, 2015 and 2014 and the nine months ended September 30, 2015 and 2014 was $1,091, $170, $2,026 and $269, respectively.</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previously discussed in Note 1, the Company completed its IPO in October 2015. As a result of the IPO, all of the Company’s remaining unvested restricted common stock vested in full.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Compensation Plan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2012 Equity Compensation Plan, as amended and restated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options may not be greater than ten years. The Company generally grants stock-based awards with service conditions only (“service-based”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under the 2012 Plan generally vest over four years and expire after ten years.</w:t>
      </w:r>
    </w:p>
    <w:p>
      <w:pPr>
        <w:spacing w:after="0" w:line="225"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total number of shares of common stock that may be issued under the 2012 Plan was 500,262 shares as of December 31, 2014. On August 25, 2015, the Company effected an increase in the number of shares of common stock reserved for issuance under the 2012 Plan from 500,262 shares to 1,539,169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and December 31, 2014, 398,645 and 0 shares remained available for grant under the 2012 Plan, respectively.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September 15, 2015, the Company’s board of directors adopted and on September 16, 2015, the Company’s stockholders approved the 2015 Equity Incentive Plan (the “2015 Plan”), which became effective in connection with the IPO in October 2015. As of the time the 2015 Plan became effective, no further grants may be made under the 2012 Plan. The 2015 Plan provides for the grant of incentive stock options, nonstatutory stock options, stock appreciation rights, restricted stock awards, restricted stock unit awards, performance stock awards, cash-based awards and other stock-based awards. The number of shares initially reserved for issuance under the 2015 Plan was 2,784,395 shares of common stock. The number of shares of common stock that may be issued under the 2015 Plan will automatically increase on January 1 of each year, beginning on January 1, 2016 and ending on January 1, 2025, in an amount equal to the lesser of (i) 4.0% of the shares of the Company’s common stock outstanding on December 31 of the preceding calendar year or (ii) an amount determined by the Company’s board of directors. The shares of common stock underlying any awards that expire, are otherwise terminated, settled in cash or repurchased by the Company under the 2015 Plan and the 2012 Plan will be added back to the shares of common stock available for issuance under the 2015 Plan. On October 6, 2015, in conjunction with the pricing of the IPO, the Company issued 89,800 stock options.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ectPr>
          <w:pgSz w:w="11900" w:h="16838" w:orient="portrait"/>
          <w:cols w:equalWidth="0" w:num="1">
            <w:col w:w="11420"/>
          </w:cols>
          <w:pgMar w:left="240" w:top="125"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32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September 30, 2015</w:t>
            </w:r>
          </w:p>
        </w:tc>
        <w:tc>
          <w:tcPr>
            <w:tcW w:w="2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Borders>
              <w:bottom w:val="single" w:sz="8" w:color="CCEEFF"/>
            </w:tcBorders>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96.65%</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116.05%</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recognizes compensation expense for only the portion of awards that are expected to vest. For the three and nine months ended September 30, 2015 and 2014, the Company applied an expected forfeiture rate of 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2012 Plan from January 1, 2015 through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720" w:type="dxa"/>
            <w:vAlign w:val="bottom"/>
            <w:gridSpan w:val="2"/>
            <w:vMerge w:val="restart"/>
          </w:tcPr>
          <w:p>
            <w:pPr>
              <w:jc w:val="center"/>
              <w:ind w:right="25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96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7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0"/>
              </w:rPr>
              <w:t>of Shares</w:t>
            </w:r>
          </w:p>
        </w:tc>
        <w:tc>
          <w:tcPr>
            <w:tcW w:w="960" w:type="dxa"/>
            <w:vAlign w:val="bottom"/>
          </w:tcPr>
          <w:p>
            <w:pPr>
              <w:jc w:val="center"/>
              <w:ind w:left="318"/>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2014</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500,262</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640,262</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10.66</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Forfeited and canceled</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1,140,524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w:t>
            </w:r>
          </w:p>
        </w:tc>
        <w:tc>
          <w:tcPr>
            <w:tcW w:w="16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w:t>
            </w:r>
          </w:p>
        </w:tc>
        <w:tc>
          <w:tcPr>
            <w:tcW w:w="2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w w:val="97"/>
              </w:rPr>
              <w:t>Options vested and expected to vest as of September 30, 2015</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60" w:type="dxa"/>
            <w:vAlign w:val="bottom"/>
            <w:vMerge w:val="restart"/>
          </w:tcPr>
          <w:p>
            <w:pPr>
              <w:jc w:val="right"/>
              <w:ind w:right="778"/>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6.79</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9.53</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1,140,524</w:t>
            </w:r>
          </w:p>
        </w:tc>
        <w:tc>
          <w:tcPr>
            <w:tcW w:w="3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as of September 30, 2015</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130,075</w:t>
            </w:r>
          </w:p>
        </w:tc>
        <w:tc>
          <w:tcPr>
            <w:tcW w:w="340" w:type="dxa"/>
            <w:vAlign w:val="bottom"/>
            <w:tcBorders>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81"/>
              </w:rPr>
              <w:t>(1)</w:t>
            </w:r>
          </w:p>
        </w:tc>
        <w:tc>
          <w:tcPr>
            <w:tcW w:w="960" w:type="dxa"/>
            <w:vAlign w:val="bottom"/>
            <w:tcBorders>
              <w:bottom w:val="single" w:sz="8" w:color="CCEEFF"/>
            </w:tcBorders>
            <w:shd w:val="clear" w:color="auto" w:fill="CCEEFF"/>
          </w:tcPr>
          <w:p>
            <w:pPr>
              <w:jc w:val="right"/>
              <w:ind w:right="778"/>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0.67</w:t>
            </w:r>
          </w:p>
        </w:tc>
        <w:tc>
          <w:tcPr>
            <w:tcW w:w="1640" w:type="dxa"/>
            <w:vAlign w:val="bottom"/>
            <w:tcBorders>
              <w:bottom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8.78</w:t>
            </w:r>
          </w:p>
        </w:tc>
        <w:tc>
          <w:tcPr>
            <w:tcW w:w="220" w:type="dxa"/>
            <w:vAlign w:val="bottom"/>
            <w:tcBorders>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20" w:hanging="652"/>
        <w:spacing w:after="0" w:line="342" w:lineRule="auto"/>
        <w:tabs>
          <w:tab w:leader="none" w:pos="667"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options granted to date under the 2012 Plan are exercisable immediately, subject to a repurchase right in the Company’s favor that lapses as the option vests. This amount reflects the number of shares under options that were vested, as opposed to exercisable, as of September 30,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grant-date fair value of stock options granted during the nine months ended September 30, 2015 was $8.34 per share.</w:t>
      </w:r>
    </w:p>
    <w:p>
      <w:pPr>
        <w:spacing w:after="0" w:line="225"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and nine months ended September 30, 2015 and 2014, the Company recorded stock-based compensation in the following expense categories of its statements of operations and comprehensive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3"/>
            <w:vMerge w:val="restart"/>
          </w:tcPr>
          <w:p>
            <w:pPr>
              <w:jc w:val="right"/>
              <w:ind w:right="456"/>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5"/>
              </w:rPr>
              <w:t>Nine Months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ind w:left="540"/>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2015, the Company had an aggregate of $5,906 of unrecognized stock-based compensation cost, which is expected to be recognized over a weighted average period of 3.53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(10,633)</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(2,657)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(15,849)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Accretion of convertible preferred stock to redemption value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(11,628)</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(18,202</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Weighted average shares of common stock outstanding</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2,730,427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2,730,427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2,730,427</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2,730,427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Less: Weighted average shares of unvested restricted common</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outstanding</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(455,810)</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(935,518)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(574,742)</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(1,054,451)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20" w:type="dxa"/>
            <w:vAlign w:val="bottom"/>
          </w:tcPr>
          <w:p>
            <w:pPr>
              <w:ind w:left="360"/>
              <w:spacing w:after="0" w:line="182" w:lineRule="exact"/>
              <w:rPr>
                <w:sz w:val="20"/>
                <w:szCs w:val="20"/>
                <w:color w:val="auto"/>
              </w:rPr>
            </w:pPr>
            <w:r>
              <w:rPr>
                <w:rFonts w:ascii="Arial" w:cs="Arial" w:eastAsia="Arial" w:hAnsi="Arial"/>
                <w:sz w:val="18"/>
                <w:szCs w:val="18"/>
                <w:color w:val="auto"/>
              </w:rPr>
              <w:t>Weighted average common shares outstanding used in</w:t>
            </w: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40"/>
              <w:spacing w:after="0"/>
              <w:rPr>
                <w:sz w:val="20"/>
                <w:szCs w:val="20"/>
                <w:color w:val="auto"/>
              </w:rPr>
            </w:pPr>
            <w:r>
              <w:rPr>
                <w:rFonts w:ascii="Arial" w:cs="Arial" w:eastAsia="Arial" w:hAnsi="Arial"/>
                <w:sz w:val="18"/>
                <w:szCs w:val="18"/>
                <w:color w:val="auto"/>
              </w:rPr>
              <w:t>calculating net loss per share attributable to common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2,274,617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1,794,909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2,155,685</w:t>
            </w:r>
          </w:p>
        </w:tc>
        <w:tc>
          <w:tcPr>
            <w:tcW w:w="500" w:type="dxa"/>
            <w:vAlign w:val="bottom"/>
          </w:tcPr>
          <w:p>
            <w:pPr>
              <w:spacing w:after="0"/>
              <w:rPr>
                <w:sz w:val="18"/>
                <w:szCs w:val="18"/>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1,675,976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Pr>
          <w:p>
            <w:pPr>
              <w:ind w:left="540"/>
              <w:spacing w:after="0"/>
              <w:rPr>
                <w:sz w:val="20"/>
                <w:szCs w:val="20"/>
                <w:color w:val="auto"/>
              </w:rPr>
            </w:pPr>
            <w:r>
              <w:rPr>
                <w:rFonts w:ascii="Arial" w:cs="Arial" w:eastAsia="Arial" w:hAnsi="Arial"/>
                <w:sz w:val="18"/>
                <w:szCs w:val="18"/>
                <w:color w:val="auto"/>
              </w:rPr>
              <w:t>stockholders, basic and diluted</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Net loss per share attributable to common stockholders, basic</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8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4" w:right="199" w:bottom="0" w:gutter="0" w:footer="0" w:header="0"/>
        </w:sectPr>
      </w:pPr>
    </w:p>
    <w:bookmarkStart w:id="10" w:name="page11"/>
    <w:bookmarkEnd w:id="10"/>
    <w:p>
      <w:pPr>
        <w:spacing w:after="0" w:line="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To calculate net loss attributable to common stockholders for the period, the Company reduced the net loss for the accretion of issuance costs and cumulative dividends accrued but not paid through August 28, 2015, and the remaining cumulative dividends accrued but not paid through September 30, 2015.</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potential dilutive securities, which include stock options, unvested restricted common stock and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both the three and nine months ended September 30, 2015 and 2014 because including them would have had an anti-dilutive effect:</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common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1,140,524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399,757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879,466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11,677,076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7,924,919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13,217,357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8,972,495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2013, the Company entered into a sublease agreement for its office space with related parties (see Note 11), with a term ending on</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November 30, 2016. As part of an amendment to the sublease agreement entered into in December 2014, the Company increased the amount of office space to be leased and agreed to new monthly lease terms commencing in January 2015. On August 14, 2015, the Company further amended its sublease agreement to increase the square footage of the space and to extend the term of the lease to November 2019. Rent expense under operating leases was $34 and $17 for the three months ended September 30, 2015 and 2014, respectively, and $86 and $50 for the nine months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ended September 30, 2015 and 2014, respectively. The Company recognizes rent expense on a straight-line basis over the lease period and has accrued for rent expense incurred but not yet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future minimum lease payments under the sublease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September 2013, the Company entered into a direct sublease agreement with NeXeption, Inc. (“NeXeption”) for its leased space (see Note 10). A member of the Company’s board of directors is a current executive officer of NeXeption. Total payments made during the three months ended September 30, 2015 and 2014 and the nine months ended September 30, 2015 and 2014 under these sublease agreements were $34, $17, $86 and $50, respectively.</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February 2014, the Company entered into a services agreement with NST, LLC (“NST”) under which NST provides certain pharmaceutical development, management and other administrative services to the Company. Certain officers of the Company are also founding partners of NST. Under the same agreement, the Company also provides services to NST and is reimbursed for those services. The Company may offset any payments owed by the Company to NST against payments that are owed by NST to the Company for the provision of NST personnel, including consultants, to the Company. During the three months ended September 30, 2015 and 2014 and nine months ended September 30, 2015 and 2014, gross expenses incurred by the Company under the services agreement totaled $105, $119, $358 and $358, respectively, and gross expenses charged to NST by the Company totaled $132, $103, $376 and $310, respectively. For the three months ended September 30, 2015 and 2014 and nine months ended September 30, 2015 and 2014, the Company recorded $36, $79, $172 and $238, respectively, of general and administrative expenses and $63, $63, $190 and $190, respectively, as a reduction of research and development expenses related to these transactions. During the three months ended September 30, 2015 and 2014 and nine months ended September 30, 2015 and 2014, payments made to NST by the Company totaled $0, $5, $16 and $37, respectively. Related to this agreement, no amounts were due to or due from NST at September 30, 2015.</w:t>
      </w:r>
    </w:p>
    <w:p>
      <w:pPr>
        <w:spacing w:after="0" w:line="183"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Rigel Pharmaceuticals, Inc.</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August 2015, the Company entered into an exclusive, worldwide license and collaboration agreement with Rigel Pharmaceuticals, Inc. (“Rigel”) for the development and commercialization of products containing specified JAK inhibitors developed by Rigel. Under this agreement, the Company intends to develop these JAK inhibitors for the treatment of alopecia areata and potentially for other dermatological conditions. During the three months ended September 30, 2015, the Company made an upfront non-refundable payment of $8,000 to Rigel. In addition, the Company has agreed to make aggregate payments of up to $80,000 upon the achievement of specified pre-commercialization milestones, such as clinical trials and regulatory approvals. Further, the Company has agreed to pay up to an additional $10,000 to Rigel upon the achievement of a second set of development milestones. With respect to any products the Company commercializes under the agreement, the Company will pay Rigel quarterly tiered royalties on its annual net sales of each product at a high single-digit percentage of annual net sales, subject to specified reductions, until the date that all of the patent rights for that product have expired, as determined on a country-by-country and product-by-product basis or, in specified countries under specified circumstances, ten years from the first commercial sale of such product.</w:t>
      </w:r>
    </w:p>
    <w:p>
      <w:pPr>
        <w:sectPr>
          <w:pgSz w:w="11900" w:h="16881" w:orient="portrait"/>
          <w:cols w:equalWidth="0" w:num="1">
            <w:col w:w="11420"/>
          </w:cols>
          <w:pgMar w:left="240" w:top="125" w:right="239" w:bottom="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The agreement terminates on the date of expiration of all royalty obligations unless earlier terminated by either party for a material breach. The Company may also terminate the agreement without cause at any time upon advance written notice to Rigel. Rigel, after consultation with the Company, will be responsible for maintaining and prosecuting the patent rights, and the Company will have final decision-making authority regarding such patent rights for a product in the United States and the European Union. To the extent that the Company and Rigel jointly develop intellectual property, the parties will confer and decide which party will be responsible for filing, prosecuting and maintaining those patent rights. The agreement also establishes a joint steering committee composed of an equal number of representatives for each party which will monitor progress in the development of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Company accounted for the transaction as an asset acquisition as the licensing arrangement did not meet the definition of a business pursuant to the guidance prescribed in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Accordingly, the Company recorded the $8,000 upfront payment as research and development expense in the three months ended September 30, 2015. The Company will record as expense any contingent milestone payments or royalties in the period in which such liabilities are incurred. The Company concluded that licensing arrangement with Rigel did not meet the definition of a business because the transaction principally resulted in its acquisition of intellectual property. As part of the transaction, the Company did not acquire any employees or tangible assets, or any processes, protocols or operating systems. In addition, at the time of the acquisition, there were no activities being conducted related to the licensed patents. The Company will expense the acquired intellectual property asset as of the acquisition date on the basis that costs of intangible assets that are purchased from others for use in research and development activities and that have no alternative future uses are research and development costs at the time the costs are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did not record a federal or state income tax benefit for the Company’s losses for the three and nine months ended September 30, 2015 and 2014 due to the Company’s conclusion that a valuation allowance is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October 6, 2015, in connection with the IPO, the Company’s Registration Statement on Form S-1 was declared effective by the SEC, and on October 7, 2015, the Company’s Common Stock began trading on the NASDAQ Global Select Market under the symbol ACRS.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October 13, 2015, immediately prior to the closing of the IPO, all outstanding shares of Preferred Stock automatically converted into shares of Common Stock at the applicable conversion ratio then in effect. As a result of the conversion, as of October 13, 2015, the Company had no shares of Preferred Stock outstanding.</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October 13, 2015, the Company closed the IPO. The Company received net proceeds of $56,623 from the IPO, net of underwriting discounts and commissions and other estimated offering expenses (see Note 1).</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13, 2015, the Board granted 89,800 options with an exercise price of $11.00 per share pursuant to the 2015 Plan. The awards vest over periods of between three and four years and expire after ten years (see Note 8).</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October 13, 2015, in connection with the IPO, the Company amended and restated its certificate of incorporation to reflect the following authorized share increases: 110,000,000 shares of capital stock, consisting of 100,000,000 shares of common stock, par value $0.00001 per share and 10,000,000 shares of preferred stock, par value $0.00001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due to a number of factors, including risks related to:</w:t>
      </w:r>
    </w:p>
    <w:p>
      <w:pPr>
        <w:spacing w:after="0" w:line="178" w:lineRule="exact"/>
        <w:rPr>
          <w:sz w:val="20"/>
          <w:szCs w:val="20"/>
          <w:color w:val="auto"/>
        </w:rPr>
      </w:pPr>
    </w:p>
    <w:p>
      <w:pPr>
        <w:ind w:left="1100" w:hanging="28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estimates regarding expenses, future revenues, capital requirements and needs for additional financing;</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success and timing of our preclinical studies and clinical trials and regulatory approval of protocols for future clinical trials;</w:t>
      </w:r>
    </w:p>
    <w:p>
      <w:pPr>
        <w:spacing w:after="0" w:line="225" w:lineRule="exact"/>
        <w:rPr>
          <w:rFonts w:ascii="Arial" w:cs="Arial" w:eastAsia="Arial" w:hAnsi="Arial"/>
          <w:sz w:val="18"/>
          <w:szCs w:val="18"/>
          <w:color w:val="auto"/>
        </w:rPr>
      </w:pPr>
    </w:p>
    <w:p>
      <w:pPr>
        <w:ind w:left="1140" w:right="440" w:hanging="322"/>
        <w:spacing w:after="0" w:line="277" w:lineRule="auto"/>
        <w:tabs>
          <w:tab w:leader="none" w:pos="110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difficulties in obtaining and maintaining regulatory approval of our product candidates, and the labeling under any approval we may obtain;</w:t>
      </w:r>
    </w:p>
    <w:p>
      <w:pPr>
        <w:spacing w:after="0" w:line="170" w:lineRule="exact"/>
        <w:rPr>
          <w:rFonts w:ascii="Arial" w:cs="Arial" w:eastAsia="Arial" w:hAnsi="Arial"/>
          <w:sz w:val="18"/>
          <w:szCs w:val="18"/>
          <w:color w:val="auto"/>
        </w:rPr>
      </w:pPr>
    </w:p>
    <w:p>
      <w:pPr>
        <w:ind w:left="1100" w:hanging="28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plans and ability to develop, manufacture and commercialize our product candidates;</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failure to recruit or retain key scientific or management personnel or to retain our executive officers;</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size and growth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regulatory developments in the United States and foreign countries;</w:t>
      </w:r>
    </w:p>
    <w:p>
      <w:pPr>
        <w:sectPr>
          <w:pgSz w:w="11900" w:h="16838" w:orient="portrait"/>
          <w:cols w:equalWidth="0" w:num="1">
            <w:col w:w="11420"/>
          </w:cols>
          <w:pgMar w:left="240" w:top="341" w:right="239" w:bottom="0" w:gutter="0" w:footer="0" w:header="0"/>
        </w:sectPr>
      </w:pPr>
    </w:p>
    <w:bookmarkStart w:id="12" w:name="page13"/>
    <w:bookmarkEnd w:id="12"/>
    <w:p>
      <w:pPr>
        <w:spacing w:after="0" w:line="53" w:lineRule="exact"/>
        <w:rPr>
          <w:sz w:val="20"/>
          <w:szCs w:val="20"/>
          <w:color w:val="auto"/>
        </w:rPr>
      </w:pPr>
    </w:p>
    <w:p>
      <w:pPr>
        <w:ind w:left="1100" w:hanging="28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of any of our product candidates;</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obtaining and maintaining intellectual property protection for our product candidates and our proprietary technology;</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successful development of our commercialization capabilities, including sales and marketing capabilities;</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recently enacted and future legislation and regulation regarding the healthcare system;</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success of competing therapies and products that are or become available; and</w:t>
      </w:r>
    </w:p>
    <w:p>
      <w:pPr>
        <w:spacing w:after="0" w:line="225" w:lineRule="exact"/>
        <w:rPr>
          <w:rFonts w:ascii="Arial" w:cs="Arial" w:eastAsia="Arial" w:hAnsi="Arial"/>
          <w:sz w:val="18"/>
          <w:szCs w:val="18"/>
          <w:color w:val="auto"/>
        </w:rPr>
      </w:pPr>
    </w:p>
    <w:p>
      <w:pPr>
        <w:ind w:left="1100" w:hanging="28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performance of third parties, including contract research organizations and third-party manufacturers.</w:t>
      </w:r>
    </w:p>
    <w:p>
      <w:pPr>
        <w:spacing w:after="0" w:line="225" w:lineRule="exact"/>
        <w:rPr>
          <w:sz w:val="20"/>
          <w:szCs w:val="20"/>
          <w:color w:val="auto"/>
        </w:rPr>
      </w:pPr>
    </w:p>
    <w:p>
      <w:pPr>
        <w:ind w:right="180" w:firstLine="441"/>
        <w:spacing w:after="0" w:line="276" w:lineRule="auto"/>
        <w:rPr>
          <w:sz w:val="20"/>
          <w:szCs w:val="20"/>
          <w:color w:val="auto"/>
        </w:rPr>
      </w:pPr>
      <w:r>
        <w:rPr>
          <w:rFonts w:ascii="Arial" w:cs="Arial" w:eastAsia="Arial" w:hAnsi="Arial"/>
          <w:sz w:val="17"/>
          <w:szCs w:val="17"/>
          <w:i w:val="1"/>
          <w:iCs w:val="1"/>
          <w:color w:val="auto"/>
        </w:rPr>
        <w:t>These and other factors that could cause or contribute to these differences are described in this Quarterly Report on Form 10-Q in Part II – Item 1A, “Risk Factors,” and under similar captions in our other filings with the Securities and Exchange Commission. Statements made herein are as of the date of the filing of this Form 10-Q with the Securities and Exchange Commission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3" w:lineRule="exact"/>
        <w:rPr>
          <w:sz w:val="20"/>
          <w:szCs w:val="20"/>
          <w:color w:val="auto"/>
        </w:rPr>
      </w:pPr>
    </w:p>
    <w:p>
      <w:pPr>
        <w:jc w:val="both"/>
        <w:ind w:right="40" w:firstLine="441"/>
        <w:spacing w:after="0" w:line="279"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financial statements and related notes for the year ended December 31, 2014, which are included in our final prospectus filed with the Securities and Exchange Commission, or SEC, on October 8, 2015 pursuant to Rule 424(b) of the Securities Act of 1933, as amended, or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We are a clinical-stage specialty pharmaceutical company focused on identifying, developing and commercializing innovative and differentiated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statistically significant improvements in clearing SK lesions on the face, trunk and extremities of the body. We plan to commence three Phase 3 clinical trials of A-101 in patients with SK in the first quarter of 2016 and, if the results of these trials are favorable, to submit a New Drug Application, or NDA, for A-101 for the treatment of SK to the U.S. Food and Drug Administration, or FDA, in the fourth quarter of 2016. We also intend to develop A-101 as a prescription treatment for common warts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A-201 and A-301, as potential treatments for hair loss associated with an autoimmune skin disease known as alopecia areata, or AA, and potentially for other dermatological conditions. We intend to in-license or acquire additional drug candidates for other dermatological conditions to build a fully integrated dermatology company</w:t>
      </w:r>
      <w:r>
        <w:rPr>
          <w:rFonts w:ascii="Arial" w:cs="Arial" w:eastAsia="Arial" w:hAnsi="Arial"/>
          <w:sz w:val="16"/>
          <w:szCs w:val="16"/>
          <w:color w:val="auto"/>
        </w:rPr>
        <w:t>.</w:t>
      </w:r>
    </w:p>
    <w:p>
      <w:pPr>
        <w:spacing w:after="0" w:line="20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Since our inception in July 2012, we have devoted substantially all of our resources to organizing and staffing our company, business planning, raising capital, developing A-101 for the treatment of SK, building our intellectual property portfolio, developing our supply chain and engaging in other discovery and clinical activities in dermatology. Through the date of this report, we have not generated any revenue and have financed our operations with $71.5 million of gross proceeds from sales of our convertible preferred stock and net proceeds of $56.6 million from our initial public offering, or IPO, in October 2015. We do not expect to generate significant revenue unless and until we obtain marketing approval for and commercialize A-101 for the treatment of SK or one of our other future drug candidates.</w:t>
      </w:r>
    </w:p>
    <w:p>
      <w:pPr>
        <w:spacing w:after="0" w:line="193"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$8.5 million for the year ended December 31, 2014 and $15.8 million for the nine months ended September 30, 2015. As of September 30, 2015, we had an accumulated deficit of $38.1 million. We expect to incur significant expenses and operating losses for the foreseeable future as we advance our drug candidates from discovery through preclinical development and clinical trials, and seek regulatory approval and pursue commercialization of any approved drug candidate. In addition, if we obtain marketing approval for any of our drug candidates, we expect to incur significant commercialization expenses related to product manufacturing, marketing, sales and distribution. In addition, we may incur expenses in connection with the in-license or acquisition of additional drug candidates. Furthermore, as a result of the IPO, we expect to incur additional costs associated with operating as a public company, including significant legal, accounting, investor relations and other expenses that we did not incur as a private company.</w:t>
      </w:r>
    </w:p>
    <w:p>
      <w:pPr>
        <w:spacing w:after="0" w:line="17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drug candidates or delay our pursuit of potential in-licenses or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Rigel</w:t>
      </w:r>
    </w:p>
    <w:p>
      <w:pPr>
        <w:spacing w:after="0" w:line="22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In August 2015, we entered into an exclusive, worldwide license and collaboration agreement with Rigel Pharmaceuticals, Inc., or Rigel, for the development and commercialization of products containing specified JAK inhibitors developed by Rigel. Under this agreement, we intend to develop these JAK inhibitors for the treatment of AA and potentially for other dermatological conditions. Under this agreement, we paid Rigel an upfront non-refundable payment of $8.0 million. In addition,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at a high single-digit percentage of annual net sales, subject to specified reductions. The agreement</w:t>
      </w:r>
    </w:p>
    <w:p>
      <w:pPr>
        <w:sectPr>
          <w:pgSz w:w="11900" w:h="16892" w:orient="portrait"/>
          <w:cols w:equalWidth="0" w:num="1">
            <w:col w:w="11400"/>
          </w:cols>
          <w:pgMar w:left="240" w:top="125" w:right="259" w:bottom="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also establishes a joint steering committee composed of an equal number of representatives for each party which will monitor progress in the development of products.</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We accounted for the transaction as an asset acquisition as the licensing arrangement did not meet the definition of a business pursuant to the guidance prescribed in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Accordingly, we recorded the $8.0 million upfront payment as research and development expense in the three months ended September 30, 2015. We will record as expense any contingent milestone payments or royalties in the period in which such liabilities are incurred.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concluded that the licensing arrangement with Rigel did not meet the definition of a business because the transaction principally resulted in the acquisition of intellectual property. As part of the transaction, we did not acquire any employees or tangible assets, or any processes, protocols or operating systems. In addition, at the time of the acquisition, there were no activities being conducted related to the licensed patents. We will expense the acquired intellectual property assets as of the acquisition date because we will use it in our research and development activities and believe it has no alternative future uses.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229"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Under an assignment agreement, pursuant to which we acquired intellectual property, we have agreed to pay royalties on sales of A-101 or related products at rates ranging in low single-digit percentages of net sales, as defined in the agreement. Under this assignment agreement, we have paid aggregate milestone payments of $0.2 million and there are no remaining milestone payment obligations under this agreement.</w:t>
      </w:r>
    </w:p>
    <w:p>
      <w:pPr>
        <w:spacing w:after="0" w:line="166"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In connection with this acquisition of intellectual property, we also entered into a finder’s services agreement under which we have paid aggregate milestone payments of $0.2 million and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not generated any revenue since our inception and do not expect to generate any revenue from the sale of products in the near future.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drug candidates. We expense research and development costs as incurred. These expenses include:</w:t>
      </w:r>
    </w:p>
    <w:p>
      <w:pPr>
        <w:spacing w:after="0" w:line="170" w:lineRule="exact"/>
        <w:rPr>
          <w:sz w:val="20"/>
          <w:szCs w:val="20"/>
          <w:color w:val="auto"/>
        </w:rPr>
      </w:pPr>
    </w:p>
    <w:p>
      <w:pPr>
        <w:ind w:left="980" w:right="20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investigative sites and consultants that conduct our clinical trials and preclinical studies;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 and related analytical services;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made under a third-party assignment agreement, under which we acquired intellectual property;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and long-term toxicology studies. We expect our research and development expenses to increase significantly over the next several years as we increase personnel costs, including stock-based compensation, commence Phase 3 clinical trials of A-101 in patients with SK and conduct other clinical trials and prepare regulatory filings for A-101 and our other drug candidates.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successful development of our drug candidates is highly uncertain. At this time, we cannot reasonably estimate or know the nature, timing and costs of the efforts that will be necessary to complete the remainder of the development of, or when, if ever, material net cash inflows may commence from any of our other drug candidates. This uncertainty is due to the numerous risks and uncertainties associated with the duration and cost of clinical trials, which vary significantly over the life of a project as a result of many factors, including:</w:t>
      </w:r>
    </w:p>
    <w:p>
      <w:pPr>
        <w:sectPr>
          <w:pgSz w:w="11900" w:h="16838" w:orient="portrait"/>
          <w:cols w:equalWidth="0" w:num="1">
            <w:col w:w="11340"/>
          </w:cols>
          <w:pgMar w:left="240" w:top="125" w:right="319" w:bottom="0" w:gutter="0" w:footer="0" w:header="0"/>
        </w:sectPr>
      </w:pPr>
    </w:p>
    <w:bookmarkStart w:id="14" w:name="page15"/>
    <w:bookmarkEnd w:id="14"/>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22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drug candidates. We may obtain unexpected results from our clinical trials. We may elect to discontinue, delay or modify clinical trials of some drug candidates or focus on others. A change in the outcome of any of these variables with respect to the development of a drug candidate could mean a significant change in the costs and timing associated with the development of that drug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Drug commercialization will take several years and millions of dollars in development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General and administrative expenses consist principally of salaries and related costs for personnel in executive, administrative, finance, legal and business development functions, including stock-based compensation, travel expenses and recruiting expenses. Other general and administrative expenses include facility related costs, patent filing and prosecution costs and professional fees for marketing, legal, auditing and tax services, insurance costs, as well as payments made under our related-party services agreement and milestone payments under our finder’s services agreement.</w:t>
      </w:r>
    </w:p>
    <w:p>
      <w:pPr>
        <w:spacing w:after="0" w:line="154"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tax-related services associated with maintaining compliance with stock exchange listing and SEC requirements, accounting and investor relations costs, director compensation, and director and officer insurance premiums associated with being a public company. Additionally, if and when we believe a regulatory approval of a drug candidate appears likely, we anticipate an increase in payroll and expense as a result of our preparation for commercial operations, especially as it relates to the sales and marketing of our drug candidate.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condensed consolidated financial statements, which have been prepared in accordance with GAAP. The preparation of these financial statements requires us to make estimates and judgments that affect the reported amounts of assets, liabilities, revenues and expenses and the disclosure of contingent assets and liabilities in our condensed consolidated financial statements. On an ongoing basis, we evaluate our estimates and judgments, including those related to accrued expenses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stock-based compensation.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there have been no material changes to our critical accounting policies and use of estimates as disclosed in the footnotes to our audited financial statements for the year ended December 31, 2014 included in our final prospectus filed on October 8, 2015 with the SEC pursuant to Rule 424(b)(4) of the Securities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2015 and 2014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4"/>
                <w:szCs w:val="14"/>
                <w:color w:val="auto"/>
              </w:rPr>
            </w:pPr>
          </w:p>
        </w:tc>
        <w:tc>
          <w:tcPr>
            <w:tcW w:w="12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Research and development expenses were $9.4 million for the three months ended September 30, 2015, compared to $2.1 million for the three months ended September 30, 2014. The increase of $7.3 million was primarily attributable to an $8.0 million upfront payment to Rigel in connection with our license of rights to JAK inhibitors and related intellectual property, partially offset by a decrease of $0.7 million in direct costs associated with the three Phase 2 clinical trials of our lead drug candidate, A-101 for the treatment of SK, being conducted during the period. This overall decrease in direct costs for the trials consisted of decreases of $0.7 million in clinical expenses and $0.3 million in development-related expenses, partially offset by a $0.2 million increase in manufacturing scale-up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General and administrative expenses were $1.2 million for the three months ended September 30, 2015, compared to $0.6 million for the three months ended September 30, 2014. The increase of $0.6 million was primarily attributable to increases of $0.2 million in payroll-related expenses due to increased headcount, $0.2 million in market research expenses, $0.1 million in fees related to the formation of our wholly-owned subsidiary, and $0.1 million in professional fees for accounting and auditing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2015 and 2014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2,928</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1,478</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740" w:type="dxa"/>
            <w:vAlign w:val="bottom"/>
            <w:vMerge w:val="restart"/>
          </w:tcPr>
          <w:p>
            <w:pPr>
              <w:jc w:val="right"/>
              <w:ind w:right="75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0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Research and development expenses were $12.9 million for the nine months ended September 30, 2015, compared to $4.5 million for the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2014. The increase of $8.4 million was primarily attributable to the $8.0 million upfront payment to Rigel, as well as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in regulatory expenses, partially offset by a decrease of $0.1 million in direct costs associated with the three Phase 2 clinical trials of A-101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treatment of SK. The overall decrease in direct costs for the trials consisted of decreases of $0.7 million in clinical expenses and $0.6 million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development-related expenses, partially offset by an increase of $1.1 million in manufacturing scale-up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20" w:firstLine="486"/>
        <w:spacing w:after="0" w:line="279" w:lineRule="auto"/>
        <w:rPr>
          <w:sz w:val="20"/>
          <w:szCs w:val="20"/>
          <w:color w:val="auto"/>
        </w:rPr>
      </w:pPr>
      <w:r>
        <w:rPr>
          <w:rFonts w:ascii="Arial" w:cs="Arial" w:eastAsia="Arial" w:hAnsi="Arial"/>
          <w:sz w:val="17"/>
          <w:szCs w:val="17"/>
          <w:color w:val="auto"/>
        </w:rPr>
        <w:t>General and administrative expenses were $2.9 million for the nine months ended September 30, 2015, compared to $1.5 million for the nine months ended September 30, 2014. The increase of $1.4 million was primarily attributable to increases of $0.5 million in payroll-related expenses due to increased headcount, $0.4 million in market research expenses, $0.2 million in stock-based compensation, $0.1 million in fees related to the formation of our wholly-owned subsidiary, and $0.2 million in professional fees for accounting and auditing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Since our inception, we have not generated any revenue and have incurred net losses and negative cash flows from our operations. We have financed our operations since inception through sales of our convertible preferred stock, receiving aggregate gross proceeds of $71.5 million through September 30, 2015.</w:t>
      </w:r>
    </w:p>
    <w:p>
      <w:pPr>
        <w:spacing w:after="0" w:line="181"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As of September 30, 2015, we had cash, cash equivalents and marketable securities of $38.4 million. Subsequent to September 30, 2015, as described below we received cash proceeds of $58.8 million, net of underwriting discounts and commissions, from our IPO. Cash in excess of immediate requirements is invested in accordance with our investment policy, primarily with a view to liquidity and capital preservation.</w:t>
      </w:r>
    </w:p>
    <w:p>
      <w:pPr>
        <w:spacing w:after="0" w:line="166"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We currently have no ongoing material financing commitments, such as lines of credit or guarantees, that are expected to affect our liquidity over the next five years, other than our lease obligations and contingent obligations under intellectual property licensing agreements, each of which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On October 13, 2015, we closed our IPO in which we sold 5,750,000 shares of common stock at a price to the public of $11.00 per share, for aggregate gross proceeds of $63.3 million. We paid underwriting discounts and commissions of $4.4 million, and we also incurred expenses of $2.2 million in connection with the offering. As a result, the net offering proceeds to us, after deducting underwriting discounts and commissions and offering expenses, were $56.6 million. See Notes 1, 6 and 14 to our unaudited condensed consolidated financial statements in Part I, Item 1 of this Quarterly Report on Form 10-Q for additional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ectPr>
          <w:pgSz w:w="11900" w:h="16838" w:orient="portrait"/>
          <w:cols w:equalWidth="0" w:num="1">
            <w:col w:w="11460"/>
          </w:cols>
          <w:pgMar w:left="240" w:top="125" w:right="199" w:bottom="0" w:gutter="0" w:footer="0" w:header="0"/>
        </w:sectPr>
      </w:pPr>
    </w:p>
    <w:bookmarkStart w:id="16" w:name="page17"/>
    <w:bookmarkEnd w:id="16"/>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(16,232)</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0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0" w:type="dxa"/>
            <w:vAlign w:val="bottom"/>
            <w:vMerge w:val="restart"/>
          </w:tcPr>
          <w:p>
            <w:pPr>
              <w:jc w:val="right"/>
              <w:ind w:right="161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nine months ended September 30, 2015, operating activities used $16.2 million of cash, primarily resulting from our net loss of</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$15.8 million and from cash used by our changes in our operating assets and liabilities of $0.7 million offset by non-cash expenses of $0.3 million. Net cash used in changes in our operating assets and liabilities during the nine months ended September 30, 2015 consisted primarily of a $0.5 million decrease in accounts payable and a $0.8 million increase in prepaid expenses and other current assets, both of which were partially offset by a $0.6 million increase in accrued expenses. The decrease in accounts payable was due to the timing of vendor invoicing and payments. The increase in prepaid expenses and other current assets was primarily due to prepayments for clinical trials. The increase in accrued expenses was due to increases in accruals for payroll and payroll-related costs due primarily to bonuses, as well as increases in accruals for IPO-related expenses incurred.</w:t>
      </w:r>
    </w:p>
    <w:p>
      <w:pPr>
        <w:spacing w:after="0" w:line="164"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During the nine months ended September 30, 2014, operating activities used $4.9 million of cash, primarily resulting from our net loss of $5.9 million, partially offset by cash provided by changes in our operating assets and liabilities of $1.0 million. Net cash provided by changes in our operating assets and liabilities during the nine months ended September 30, 2014 consisted primarily of a $0.9 million increase in accounts payable and a $0.5 million increase in accrued expenses, both of which were partially offset by a $0.4 million increase in prepaid expenses and other current assets. The increases in accounts payable and accrued expenses were primarily due to costs related to our clinical trials of A-101. The increase in prepaid expenses and other current assets was primarily due to a prepayment for manufacturing scale-up expenses and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During the nine months ended September 30, 2015, we used cash of $7.5 million in investing activities, consisting of purchases of marketable securities of $13.0 million and purchases of equipment of $0.4 million, partially offset by proceeds from sales and maturities of marketable securities of $5.9 million.</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During the nine months ended September 30, 2014, investing activities provided $3.6 million of cash, consisting of proceeds from sales and maturities of marketable securities of $3.7 million, partially offset by purchases of equipment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nine months ended September 30, 2015, financing activities provided $38.4 million of cash as a result of $39.9 million in proceeds from the issuance of Series C convertible preferred stock, partially offset by payments of IPO costs of $1.5 million.</w:t>
      </w:r>
    </w:p>
    <w:p>
      <w:pPr>
        <w:spacing w:after="0" w:line="170"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During the nine months ended September 30, 2014, financing activities provided $10.6 million of cash from the issuance of Series B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We plan to focus in the near term on the development, regulatory approval and potential commercialization of A-101 for the treatment of SK. We anticipate we will incur net losses for the next several years as we complete clinical development of A-101 for the treatment of SK and continue research and development of A-101 for the treatment of common warts, A-102 for the treatment of SK and common warts and A-201 and A-301 for the treatment of AA. In addition, we plan to identify, acquire or in-license and develop additional drug candidates, potentially build commercial capabilities and expand our corporate infrastructure. We may not be able to complete the development and initiate commercialization of these programs if, among other things, our clinical trials are not successful or if the FDA does not approve our drug candidate arising out of our current clinical trials when we expect, or at all.</w:t>
      </w:r>
    </w:p>
    <w:p>
      <w:pPr>
        <w:spacing w:after="0" w:line="165" w:lineRule="exact"/>
        <w:rPr>
          <w:sz w:val="20"/>
          <w:szCs w:val="20"/>
          <w:color w:val="auto"/>
        </w:rPr>
      </w:pPr>
    </w:p>
    <w:p>
      <w:pPr>
        <w:ind w:right="660" w:firstLine="486"/>
        <w:spacing w:after="0" w:line="286"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costs, external research and development services, laboratory and related supplies, legal and other regulatory expenses, and administrative and overhead costs. Our future funding requirements will be heavily determined by the resources needed to support development of our drug candidates.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As a publicly traded company, we will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are currently inapplicable to us as a private company. We expect these rules and regulations will increase our legal and financial compliance costs and will make some activities more time-consuming and costly.</w:t>
      </w:r>
    </w:p>
    <w:p>
      <w:pPr>
        <w:spacing w:after="0" w:line="17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believe that the net proceeds from our offering, together with our existing cash and cash equivalents, will enable us to fund our operating expenses and capital expenditure requirements for at least the next 24 months, including the completion of our three planned Phase 3 clinical trials for A-101 for the treatment of SK, the submission of our NDA with the FDA for the approval of A-101 for the treatment of SK in the United States and the completion of our planned Phase 2 clinical trials for A-101 for the treatment of common warts. We have based this estimate on assumptions that may prove to be wrong, and we</w:t>
      </w:r>
    </w:p>
    <w:p>
      <w:pPr>
        <w:sectPr>
          <w:pgSz w:w="11900" w:h="16891" w:orient="portrait"/>
          <w:cols w:equalWidth="0" w:num="1">
            <w:col w:w="11460"/>
          </w:cols>
          <w:pgMar w:left="240" w:top="125" w:right="199" w:bottom="0" w:gutter="0" w:footer="0" w:header="0"/>
        </w:sectPr>
      </w:pPr>
    </w:p>
    <w:bookmarkStart w:id="17" w:name="page18"/>
    <w:bookmarkEnd w:id="17"/>
    <w:p>
      <w:pPr>
        <w:spacing w:after="0" w:line="273" w:lineRule="auto"/>
        <w:rPr>
          <w:sz w:val="20"/>
          <w:szCs w:val="20"/>
          <w:color w:val="auto"/>
        </w:rPr>
      </w:pPr>
      <w:r>
        <w:rPr>
          <w:rFonts w:ascii="Arial" w:cs="Arial" w:eastAsia="Arial" w:hAnsi="Arial"/>
          <w:sz w:val="17"/>
          <w:szCs w:val="17"/>
          <w:color w:val="auto"/>
        </w:rPr>
        <w:t>could utilize our available capital resources sooner than we expect. We expect that we will require additional capital to commercialize A-101 for the treatment of SK, if we receive regulatory approval, and to pursue in-licenses or acquisitions of other drug candidates. If we receive regulatory approval for A-101 for the treatment of SK,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may need to substantially curtail our planned operations and the pursuit of our growth strategy.</w:t>
      </w:r>
    </w:p>
    <w:p>
      <w:pPr>
        <w:spacing w:after="0" w:line="17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may raise additional capital through the sale of equity or convertible debt securities. In such an event, the terms of these securities may include liquidation or other preferences that adversely affect the rights of a holder of our common stock.</w:t>
      </w:r>
    </w:p>
    <w:p>
      <w:pPr>
        <w:spacing w:after="0" w:line="170"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drugs, we are unable to estimate the exact amount of our working capital requirements. Our future funding requirements will depend on many factors, including:</w:t>
      </w:r>
    </w:p>
    <w:p>
      <w:pPr>
        <w:spacing w:after="0" w:line="147"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the drug candidates we pursue;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drug candidates, and conducting preclinical studies and clinical trials;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our drug candidates and any drugs we successfully commercialize;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236" w:lineRule="exact"/>
        <w:rPr>
          <w:rFonts w:ascii="Arial" w:cs="Arial" w:eastAsia="Arial" w:hAnsi="Arial"/>
          <w:sz w:val="17"/>
          <w:szCs w:val="17"/>
          <w:color w:val="auto"/>
        </w:rPr>
      </w:pPr>
    </w:p>
    <w:p>
      <w:pPr>
        <w:ind w:left="980" w:right="58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receipt and amount of sales of, or milestone payments related to or royalties on, our current or future drug candidates, if 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lease office space in Malvern, Pennsylvania under an operating lease agreement that, as amended, requires future rental payments of $0.1 million during the year ending December 31, 2015, an aggregate of $0.4 million during the years ending December 31, 2016 and 2017, and an aggregate of $0.4 million during the years ending December 31, 2018 and 2019.</w:t>
      </w:r>
    </w:p>
    <w:p>
      <w:pPr>
        <w:spacing w:after="0" w:line="181" w:lineRule="exact"/>
        <w:rPr>
          <w:sz w:val="20"/>
          <w:szCs w:val="20"/>
          <w:color w:val="auto"/>
        </w:rPr>
      </w:pPr>
    </w:p>
    <w:p>
      <w:pPr>
        <w:ind w:right="320" w:firstLine="486"/>
        <w:spacing w:after="0" w:line="255" w:lineRule="auto"/>
        <w:rPr>
          <w:sz w:val="20"/>
          <w:szCs w:val="20"/>
          <w:color w:val="auto"/>
        </w:rPr>
      </w:pPr>
      <w:r>
        <w:rPr>
          <w:rFonts w:ascii="Arial" w:cs="Arial" w:eastAsia="Arial" w:hAnsi="Arial"/>
          <w:sz w:val="18"/>
          <w:szCs w:val="18"/>
          <w:color w:val="auto"/>
        </w:rPr>
        <w:t>Under the assignment agreement pursuant to which we acquired intellectual property, we have agreed to pay royalties on sales of A-101 or related products at rates ranging in low single-digit percentages of net sales, as defined in the agreement. Under the related finder’s services agreement, we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Under a commercial supply agreement with a third party, we have agreed to pay a termination fee of up to $0.4 million in the event we terminate the agreement without cause or the third party terminates the agreement for cause.</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Under a license agreement with Rigel that we entered into in August 2015,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developed using the licensed JAK inhibitors at a high single-digit percentage of annual net sales, subject to specified reductions.</w:t>
      </w:r>
    </w:p>
    <w:p>
      <w:pPr>
        <w:spacing w:after="0" w:line="188"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As of September 30, 2015 and December 31, 2014, we had $25.0 million and $10.0 million of cash equivalents, respectively, composed of overnight money market funds, and we had no debt. As a result, a change in market interest rates would not have any impact on our financial position or results of operations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Security and Exchange Commission’s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September 30, 2015, the end of the period covered by this Quarterly Report on Form 10-Q. Based upon such evaluation, our Chief Executive Officer and our Chief Financial Officer have concluded that our disclosure controls and procedures were effective as of such date at the reasonable assurance level.</w:t>
      </w:r>
    </w:p>
    <w:p>
      <w:pPr>
        <w:spacing w:after="0" w:line="1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There have not been any changes in our internal controls over financial reporting during our fiscal quarter ended September 30, 2015 that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Our business is subject to numerous risks. You should carefully consider the following risks, as well as general economic and business risks, and all of the other information contained in this Quarterly Report on Form 10-Q, together with any other documents we file with the SEC. Any of the following risks could have a material adverse effect on our business, operating results and financial condition and cause the trading price of our common stock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We are a clinical-stage specialty pharmaceutical company with limited operating history. Since inception, we have incurred significant net losses. We incurred net losses of $8.5 million and $15.8 million for the year ended December 31, 2014 and the nine months ended September 30, 2015, respectively. As of September 30, 2015, we had an accumulated deficit of $38.1 million. To date, we have financed our operations with $71.5 million in gross proceeds raised in private placements of convertible preferred stock </w:t>
      </w:r>
      <w:r>
        <w:rPr>
          <w:rFonts w:ascii="Arial" w:cs="Arial" w:eastAsia="Arial" w:hAnsi="Arial"/>
          <w:sz w:val="17"/>
          <w:szCs w:val="17"/>
          <w:color w:val="auto"/>
        </w:rPr>
        <w:t>and $56.6 million in aggregate net proceeds from our initial public offering in October 2015</w:t>
      </w:r>
      <w:r>
        <w:rPr>
          <w:rFonts w:ascii="Arial" w:cs="Arial" w:eastAsia="Arial" w:hAnsi="Arial"/>
          <w:sz w:val="18"/>
          <w:szCs w:val="18"/>
          <w:color w:val="auto"/>
        </w:rPr>
        <w:t>. We have no products approved for commercialization and have never generated any revenue.</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devoted substantially all of our financial resources and efforts to development of our lead drug candidate, A-101 for the treatment of SK, including preclinical studies and clinical trials. We have completed three Phase 2 clinical trials of A-101 in patients with SK. In addition to developing A-101 for the treatment of SK, we are also developing A-101 as a prescription treatment for common warts as well as A-102, a gel dosage form of hydrogen peroxide, as a prescription treatment for SK and common warts. We plan to develop A-201 as an oral treatment for severe forms of AA (alopecia totalis and alopecia universalis) and A-301 as a topical treatment for patchy AA. Therefore,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9"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ongoing clinical trials evaluating A-101 for the treatment of SK;</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pursue regulatory approvals for A-101 for the treatment of SK and for any other drug candidates that successfully complete clinical trials;</w:t>
      </w:r>
    </w:p>
    <w:p>
      <w:pPr>
        <w:sectPr>
          <w:pgSz w:w="11900" w:h="16838" w:orient="portrait"/>
          <w:cols w:equalWidth="0" w:num="1">
            <w:col w:w="11400"/>
          </w:cols>
          <w:pgMar w:left="240" w:top="121" w:right="259" w:bottom="0" w:gutter="0" w:footer="0" w:header="0"/>
        </w:sectPr>
      </w:pPr>
    </w:p>
    <w:bookmarkStart w:id="19" w:name="page20"/>
    <w:bookmarkEnd w:id="19"/>
    <w:p>
      <w:pPr>
        <w:ind w:left="660" w:right="180" w:hanging="328"/>
        <w:spacing w:after="0" w:line="258"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clinical trials of our other drug candidates, including A-101 for the treatment of common warts, A-102 for the treatment of SK and common warts, and A-201 and A-301 for the treatment of AA;</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discover and develop additional drug candidates;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ultimately establish a commercialization infrastructure and scale up external manufacturing and distribution capabilities to commercialize any drug candidates for which we may obtain regulatory approval;</w:t>
      </w: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in-license or acquire additional drug candidates for other dermatological conditions;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drugs;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planned future commercialization efforts; and</w:t>
      </w: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11"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To become and remain profitable, we must succeed in developing and eventually commercializing drug candidates that generate significant revenue. This will require us to be successful in a range of challenging activities, including completing preclinical testing and clinical trials of our drug candidates, obtaining regulatory approval, and manufacturing, marketing and selling any drug candidates for which we may obtain regulatory approval, as well as discovering and developing additional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drug candidates. We are only in the preliminary stages of most of these activities. We may never succeed in these activities and, even if we do, may never generate revenue that is significant enough to achieve profitability.</w:t>
      </w:r>
    </w:p>
    <w:p>
      <w:pPr>
        <w:spacing w:after="0" w:line="170"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In cases where we are successful in obtaining regulatory approval to market one or more of our drug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drug products, even if approved.</w:t>
      </w:r>
    </w:p>
    <w:p>
      <w:pPr>
        <w:spacing w:after="0" w:line="173"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or the development of any of our drug candidates, our expenses could increase.</w:t>
      </w:r>
    </w:p>
    <w:p>
      <w:pPr>
        <w:spacing w:after="0" w:line="14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drug approvals, diversify our offerings or continue our operations. A decline in the value of our company could also cause you to lose all or part of your investment.</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7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commence our Phase 3 clinical trials of A-101 in patients with SK, seek marketing approval for A-101 for the treatment of SK and advance our other drug candidates. In addition, our drug candidates, if approved, may not achieve commercial success. Our revenue, if any, will be derived from sales of drugs that we do not expect to be commercially available for a number of years, if at all. If we obtain marketing approval for A-101 for the treatment of SK or any other drug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17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of September 30, 2015, we had cash, cash equivalents and marketable securities of $38.4 million. Subsequent to September 30, 2015, we received net proceeds of $56.6 million from the initial public offering of our common stock. We believe that the net proceeds from our initial public offering, together with our existing cash and cash equivalents as of the date of this report, will enable us to fund our operating expenses and capital expenditure requirements for at least the next 24 months.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drug candidates, and changes in regulation. Our future capital requirements will depend on many factors, including:</w:t>
      </w:r>
    </w:p>
    <w:p>
      <w:pPr>
        <w:spacing w:after="0" w:line="189"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progress and results of the three Phase 3 clinical trials of A-101 in patients with SK that we plan to commence in the first quarter of 2016;</w:t>
      </w:r>
    </w:p>
    <w:p>
      <w:pPr>
        <w:spacing w:after="0" w:line="34" w:lineRule="exact"/>
        <w:rPr>
          <w:rFonts w:ascii="Arial" w:cs="Arial" w:eastAsia="Arial" w:hAnsi="Arial"/>
          <w:sz w:val="17"/>
          <w:szCs w:val="17"/>
          <w:color w:val="auto"/>
        </w:rPr>
      </w:pPr>
    </w:p>
    <w:p>
      <w:pPr>
        <w:ind w:left="620" w:hanging="288"/>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progress and results of the toxicology studies and Phase 2 clinical trials evaluating A-101 as a potential treatment for common warts;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drug candidates, including A-102, A-201 and A-301;</w:t>
      </w: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drug candidates and technologies;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may pursue;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drug manufacturing, marketing, sales and distribution, for any of our drug candidates for which we receive marketing approval;</w:t>
      </w: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collaborations to commercialize A-101 outside the United States; and</w:t>
      </w:r>
    </w:p>
    <w:p>
      <w:pPr>
        <w:sectPr>
          <w:pgSz w:w="11900" w:h="16838" w:orient="portrait"/>
          <w:cols w:equalWidth="0" w:num="1">
            <w:col w:w="11420"/>
          </w:cols>
          <w:pgMar w:left="240" w:top="125" w:right="239" w:bottom="123"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expect that we will require additional capital to commercialize A-101 for the treatment of SK. If we receive regulatory approval for A-101 for this indication,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could be forced to curtail our planned operations and the pursuit of our growth strategy.</w:t>
      </w:r>
    </w:p>
    <w:p>
      <w:pPr>
        <w:spacing w:after="0" w:line="188"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8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drugs, which may make it difficult for you to evaluate the success of our business to date and to assess our future viability.</w:t>
      </w:r>
    </w:p>
    <w:p>
      <w:pPr>
        <w:spacing w:after="0" w:line="17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commenced operations in 2012, and our operations to date have been largely focused on raising capital and developing A-101 for the treatment of SK, including undertaking preclinical studies and conducting clinical trials. A-101 for the treatment of SK is our only drug candidate for which we have conducted clinical trials.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drugs.</w:t>
      </w:r>
    </w:p>
    <w:p>
      <w:pPr>
        <w:spacing w:after="0" w:line="17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Drug Candidates</w:t>
      </w:r>
    </w:p>
    <w:p>
      <w:pPr>
        <w:spacing w:after="0" w:line="229"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b w:val="1"/>
          <w:bCs w:val="1"/>
          <w:i w:val="1"/>
          <w:iCs w:val="1"/>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or any other drug candidates, or experience significant delays in doing so, our business will be harmed.</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currently have no drug products that are approved for commercial sale. We are early in our development efforts and have only one drug candidate, A-101 for the treatment of SK, for which we have conducted Phase 2 clinical trials. We have not completed the development of any drug candidates and we may never be able to develop marketable drugs. We have invested substantially all of our efforts and financial resources in the development of A-101 for the treatment of SK, the development of our other drug candidates and the identification of potential drug candidates. Our ability to generate revenue from our drug candidates, which we do not expect will occur for a number of years, if ever, will depend heavily on their successful development, regulatory approval and eventual commercialization of these drug candidates. The success of A-101 or any other drug candidates that we develop, including A-102, A-201 and A-301, will depend on several factors, including: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preclinical studies and our clinical trials;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development of our manufacturing processes for any of our drug candidates that receive regulatory approval;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drugs, if approved;</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drugs, if approved, by patients, the medical community and third-party payors, and willingness of patients to pay out of pocket for procedures using our drug candidates for the treatment of SK;</w:t>
      </w:r>
    </w:p>
    <w:p>
      <w:pPr>
        <w:ind w:left="620" w:hanging="288"/>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success in educating physicians and patients about the benefits, administration and use of A-101 or any other drug candidates, if approved;</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A-101 or our other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treatments for SK;</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drug candidates and otherwise protecting our rights in our intellectual property portfolio;</w:t>
      </w: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current good manufacturing practices, or cGMPs;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effectively with other procedures;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drugs following approval.</w:t>
      </w:r>
    </w:p>
    <w:p>
      <w:pPr>
        <w:sectPr>
          <w:pgSz w:w="11900" w:h="16838" w:orient="portrait"/>
          <w:cols w:equalWidth="0" w:num="1">
            <w:col w:w="11400"/>
          </w:cols>
          <w:pgMar w:left="240" w:top="125" w:right="259" w:bottom="85" w:gutter="0" w:footer="0" w:header="0"/>
        </w:sectPr>
      </w:pPr>
    </w:p>
    <w:bookmarkStart w:id="21" w:name="page22"/>
    <w:bookmarkEnd w:id="21"/>
    <w:p>
      <w:pPr>
        <w:ind w:right="100" w:firstLine="441"/>
        <w:spacing w:after="0" w:line="290" w:lineRule="auto"/>
        <w:rPr>
          <w:sz w:val="20"/>
          <w:szCs w:val="20"/>
          <w:color w:val="auto"/>
        </w:rPr>
      </w:pPr>
      <w:r>
        <w:rPr>
          <w:rFonts w:ascii="Arial" w:cs="Arial" w:eastAsia="Arial" w:hAnsi="Arial"/>
          <w:sz w:val="16"/>
          <w:szCs w:val="16"/>
          <w:color w:val="auto"/>
        </w:rPr>
        <w:t>Whether regulatory approval will be granted is unpredictable and depends upon numerous factors, including the substantial discretion of the regulatory authorities. Our drug candidates’ success in clinical trials will not guarantee regulatory approval. If, following submission, our NDA for A-101 for the treatment of SK or any other drug candidate is not accepted for substantive review, or even if it is accepted for substantive review, the FDA or other comparable foreign regulatory authorities may require that we conduct additional studies or clinical trials, provide additional data, take additional manufacturing steps, or require other conditions before they will reconsider or approve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66"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It is possible that A-101 or any of our other drug candidates will never obtain regulatory approval, even if we expend substantial time and resources seeking such approval. If we do not achieve one or more of these factors in a timely manner or at all, we could experience significant delays or an inability to successfully commercialize our drug candidates, which would harm our business.</w:t>
      </w:r>
    </w:p>
    <w:p>
      <w:pPr>
        <w:spacing w:after="0" w:line="181"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24"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The risk of failure for our drug candidates is high. It is impossible to predict when or if any of our drug candidates will prove effective or safe in humans or will receive regulatory approval. Before obtaining marketing approval from regulatory authorities for the sale of any drug candidate, we must complete preclinical development and then conduct extensive clinical trials to demonstrate the safety and efficacy of our drug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drugs.</w:t>
      </w:r>
    </w:p>
    <w:p>
      <w:pPr>
        <w:spacing w:after="0" w:line="179"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We have not completed all clinical trials required for the approval of any of our drug candidates. Based on the feedback from our meeting with the FDA in May 2015, we plan to commence three Phase 3 clinical trials of A-101 in patients with SK lesions on the face, trunk and extremities in the first quarter of 2016. We have also received written guidance from the EMA regarding the design of our Phase 3 clinical trials for A-101 for the treatment of SK. The development of our other drug candidates is less advanced and we have not commenced any clinical trials. We cannot assure you that any Phase 3 or other clinical trials that we may conduct will demonstrate consistent or adequate efficacy and safety to obtain regulatory approval to market our drug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170" w:lineRule="exact"/>
        <w:rPr>
          <w:sz w:val="20"/>
          <w:szCs w:val="20"/>
          <w:color w:val="auto"/>
        </w:rPr>
      </w:pPr>
    </w:p>
    <w:p>
      <w:pPr>
        <w:ind w:left="660" w:right="740" w:hanging="328"/>
        <w:spacing w:after="0" w:line="258"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contract research organizations, or CROs,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including failure to demonstrate statistical significance, and we may decide, or regulators may require us, to conduct additional clinical trials or abandon drug development programs;</w:t>
      </w:r>
    </w:p>
    <w:p>
      <w:pPr>
        <w:jc w:val="both"/>
        <w:ind w:left="660" w:right="240" w:hanging="328"/>
        <w:spacing w:after="0" w:line="250"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institutional review boards to suspend or terminate the trials;</w:t>
      </w:r>
    </w:p>
    <w:p>
      <w:pPr>
        <w:ind w:left="620" w:hanging="288"/>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32" w:lineRule="exact"/>
        <w:rPr>
          <w:rFonts w:ascii="Arial" w:cs="Arial" w:eastAsia="Arial" w:hAnsi="Arial"/>
          <w:sz w:val="16"/>
          <w:szCs w:val="16"/>
          <w:color w:val="auto"/>
        </w:rPr>
      </w:pPr>
    </w:p>
    <w:p>
      <w:pPr>
        <w:ind w:left="660" w:right="440" w:hanging="328"/>
        <w:spacing w:after="0" w:line="281" w:lineRule="auto"/>
        <w:tabs>
          <w:tab w:leader="none" w:pos="6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 and</w:t>
      </w:r>
    </w:p>
    <w:p>
      <w:pPr>
        <w:spacing w:after="0" w:line="9" w:lineRule="exact"/>
        <w:rPr>
          <w:rFonts w:ascii="Arial" w:cs="Arial" w:eastAsia="Arial" w:hAnsi="Arial"/>
          <w:sz w:val="18"/>
          <w:szCs w:val="18"/>
          <w:color w:val="auto"/>
        </w:rPr>
      </w:pPr>
    </w:p>
    <w:p>
      <w:pPr>
        <w:ind w:left="660" w:right="540" w:hanging="328"/>
        <w:spacing w:after="0" w:line="261"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84"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if the FDA does not support our proposed design and clinical endpoints for our Phase 3 clinical trials for A-101, our clinical trials could be delayed. 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 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favorable or if there are safety concerns, we may:</w:t>
      </w:r>
    </w:p>
    <w:p>
      <w:pPr>
        <w:spacing w:after="0" w:line="172"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ectPr>
          <w:pgSz w:w="11900" w:h="16838" w:orient="portrait"/>
          <w:cols w:equalWidth="0" w:num="1">
            <w:col w:w="11420"/>
          </w:cols>
          <w:pgMar w:left="240" w:top="125" w:right="239" w:bottom="0" w:gutter="0" w:footer="0" w:header="0"/>
        </w:sectPr>
      </w:pPr>
    </w:p>
    <w:bookmarkStart w:id="22" w:name="page23"/>
    <w:bookmarkEnd w:id="22"/>
    <w:p>
      <w:pPr>
        <w:spacing w:after="0" w:line="103"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Our drug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drugs to market before we do and impair our ability to successfully commercialize our drug candidates.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Trials may be subject to delays as a result of patient enrollment taking longer than anticipated or patient withdrawal. We may not be able to initiate or continue clinical trials for our drug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193"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in the trial;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drugs approved to treat the skin disease in the trial;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Our inability to enroll a sufficient number of patients for clinical trials would result in significant delays and could require us or them to abandon one or more clinical trials altogether. Enrollment delays in these clinical trials may result in increased development costs for our drug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54"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b w:val="1"/>
          <w:bCs w:val="1"/>
          <w:i w:val="1"/>
          <w:iCs w:val="1"/>
          <w:color w:val="auto"/>
        </w:rPr>
        <w:t>Our clinical trials may fail to demonstrate the safety and efficacy of our drug candidates, or serious adverse or unacceptable side effects may be identified during the development of our drug candidates, which could prevent or delay regulatory approval and commercialization, increase our costs or necessitate the abandonment or limitation of the development of some of our drug candidates.</w:t>
      </w:r>
    </w:p>
    <w:p>
      <w:pPr>
        <w:spacing w:after="0" w:line="166"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Before obtaining regulatory approvals for the commercial sale of our drug candidates, we must demonstrate through lengthy, complex and expensive preclinical testing and clinical trials that our drug candidates are both safe and effective for use in each target indication, and failures can occur at any stage of testing. Clinical trials often fail to demonstrate safety and efficacy of the drug candidate studied for the target indication.</w:t>
      </w:r>
    </w:p>
    <w:p>
      <w:pPr>
        <w:spacing w:after="0" w:line="166"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If our drug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institutional review board may also require that we suspend, discontinue, or limit our clinical trials based on safety information. Such findings could further result in regulatory authorities failing to provide marketing authorization for our drug candidates. Many drug candidates that initially showed promise in early stage testing have later been found to cause side effects that prevented further development of the drug candidate.</w:t>
      </w:r>
    </w:p>
    <w:p>
      <w:pPr>
        <w:spacing w:after="0" w:line="193"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Additionally, if one or more of our drug candidates receives marketing approval, and we or others identify undesirable side effects caused by such drugs, a number of potentially significant negative consequences could result, including:</w:t>
      </w:r>
    </w:p>
    <w:p>
      <w:pPr>
        <w:spacing w:after="0" w:line="170"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1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drug candidate, if approved, and could significantly harm our business, results of operations and prospects.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As drug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drug candidates to perform differently and affect the results of planned clinical trials or other future clinical trials conducted with the altered materials. For example, if we need to manufacture A-102, we may experience difficulties manufacturing a stable gel dosage form as opposed to a topical solution. Such changes may also require</w:t>
      </w:r>
    </w:p>
    <w:p>
      <w:pPr>
        <w:sectPr>
          <w:pgSz w:w="11900" w:h="16941" w:orient="portrait"/>
          <w:cols w:equalWidth="0" w:num="1">
            <w:col w:w="11400"/>
          </w:cols>
          <w:pgMar w:left="240" w:top="125" w:right="259" w:bottom="0" w:gutter="0" w:footer="0" w:header="0"/>
        </w:sectPr>
      </w:pPr>
    </w:p>
    <w:bookmarkStart w:id="23" w:name="page24"/>
    <w:bookmarkEnd w:id="23"/>
    <w:p>
      <w:pPr>
        <w:spacing w:after="0" w:line="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 testing, FDA notification or FDA approval. This could delay completion of clinical trials, require the conduct of bridging clinical trials or the repetition of one or more clinical trials, increase clinical trial costs, delay approval of our drug candidates and jeopardize our ability to commence sales and generate revenue.</w:t>
      </w:r>
    </w:p>
    <w:p>
      <w:pPr>
        <w:spacing w:after="0" w:line="181"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increase our pipeline of drug candidates, including by in-licensing or acquiring additional drug candidates for other dermatological conditions.</w:t>
      </w:r>
    </w:p>
    <w:p>
      <w:pPr>
        <w:spacing w:after="0" w:line="17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A key element of our strategy is to build and expand our pipeline of drug candidates. In addition, we intend to in-license or acquire additional drug candidates for other dermatological conditions to build a fully integrated dermatology company. We may not be able to identify or develop drug candidates that are safe, tolerable and effective. Even if we are successful in continuing to build our pipeline, the potential drug candidates that we identify, in-license or acquire may not be suitable for clinical development, including as a result of being shown to have harmful side effects or other characteristics that indicate that they are unlikely to be drugs that will receive marketing approval and achieve market acceptance.</w:t>
      </w:r>
    </w:p>
    <w:p>
      <w:pPr>
        <w:spacing w:after="0" w:line="17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0"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Because we have limited financial and management resources, we focus on development programs and drug candidates that we identify for specific indications. As such, we are currently primarily focused on the development of A-101 for the treatment of SK.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w:t>
      </w:r>
    </w:p>
    <w:p>
      <w:pPr>
        <w:spacing w:after="0" w:line="229"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If any of our drug candidates receives marketing approval, it may nonetheless fail to gain sufficient market acceptance by physicians, patients, third-party payors and others in the medical community. If our drug candidates do not achieve an adequate level of acceptance, we may not generate significant revenue and we may not become profitable. The degree of market acceptance of our drug candidates, if approved for commercial sale, will depend on a number of factors, including:</w:t>
      </w:r>
    </w:p>
    <w:p>
      <w:pPr>
        <w:spacing w:after="0" w:line="187"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dermatologists to charge a premium for A-101 and our other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patients to pay out of pocket for procedures using A-101 for the treatment of SK;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14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do not have sales or marketing infrastructure. To achieve commercial success for A-101 and any other drug candidate for which we may obtain marketing approval, we will need to establish a sales and marketing organization. In the future, we expect to build a focused sales and marketing infrastructure to market or co-promote some of our drug candidates in the United States, if and when they are approved. There are risks involved with establishing our own sales, marketing and distribution capabilities.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225"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20" w:lineRule="exact"/>
        <w:rPr>
          <w:rFonts w:ascii="Arial" w:cs="Arial" w:eastAsia="Arial" w:hAnsi="Arial"/>
          <w:sz w:val="17"/>
          <w:szCs w:val="17"/>
          <w:color w:val="auto"/>
        </w:rPr>
      </w:pPr>
    </w:p>
    <w:p>
      <w:pPr>
        <w:ind w:left="660" w:right="180" w:hanging="328"/>
        <w:spacing w:after="0" w:line="250"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drugs that we develop ourselves. In addition, we may not be successful in entering into arrangements with third parties to sell, market and distribute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marketing and distribution capabilities successfully, either on our own or in collaboration with third parties, we will not be successful in commercializing our drug candidates.</w:t>
      </w:r>
    </w:p>
    <w:p>
      <w:pPr>
        <w:sectPr>
          <w:pgSz w:w="11900" w:h="16853" w:orient="portrait"/>
          <w:cols w:equalWidth="0" w:num="1">
            <w:col w:w="11400"/>
          </w:cols>
          <w:pgMar w:left="240" w:top="125" w:right="259" w:bottom="0" w:gutter="0" w:footer="0" w:header="0"/>
        </w:sectPr>
      </w:pPr>
    </w:p>
    <w:bookmarkStart w:id="24" w:name="page25"/>
    <w:bookmarkEnd w:id="24"/>
    <w:p>
      <w:pPr>
        <w:spacing w:after="0" w:line="2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drugs before or more successfully than we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t>
      </w:r>
    </w:p>
    <w:p>
      <w:pPr>
        <w:spacing w:after="0" w:line="211"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many different sources, including major pharmaceutical and specialty pharmaceutical companies, academic institutions and governmental agencies and public and private research institutions.</w:t>
      </w:r>
    </w:p>
    <w:p>
      <w:pPr>
        <w:spacing w:after="0" w:line="14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With respect to A-101 for the treatment of SK, we are aware of one biopharmaceutical company developing a combination drug candidate that targets SK, and another company that currently markets a line of cosmetic products targeting skin conditions, including SK.</w:t>
      </w:r>
    </w:p>
    <w:p>
      <w:pPr>
        <w:spacing w:after="0" w:line="17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With respect to A-101 for the treatment of common warts, we are aware of one company developing a prescription treatment for common warts and another company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66"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With respect to A-201 and A-301 for the treatment of AA, we anticipate competing with sensitizing agents such as diphencyprone, or DPCP, and topical, intralesional and systemic corticosteroids, which have been found to occasionally reduce symptoms of AA. Other treatments utilized for patchy AA include anthralin and minoxidil solution. We may also compete with companies developing chemical agents to be used in topical immunotherapies, as well as companies developing biologics, immunosuppressive agents, laser therapy, phototherapy, other JAK inhibitors and prostaglandin analogues to treat AA.</w:t>
      </w:r>
    </w:p>
    <w:p>
      <w:pPr>
        <w:spacing w:after="0" w:line="15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A-101 or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189"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b w:val="1"/>
          <w:bCs w:val="1"/>
          <w:i w:val="1"/>
          <w:iCs w:val="1"/>
          <w:color w:val="auto"/>
        </w:rPr>
        <w:t>We expect third-party payors generally will not cover the use of our drug candidates for the treatment of SK and, accordingly, our success will be dependent upon the willingness of patients to pay out of pocket for procedures using these drug candidates.</w:t>
      </w:r>
    </w:p>
    <w:p>
      <w:pPr>
        <w:spacing w:after="0" w:line="14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We do not expect third-party payors to cover and reimburse providers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of A-101 and A-102 depends on the extent to which patients will be willing to pay out of pocket for the in-office procedure using these drug candidates.</w:t>
      </w:r>
    </w:p>
    <w:p>
      <w:pPr>
        <w:spacing w:after="0" w:line="192" w:lineRule="exact"/>
        <w:rPr>
          <w:sz w:val="20"/>
          <w:szCs w:val="20"/>
          <w:color w:val="auto"/>
        </w:rPr>
      </w:pPr>
    </w:p>
    <w:p>
      <w:pPr>
        <w:ind w:right="1120" w:firstLine="441"/>
        <w:spacing w:after="0" w:line="277" w:lineRule="auto"/>
        <w:rPr>
          <w:sz w:val="20"/>
          <w:szCs w:val="20"/>
          <w:color w:val="auto"/>
        </w:rPr>
      </w:pPr>
      <w:r>
        <w:rPr>
          <w:rFonts w:ascii="Arial" w:cs="Arial" w:eastAsia="Arial" w:hAnsi="Arial"/>
          <w:sz w:val="18"/>
          <w:szCs w:val="18"/>
          <w:b w:val="1"/>
          <w:bCs w:val="1"/>
          <w:i w:val="1"/>
          <w:iCs w:val="1"/>
          <w:color w:val="auto"/>
        </w:rPr>
        <w:t>The success of our drug candidates for the treatment of common warts will depend significantly on continued coverage and adequate reimbursement or the willingness of patients to pay for these procedures.</w:t>
      </w:r>
    </w:p>
    <w:p>
      <w:pPr>
        <w:spacing w:after="0" w:line="170"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drug candidates.</w:t>
      </w:r>
    </w:p>
    <w:p>
      <w:pPr>
        <w:spacing w:after="0" w:line="18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15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8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Further, from time to time, typically on an annual basis, payment rates are updated and revised by third-party payors. To the extent that the procedures using our drug candidates, if approved, are covered, the cost of our products are generally recovered by the healthcare provider as part of the payment for performing a procedure and not separately reimbursed. Accordingly, these updates could impact the demand for our drug candidates, if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the resulting decrease in payment may adversely affect our revenue and results of operations. In addition, the Medicare physician</w:t>
      </w:r>
    </w:p>
    <w:p>
      <w:pPr>
        <w:sectPr>
          <w:pgSz w:w="11900" w:h="16865" w:orient="portrait"/>
          <w:cols w:equalWidth="0" w:num="1">
            <w:col w:w="11420"/>
          </w:cols>
          <w:pgMar w:left="240" w:top="341" w:right="239" w:bottom="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fee schedule has been adapted by some private payors into their plan-specific physician payment schedule. We cannot predict how pending and future healthcare legislation will impact our business, and any changes in coverage and reimbursement that further restricts coverage of our drug candidates or lowers reimbursement for procedures using our products could harm our business.</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81" w:lineRule="exact"/>
        <w:rPr>
          <w:sz w:val="20"/>
          <w:szCs w:val="20"/>
          <w:color w:val="auto"/>
        </w:rPr>
      </w:pPr>
    </w:p>
    <w:p>
      <w:pPr>
        <w:ind w:right="360" w:firstLine="441"/>
        <w:spacing w:after="0" w:line="279" w:lineRule="auto"/>
        <w:rPr>
          <w:sz w:val="20"/>
          <w:szCs w:val="20"/>
          <w:color w:val="auto"/>
        </w:rPr>
      </w:pPr>
      <w:r>
        <w:rPr>
          <w:rFonts w:ascii="Arial" w:cs="Arial" w:eastAsia="Arial" w:hAnsi="Arial"/>
          <w:sz w:val="17"/>
          <w:szCs w:val="17"/>
          <w:color w:val="auto"/>
        </w:rPr>
        <w:t>There can be no assurance that our drug candidates for the treatment of common warts, if they are approved for sale in the United States or in other countries, will be considered medically reasonable and necessary, that they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drugs candidates profitably if they are approved for sale.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drugs that we may develop.</w:t>
      </w:r>
    </w:p>
    <w:p>
      <w:pPr>
        <w:spacing w:after="0" w:line="26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166"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drug candidates or drugs that we may develop;</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drugs that we may develop.</w:t>
      </w:r>
    </w:p>
    <w:p>
      <w:pPr>
        <w:spacing w:after="0" w:line="21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drug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23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b w:val="1"/>
          <w:bCs w:val="1"/>
          <w:i w:val="1"/>
          <w:iCs w:val="1"/>
          <w:color w:val="auto"/>
        </w:rPr>
        <w:t>We will rely on third parties to conduct our future clinical trials for drug candidates, and those third parties may not perform satisfactorily, including failing to meet deadlines for the completion of such trials.</w:t>
      </w:r>
    </w:p>
    <w:p>
      <w:pPr>
        <w:spacing w:after="0" w:line="170"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We have engaged a CRO to conduct our planned clinical trials of A-101 and expect to engage a CRO to conduct clinical trails of our other drug candidates that may progress to clinical development. We expect to continue to rely on third parties, such as clinical data management organizations, medical institutions and 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Consequently, our results of operations and the commercial prospects for our drug candidates would be harmed, our costs could increase substantially and our ability to generate revenue could be delayed significantly.</w:t>
      </w:r>
    </w:p>
    <w:p>
      <w:pPr>
        <w:spacing w:after="0" w:line="169"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w:t>
      </w:r>
    </w:p>
    <w:p>
      <w:pPr>
        <w:sectPr>
          <w:pgSz w:w="11900" w:h="16838" w:orient="portrait"/>
          <w:cols w:equalWidth="0" w:num="1">
            <w:col w:w="11400"/>
          </w:cols>
          <w:pgMar w:left="240" w:top="341" w:right="259" w:bottom="0" w:gutter="0" w:footer="0" w:header="0"/>
        </w:sectPr>
      </w:pPr>
    </w:p>
    <w:bookmarkStart w:id="26" w:name="page27"/>
    <w:bookmarkEnd w:id="26"/>
    <w:p>
      <w:pPr>
        <w:ind w:right="320"/>
        <w:spacing w:after="0" w:line="277" w:lineRule="auto"/>
        <w:rPr>
          <w:sz w:val="20"/>
          <w:szCs w:val="20"/>
          <w:color w:val="auto"/>
        </w:rPr>
      </w:pPr>
      <w:r>
        <w:rPr>
          <w:rFonts w:ascii="Arial" w:cs="Arial" w:eastAsia="Arial" w:hAnsi="Arial"/>
          <w:sz w:val="18"/>
          <w:szCs w:val="18"/>
          <w:color w:val="auto"/>
        </w:rPr>
        <w:t>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70" w:lineRule="exact"/>
        <w:rPr>
          <w:sz w:val="20"/>
          <w:szCs w:val="20"/>
          <w:color w:val="auto"/>
        </w:rPr>
      </w:pPr>
    </w:p>
    <w:p>
      <w:pPr>
        <w:ind w:right="160" w:firstLine="441"/>
        <w:spacing w:after="0" w:line="287" w:lineRule="auto"/>
        <w:rPr>
          <w:sz w:val="20"/>
          <w:szCs w:val="20"/>
          <w:color w:val="auto"/>
        </w:rPr>
      </w:pPr>
      <w:r>
        <w:rPr>
          <w:rFonts w:ascii="Arial" w:cs="Arial" w:eastAsia="Arial" w:hAnsi="Arial"/>
          <w:sz w:val="16"/>
          <w:szCs w:val="16"/>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69"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drug candidates or commercialization of our drugs, producing additional losses and depriving us of potential revenue.</w:t>
      </w:r>
    </w:p>
    <w:p>
      <w:pPr>
        <w:spacing w:after="0" w:line="18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b w:val="1"/>
          <w:bCs w:val="1"/>
          <w:i w:val="1"/>
          <w:iCs w:val="1"/>
          <w:color w:val="auto"/>
        </w:rPr>
        <w:t>We contract with third parties for the manufacture of A-101 for preclinical and clinical testing and expect to continue to do so for commercialization. This reliance on third parties increases the risk that we will not have sufficient quantities of A-101 or such quantities at an acceptable cost, which could delay, prevent or impair our development or commercialization efforts.</w:t>
      </w:r>
    </w:p>
    <w:p>
      <w:pPr>
        <w:spacing w:after="0" w:line="18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We do not have any manufacturing facilities or personnel. We currently rely, and expect to continue to rely, on third parties for the manufacture of A-101 for preclinical and clinical testing, as well as for commercial manufacture if any of our drug candidates, including A-101, receive marketing approval. For example, we have entered into an exclusive, ten-year, automatically renewable supply agreement with PeroxyChem, a manufacturer of hydrogen peroxide, to provide the active pharmaceutical ingredient that can be used in A-101 for the treatment of SK. This reliance on third parties increases the risk that we will not have sufficient quantities of A-101 or such quantities at an acceptable cost or quality, which could delay, prevent or impair our ability to timely conduct our clinical trials or our other development or commercialization efforts.</w:t>
      </w:r>
    </w:p>
    <w:p>
      <w:pPr>
        <w:spacing w:after="0" w:line="178" w:lineRule="exact"/>
        <w:rPr>
          <w:sz w:val="20"/>
          <w:szCs w:val="20"/>
          <w:color w:val="auto"/>
        </w:rPr>
      </w:pPr>
    </w:p>
    <w:p>
      <w:pPr>
        <w:jc w:val="both"/>
        <w:ind w:right="180" w:firstLine="441"/>
        <w:spacing w:after="0" w:line="276" w:lineRule="auto"/>
        <w:rPr>
          <w:sz w:val="20"/>
          <w:szCs w:val="20"/>
          <w:color w:val="auto"/>
        </w:rPr>
      </w:pPr>
      <w:r>
        <w:rPr>
          <w:rFonts w:ascii="Arial" w:cs="Arial" w:eastAsia="Arial" w:hAnsi="Arial"/>
          <w:sz w:val="17"/>
          <w:szCs w:val="17"/>
          <w:color w:val="auto"/>
        </w:rPr>
        <w:t>We also expect to rely on third-party manufacturers or third-party collaborators for the manufacture of commercial supply of A-101 or any other drug candidates for which we obtain marketing approval. The facilities used by our contract manufacturers to manufacture our drug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laws, regulations and applicable cGMP standards and other laws and regulations, such as those related to environmental health and safety matters.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93"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We may be unable to establish any agreements with future third-party manufacturers or to do so on acceptable terms. Even if we are able to establish agreements with third-party manufacturers, reliance on third-party manufacturers entails additional risks, including:</w:t>
      </w:r>
    </w:p>
    <w:p>
      <w:pPr>
        <w:spacing w:after="0" w:line="170"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increase in costs by PeroxyChem for the active pharmaceutical ingredient in A-101;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supplies of our drugs.</w:t>
      </w:r>
    </w:p>
    <w:p>
      <w:pPr>
        <w:spacing w:after="0" w:line="17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the components of A-101.</w:t>
      </w:r>
    </w:p>
    <w:p>
      <w:pPr>
        <w:spacing w:after="0" w:line="18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If our current contract manufacturers cannot perform as agreed, we may be required to replace such manufacturers. We may incur added costs and delays in identifying and qualifying any such replacement.</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We expect to continue to depend on third-party contract manufacturers for the foreseeable future. 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ectPr>
          <w:pgSz w:w="11900" w:h="16838" w:orient="portrait"/>
          <w:cols w:equalWidth="0" w:num="1">
            <w:col w:w="11420"/>
          </w:cols>
          <w:pgMar w:left="240" w:top="125" w:right="239" w:bottom="56" w:gutter="0" w:footer="0" w:header="0"/>
        </w:sectPr>
      </w:pPr>
    </w:p>
    <w:bookmarkStart w:id="27" w:name="page28"/>
    <w:bookmarkEnd w:id="27"/>
    <w:p>
      <w:pPr>
        <w:spacing w:after="0" w:line="32"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or commercialization of our drug candidates. If those collaborations are not successful, we may not be able to capitalize on the market potential of these drug candidates.</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We may seek third-party collaborators for the development and commercialization of our drug candidates, including for the commercialization of any of our drug candidates that are approved for marketing outside the United States.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or commercialization of our drug candidates. Our ability to generate revenue from these arrangements will depend on our collaborators’ abilities to successfully perform the functions assigned to them in these arrangements.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Collaborations involving our drug candidates would pose the following risks to us:</w:t>
      </w:r>
    </w:p>
    <w:p>
      <w:pPr>
        <w:spacing w:after="0" w:line="225"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9" w:lineRule="exact"/>
        <w:rPr>
          <w:rFonts w:ascii="Arial" w:cs="Arial" w:eastAsia="Arial" w:hAnsi="Arial"/>
          <w:sz w:val="18"/>
          <w:szCs w:val="18"/>
          <w:color w:val="auto"/>
        </w:rPr>
      </w:pPr>
    </w:p>
    <w:p>
      <w:pPr>
        <w:ind w:left="660" w:right="600" w:hanging="328"/>
        <w:spacing w:after="0" w:line="261"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drug candidates that achieve regulatory approval or may elect not to continue or renew development or commercialization programs based on clinical trial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spacing w:after="0" w:line="258" w:lineRule="auto"/>
        <w:rPr>
          <w:sz w:val="20"/>
          <w:szCs w:val="20"/>
          <w:color w:val="auto"/>
        </w:rPr>
      </w:pPr>
      <w:r>
        <w:rPr>
          <w:rFonts w:ascii="Arial" w:cs="Arial" w:eastAsia="Arial" w:hAnsi="Arial"/>
          <w:sz w:val="18"/>
          <w:szCs w:val="18"/>
          <w:color w:val="auto"/>
        </w:rPr>
        <w:t>results, changes in the collaborators’ strategic focus or available funding, or external factors, such as an acquisition, that divert resources or create competing priorities;</w:t>
      </w:r>
    </w:p>
    <w:p>
      <w:pPr>
        <w:spacing w:after="0" w:line="1" w:lineRule="exact"/>
        <w:rPr>
          <w:sz w:val="20"/>
          <w:szCs w:val="20"/>
          <w:color w:val="auto"/>
        </w:rPr>
      </w:pPr>
    </w:p>
    <w:p>
      <w:pPr>
        <w:ind w:left="660" w:hanging="328"/>
        <w:spacing w:after="0" w:line="25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ind w:left="660" w:right="160" w:hanging="328"/>
        <w:spacing w:after="0" w:line="25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drug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660" w:right="420" w:hanging="328"/>
        <w:spacing w:after="0" w:line="265" w:lineRule="auto"/>
        <w:tabs>
          <w:tab w:leader="none" w:pos="6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drug candidates discovered in collaboration with us may be viewed by our collaborators as competitive with their own drug candidates or drugs, which may cause collaborators to cease to devote resources to the commercialization of our drug candidates;</w:t>
      </w:r>
    </w:p>
    <w:p>
      <w:pPr>
        <w:ind w:left="660" w:right="680" w:hanging="328"/>
        <w:spacing w:after="0" w:line="250"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drug candidates that achieve regulatory approval may not commit sufficient resources to the marketing and distribution of such drugs;</w:t>
      </w:r>
    </w:p>
    <w:p>
      <w:pPr>
        <w:ind w:left="660" w:right="60" w:hanging="328"/>
        <w:spacing w:after="0" w:line="281" w:lineRule="auto"/>
        <w:tabs>
          <w:tab w:leader="none" w:pos="6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drug candidates, might lead to additional responsibilities for us with respect to drug candidates, or might result in litigation or arbitration, any of which would be time-consuming and expensive;</w:t>
      </w:r>
    </w:p>
    <w:p>
      <w:pPr>
        <w:spacing w:after="0" w:line="2" w:lineRule="exact"/>
        <w:rPr>
          <w:rFonts w:ascii="Arial" w:cs="Arial" w:eastAsia="Arial" w:hAnsi="Arial"/>
          <w:sz w:val="16"/>
          <w:szCs w:val="16"/>
          <w:color w:val="auto"/>
        </w:rPr>
      </w:pPr>
    </w:p>
    <w:p>
      <w:pPr>
        <w:ind w:left="660" w:right="80" w:hanging="328"/>
        <w:spacing w:after="0" w:line="281" w:lineRule="auto"/>
        <w:tabs>
          <w:tab w:leader="none" w:pos="6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drug candidates.</w:t>
      </w:r>
    </w:p>
    <w:p>
      <w:pPr>
        <w:spacing w:after="0" w:line="184"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our development and commercialization plans.</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capital. For some of our drug candidates, we may decide to collaborate with pharmaceutical and biotechnology companies for the development and potential commercialization of those drug candidates.</w:t>
      </w:r>
    </w:p>
    <w:p>
      <w:pPr>
        <w:spacing w:after="0" w:line="181" w:lineRule="exact"/>
        <w:rPr>
          <w:sz w:val="20"/>
          <w:szCs w:val="20"/>
          <w:color w:val="auto"/>
        </w:rPr>
      </w:pPr>
    </w:p>
    <w:p>
      <w:pPr>
        <w:ind w:right="160" w:firstLine="441"/>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ectPr>
          <w:pgSz w:w="11900" w:h="16870" w:orient="portrait"/>
          <w:cols w:equalWidth="0" w:num="1">
            <w:col w:w="11420"/>
          </w:cols>
          <w:pgMar w:left="240" w:top="125" w:right="239" w:bottom="0" w:gutter="0" w:footer="0" w:header="0"/>
        </w:sectPr>
      </w:pPr>
    </w:p>
    <w:bookmarkStart w:id="28" w:name="page29"/>
    <w:bookmarkEnd w:id="28"/>
    <w:p>
      <w:pPr>
        <w:spacing w:after="0" w:line="2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81"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drug candidates. We seek to protect our proprietary position by filing patent applications in the United States and abroad related to our drug candidates.</w:t>
      </w:r>
    </w:p>
    <w:p>
      <w:pPr>
        <w:spacing w:after="0" w:line="124"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88"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6"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Moreover, we may be subject to a third-party preissuance submission of prior art to the U.S. Patent and Trademark Office, or USPTO, or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that we own or license is threatened, it could dissuade companies from collaborating with us to license, develop or commercialize current or future drug candidates.</w:t>
      </w:r>
    </w:p>
    <w:p>
      <w:pPr>
        <w:spacing w:after="0" w:line="18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Even if our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81"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limit the duration of the patent protection of our technology and drugs. Our issued U.S. patents, with claims directed to treatment of SK and acrochordons with A-101, are scheduled to expire in 2022. Certain issued U.S. patents relating to our JAK inhibitors, A-201 and A-301, are scheduled to expire in 2023 and additional U.S. patents, with claims specifically directed to our JAK inhibitors, are scheduled to expire in 2030.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ours.</w:t>
      </w:r>
    </w:p>
    <w:p>
      <w:pPr>
        <w:spacing w:after="0" w:line="193"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70"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We may find it impractical or undesirable to enforce our intellectual property against some third parties. For instance, we are aware of third parties that have marketed high-concentration hydrogen peroxide solutions over the internet for the treatment of SK. These parties do not appear to have regulatory authority, and we have not authorized them in any way to market these products. However, to date we have refrained from seeking to enforce our intellectual property rights against these third parties due to the transient nature of</w:t>
      </w:r>
    </w:p>
    <w:p>
      <w:pPr>
        <w:sectPr>
          <w:pgSz w:w="11900" w:h="16863" w:orient="portrait"/>
          <w:cols w:equalWidth="0" w:num="1">
            <w:col w:w="11420"/>
          </w:cols>
          <w:pgMar w:left="240" w:top="341" w:right="239" w:bottom="0" w:gutter="0" w:footer="0" w:header="0"/>
        </w:sectPr>
      </w:pPr>
    </w:p>
    <w:bookmarkStart w:id="29" w:name="page30"/>
    <w:bookmarkEnd w:id="29"/>
    <w:p>
      <w:pPr>
        <w:spacing w:after="0" w:line="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their activities. With respect to A-201 and A-301, if we do not elect to exercise our first right to do so, Rigel may enforce the licensed patents relating to A-201 and A-301 against any infringing third party in the field of dermatology. In addition, Rigel has the first right, but not the obligation, to enforce the licensed patents relating to A-201 and A-301 against any infringing party outside of the field of dermatology.</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If we breach our license and collaboration agreement with Rigel, it could compromise our development and commercialization efforts for our JAK inhibitors.</w:t>
      </w:r>
    </w:p>
    <w:p>
      <w:pPr>
        <w:spacing w:after="0" w:line="170"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In August 2015, we entered into an exclusive license and collaboration agreement with Rigel, which grants us the rights to certain patent rights and other intellectual property owned by Rigel relating to our JAK inhibitors. If we materially breach or fail to perform any provision under this license agreement, including failure to make payments to Rigel when due for royalties and failure to use commercially reasonable efforts to develop and commercialize a JAK inhibitor, Rigel has the right to terminate our license, and upon the effective date of such termination, our right to practice the licensed Rigel patent rights and other intellectual property would end. Any uncured, material breach under the license agreement could result in our loss of rights to practice the patent rights and other intellectual property licensed to us under the license and collaboration agreement, and, to the extent such patent rights and other technology relate to our JAK inhibitors, it could compromise our development and commercialization efforts for A-201 or A-301.</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Filing, prosecuting and defending patents on our drug candidates in all countries throughout the world would be prohibitively expensive, and our intellectual property rights in some countries outside the United States can be less extensive than those in the United States. For example, the use of A-101 for the treatment of SK is currently covered in patents in the United States, Australia, India and New Zealand, but not in the European Union or other countries. Our JAK inhibitors being used in the development of A-201 and A-301 are currently covered in patents and applications in the United States, Australia, Brazil, Canada, Chile, China, Eurasia, the European Union, Hong Kong, Israel, India, Japan, South Korea, Mexico, Malaysia, New Zealand, Peru, Singapore, Ukraine, Vietnam, and South Africa. In addition, the laws of some foreign countries do not protect intellectual property rights to the same extent as federal and state laws in the United States. Consequently, we may not be able to prevent third parties from practicing our invention in such countries.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3"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For example, we exclusively license intellectual property from Rigel in the field of dermatology related to our JAK inhibitors. It may be necessary for us to use the patented or proprietary technology of third parties to commercialize our drug candidates, in which case we would be required to obtain a license from these third parties on commercially reasonable terms, or our business could be harmed, possibly materially.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Rigel or a sublicensee may develop our JAK inhibitors outside of the field of dermatology or another JAK inhibitor.</w:t>
      </w:r>
    </w:p>
    <w:p>
      <w:pPr>
        <w:spacing w:after="0" w:line="22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We exclusively license intellectual property from Rigel in order to develop, use, manufacture, sell and commercialize our JAK inhibitors in the field of dermatology. Rigel retained the rights under such intellectual property to develop, use, manufacture, sell and commercialize such JAK inhibitors outside of the field of dermatology. If Rigel, or a sublicensee, does commercialize such JAK inhibitors outside the field of dermatology, such a product could possibly be used off-label for a dermatology indication, which could negatively impact sales of our JAK inhibitor product candidates, if approved. Rigel also retained the intellectual property rights to develop, use, manufacture, sell and commercialize other structurally similar JAK inhibitors. If Rigel, or a sublicensee, does commercialize a structurally similar JAK inhibitor, such a product could directly compete with our product candidates, if approved.</w:t>
      </w:r>
    </w:p>
    <w:p>
      <w:pPr>
        <w:spacing w:after="0" w:line="165"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Our commercial success depends upon our ability to develop, manufacture, market and sell our drug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drugs and technology, including interference or derivation proceedings before the USPTO. Numerous U.S. and foreign issued patents and pending patent applications owned by third parties exist in the fields in which we are developing our drug candidates. For example, we are aware of third parties that are pursuing broad claims directed to the use of JAK inhibitors for the treatment of AA. Third parties may assert infringement claims against us based on existing patents or patents that may be granted in the future.</w:t>
      </w:r>
    </w:p>
    <w:p>
      <w:pPr>
        <w:spacing w:after="0" w:line="189"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drugs and technology. However, we may not be able to obtain any required license on commercially reasonable terms or at all.</w:t>
      </w:r>
    </w:p>
    <w:p>
      <w:pPr>
        <w:sectPr>
          <w:pgSz w:w="11900" w:h="16908" w:orient="portrait"/>
          <w:cols w:equalWidth="0" w:num="1">
            <w:col w:w="11420"/>
          </w:cols>
          <w:pgMar w:left="240" w:top="125" w:right="239" w:bottom="0" w:gutter="0" w:footer="0" w:header="0"/>
        </w:sectPr>
      </w:pPr>
    </w:p>
    <w:bookmarkStart w:id="30" w:name="page31"/>
    <w:bookmarkEnd w:id="30"/>
    <w:p>
      <w:pPr>
        <w:spacing w:after="0" w:line="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Even if we were able to obtain a license, it could be non-exclusive, thereby giving our competitors access to the same technologies licensed to us. We could be forced, including by court order, to cease commercializing the infringing technology or drug. In addition, we could be found liable for monetary damages, including treble damages and attorneys’ fees if we are found to have willfully infringed a patent.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redesign our infringing product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our employees or our licensor have misappropriated their intellectual property, or claiming ownership of what we regard as our own intellectual property.</w:t>
      </w:r>
    </w:p>
    <w:p>
      <w:pPr>
        <w:spacing w:after="0" w:line="17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Many of our employees and our licensor’s employees were previously employed at other biotechnology or pharmaceutical companies. Although we and our licensor try to ensure that our employees and our licensor’s employees do not use the proprietary information or know-how of others in their work for us, we or our licensor may be subject to claims that these employees, our licensor or we have used or disclosed intellectual property, including trade secrets or other proprietary information, of any such employee’s former employer. Litigation may be necessary to defend against these claims.</w:t>
      </w:r>
    </w:p>
    <w:p>
      <w:pPr>
        <w:spacing w:after="0" w:line="17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 and be a distraction to management.</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time-consuming and unsuccessful. Further, our issued patents could be found invalid or unenforceable if challenged in court.</w:t>
      </w:r>
    </w:p>
    <w:p>
      <w:pPr>
        <w:spacing w:after="0" w:line="17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drug candidates. Such a loss of patent protection would harm our business.</w:t>
      </w:r>
    </w:p>
    <w:p>
      <w:pPr>
        <w:spacing w:after="0" w:line="167"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w:t>
      </w:r>
    </w:p>
    <w:p>
      <w:pPr>
        <w:spacing w:after="0" w:line="14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4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w:t>
      </w:r>
    </w:p>
    <w:p>
      <w:pPr>
        <w:sectPr>
          <w:pgSz w:w="11900" w:h="16933" w:orient="portrait"/>
          <w:cols w:equalWidth="0" w:num="1">
            <w:col w:w="11420"/>
          </w:cols>
          <w:pgMar w:left="240" w:top="125" w:right="239" w:bottom="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In addition to seeking patents for our drug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9"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A-101 and our JAK inhibitors can be challenged by competitors.</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If A-101 or one of our JAK inhibitors is approved by the FDA, one or more third parties may challenge the patents covering A-101 or our JAK inhibitors, which could result in the invalidation of, or render unenforceable, some or all of the relevant patent claims or a finding of non-infringement. For example, if a third party files an Abbreviated New Drug Application, or ANDA, for a generic drug containing A-101,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drug candidates.</w:t>
      </w:r>
    </w:p>
    <w:p>
      <w:pPr>
        <w:spacing w:after="0" w:line="169"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and obtaining data exclusivity for our drug candidates, our business may be materially harmed.</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Our commercial success will largely depend on our ability to obtain and maintain patent and other intellectual property in the United States and other countries with respect to our proprietary technology, drug candidates and our target indications. Our issued U.S. patents, with claims directed to treatment of SK and acrochordons with A-101, are scheduled to expire in 2022. Certain issued U.S. patents relating to our JAK inhibitors, A-201 and A-301, are scheduled to expire in 2023 and additional U.S. patents, with claims specifically directed to our JAK inhibitors, are scheduled to expire in 2030. Given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amount of time required for the development, testing and regulatory review of new drug candidates, patents protecting our drug candidates might expire before or shortly after such candidates begin to be commercialized. We expect to seek extensions of patent terms in the United States and, if available, in other countries where we are prosecuting patents.</w:t>
      </w:r>
    </w:p>
    <w:p>
      <w:pPr>
        <w:spacing w:after="0" w:line="181"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Depending upon the timing, duration and specifics of FDA marketing approval of our drug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9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Any trademarks we have obtained or may obtain may be infringed or successfully challenged, resulting in harm to our business.</w:t>
      </w:r>
    </w:p>
    <w:p>
      <w:pPr>
        <w:spacing w:after="0" w:line="237"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expect to rely on trademarks as one means to distinguish any of our drug candidates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5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ectPr>
          <w:pgSz w:w="11900" w:h="16838" w:orient="portrait"/>
          <w:cols w:equalWidth="0" w:num="1">
            <w:col w:w="11420"/>
          </w:cols>
          <w:pgMar w:left="240" w:top="341" w:right="239" w:bottom="0" w:gutter="0" w:footer="0" w:header="0"/>
        </w:sectPr>
      </w:pPr>
    </w:p>
    <w:bookmarkStart w:id="32" w:name="page33"/>
    <w:bookmarkEnd w:id="32"/>
    <w:p>
      <w:pPr>
        <w:ind w:right="120" w:firstLine="441"/>
        <w:spacing w:after="0" w:line="279" w:lineRule="auto"/>
        <w:rPr>
          <w:sz w:val="20"/>
          <w:szCs w:val="20"/>
          <w:color w:val="auto"/>
        </w:rPr>
      </w:pPr>
      <w:r>
        <w:rPr>
          <w:rFonts w:ascii="Arial" w:cs="Arial" w:eastAsia="Arial" w:hAnsi="Arial"/>
          <w:sz w:val="17"/>
          <w:szCs w:val="17"/>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7" w:lineRule="exact"/>
        <w:rPr>
          <w:sz w:val="20"/>
          <w:szCs w:val="20"/>
          <w:color w:val="auto"/>
        </w:rPr>
      </w:pPr>
    </w:p>
    <w:p>
      <w:pPr>
        <w:ind w:left="660" w:hanging="328"/>
        <w:spacing w:after="0" w:line="258"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formulations or compositions that are the same as or similar to A-101 but that are not covered by the claims of the patents that we own;</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a JAK inhibitor that is similar to the JAK inhibitors we licensed from Rigel that is not covered by the patents that we exclusively licensed and have the right to enforce;</w:t>
      </w:r>
    </w:p>
    <w:p>
      <w:pPr>
        <w:ind w:left="660" w:right="900" w:hanging="328"/>
        <w:spacing w:after="0" w:line="250"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our licensor or any collaborators might not have been the first to make the inventions covered by the issued patents or pending patent applications that we own;</w:t>
      </w: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our licensor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3" w:lineRule="exact"/>
        <w:rPr>
          <w:rFonts w:ascii="Arial" w:cs="Arial" w:eastAsia="Arial" w:hAnsi="Arial"/>
          <w:sz w:val="18"/>
          <w:szCs w:val="18"/>
          <w:color w:val="auto"/>
        </w:rPr>
      </w:pPr>
    </w:p>
    <w:p>
      <w:pPr>
        <w:ind w:left="660" w:right="680" w:hanging="328"/>
        <w:spacing w:after="0" w:line="250"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w:t>
      </w:r>
    </w:p>
    <w:p>
      <w:pPr>
        <w:ind w:left="660" w:right="300" w:hanging="328"/>
        <w:spacing w:after="0" w:line="265" w:lineRule="auto"/>
        <w:tabs>
          <w:tab w:leader="none" w:pos="6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and</w:t>
      </w: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Drug Candidates and Other Legal Compliance Matters</w:t>
      </w:r>
    </w:p>
    <w:p>
      <w:pPr>
        <w:spacing w:after="0" w:line="229"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drug candidates, and our ability to generate revenue will be materially impaired.</w:t>
      </w:r>
    </w:p>
    <w:p>
      <w:pPr>
        <w:spacing w:after="0" w:line="170"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Our drug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Commission and EU Member State Competent Authorities and similar regulatory authorities outside the United States. Failure to obtain marketing approval for a drug candidate will prevent us from commercializing the drug candidate. We have not received approval to market any of our drug candidates from regulatory authorities in any jurisdiction.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drug candidate’s safety and efficacy. Securing marketing approval also requires the submission of information about the drug manufacturing process to, and inspection of manufacturing facilities by, the regulatory authorities. Our drug candidates may not be effective, may be only moderately effective or may prove to have undesirable or unintended side effects, toxicities or other characteristics that may preclude our obtaining marketing approval or prevent or limit commercial use. If any of our drug candidates receives marketing approval, the accompanying label may limit the approved use of our drug in this way, which could limit sales of the drug.</w:t>
      </w:r>
    </w:p>
    <w:p>
      <w:pPr>
        <w:spacing w:after="0" w:line="173"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drug candidate. Any marketing approval we ultimately obtain may be limited or subject to restrictions or post-approval commitments that render the approved drug not commercially viable.</w:t>
      </w:r>
    </w:p>
    <w:p>
      <w:pPr>
        <w:spacing w:after="0" w:line="17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the commercial prospects for our drug candidates may be harmed and our ability to generate revenue will be materially impaired.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drug candidates from being marketed abroad.</w:t>
      </w:r>
    </w:p>
    <w:p>
      <w:pPr>
        <w:spacing w:after="0" w:line="237"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In order to market and sell our drugs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drugs in any market.</w:t>
      </w:r>
    </w:p>
    <w:p>
      <w:pPr>
        <w:sectPr>
          <w:pgSz w:w="11900" w:h="16838" w:orient="portrait"/>
          <w:cols w:equalWidth="0" w:num="1">
            <w:col w:w="11400"/>
          </w:cols>
          <w:pgMar w:left="240" w:top="125" w:right="25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 variety of risks associated with marketing our drug candidates internationally could harm our business.</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We may seek regulatory approval for A-101 and our other drug candidates outside of the United States and, accordingly, we expect that we will be subject to additional risks related to operating in foreign countries if we obtain the necessary approvals, including:</w:t>
      </w:r>
    </w:p>
    <w:p>
      <w:pPr>
        <w:spacing w:after="0" w:line="170"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3"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b w:val="1"/>
          <w:bCs w:val="1"/>
          <w:i w:val="1"/>
          <w:iCs w:val="1"/>
          <w:color w:val="auto"/>
        </w:rPr>
        <w:t>Any drug candidate for which we obtain marketing approval could be subject to post-marketing restrictions or recall or withdrawal from the market, and we may be subject to penalties if we fail to comply with regulatory requirements or if we experience unanticipated problems with our drug candidates, when and if any of them are approved.</w:t>
      </w:r>
    </w:p>
    <w:p>
      <w:pPr>
        <w:spacing w:after="0" w:line="18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Any drug candidate for which we obtain marketing approval, along with the manufacturing processes, post-approval clinical data, labeling, advertising and promotional activities for such drug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drug candidate is granted, the approval may be subject to limitations on the indicated uses for which the drug candidate may be marketed or to the conditions of approval, including the requirement to implement a risk evaluation and mitigation strategy. If any of our drug candidates receives marketing approval, the accompanying label may limit the approved use of our drug, which could limit sales of the drug.</w:t>
      </w:r>
    </w:p>
    <w:p>
      <w:pPr>
        <w:spacing w:after="0" w:line="19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drugs for their approved indications, we may be subject to enforcement action for off-label marketing.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93"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drugs, manufacturers or manufacturing processes, or failure to comply with regulatory requirements, may have negative consequences, including:</w:t>
      </w:r>
    </w:p>
    <w:p>
      <w:pPr>
        <w:spacing w:after="0" w:line="170"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or withdrawal of the drugs from the market;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permit the import or export of our drugs;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Non-compliance with the European Union’s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ectPr>
          <w:pgSz w:w="11900" w:h="16838" w:orient="portrait"/>
          <w:cols w:equalWidth="0" w:num="1">
            <w:col w:w="11420"/>
          </w:cols>
          <w:pgMar w:left="240" w:top="368" w:right="239" w:bottom="13" w:gutter="0" w:footer="0" w:header="0"/>
        </w:sectPr>
      </w:pPr>
    </w:p>
    <w:bookmarkStart w:id="34" w:name="page35"/>
    <w:bookmarkEnd w:id="34"/>
    <w:p>
      <w:pPr>
        <w:ind w:right="40" w:firstLine="441"/>
        <w:spacing w:after="0" w:line="286" w:lineRule="auto"/>
        <w:rPr>
          <w:sz w:val="20"/>
          <w:szCs w:val="20"/>
          <w:color w:val="auto"/>
        </w:rPr>
      </w:pPr>
      <w:r>
        <w:rPr>
          <w:rFonts w:ascii="Arial" w:cs="Arial" w:eastAsia="Arial" w:hAnsi="Arial"/>
          <w:sz w:val="17"/>
          <w:szCs w:val="17"/>
          <w:b w:val="1"/>
          <w:bCs w:val="1"/>
          <w:i w:val="1"/>
          <w:iCs w:val="1"/>
          <w:color w:val="auto"/>
        </w:rPr>
        <w:t>Our current and future relationships with third-party payors, health care professionals and customers in the United States and elsewhere may be subject, directly or indirectly, to applicable anti-kickback, fraud and abuse, false claims, physician payment transparency, health information privacy and security and other healthcare laws and regulations, which could expose us to significant penalties.</w:t>
      </w:r>
    </w:p>
    <w:p>
      <w:pPr>
        <w:spacing w:after="0" w:line="166"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health care professionals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sell, market and distribute any drugs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178" w:lineRule="exact"/>
        <w:rPr>
          <w:sz w:val="20"/>
          <w:szCs w:val="20"/>
          <w:color w:val="auto"/>
        </w:rPr>
      </w:pPr>
    </w:p>
    <w:p>
      <w:pPr>
        <w:ind w:left="660" w:right="60" w:hanging="328"/>
        <w:spacing w:after="0" w:line="268" w:lineRule="auto"/>
        <w:tabs>
          <w:tab w:leader="none" w:pos="6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1" w:lineRule="exact"/>
        <w:rPr>
          <w:rFonts w:ascii="Arial" w:cs="Arial" w:eastAsia="Arial" w:hAnsi="Arial"/>
          <w:sz w:val="17"/>
          <w:szCs w:val="17"/>
          <w:color w:val="auto"/>
        </w:rPr>
      </w:pPr>
    </w:p>
    <w:p>
      <w:pPr>
        <w:ind w:left="660" w:right="40" w:hanging="328"/>
        <w:spacing w:after="0" w:line="250"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federal civil and criminal false claims laws and civil monetary penalty laws, including the federal False Claims Act, which impose criminal and civil penalties, including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 w:lineRule="exact"/>
        <w:rPr>
          <w:rFonts w:ascii="Arial" w:cs="Arial" w:eastAsia="Arial" w:hAnsi="Arial"/>
          <w:sz w:val="18"/>
          <w:szCs w:val="18"/>
          <w:color w:val="auto"/>
        </w:rPr>
      </w:pPr>
    </w:p>
    <w:p>
      <w:pPr>
        <w:ind w:left="660" w:right="240" w:hanging="328"/>
        <w:spacing w:after="0" w:line="265" w:lineRule="auto"/>
        <w:tabs>
          <w:tab w:leader="none" w:pos="6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ind w:left="660" w:right="80" w:hanging="328"/>
        <w:spacing w:after="0" w:line="271" w:lineRule="auto"/>
        <w:tabs>
          <w:tab w:leader="none" w:pos="6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Patient Protection and Affordable Care Act, as amended by the Health Care and Education Reconciliation Act, or collectively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which is defined to include doctors, dentists,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spacing w:after="0" w:line="234" w:lineRule="auto"/>
        <w:rPr>
          <w:sz w:val="20"/>
          <w:szCs w:val="20"/>
          <w:color w:val="auto"/>
        </w:rPr>
      </w:pPr>
      <w:r>
        <w:rPr>
          <w:rFonts w:ascii="Arial" w:cs="Arial" w:eastAsia="Arial" w:hAnsi="Arial"/>
          <w:sz w:val="18"/>
          <w:szCs w:val="18"/>
          <w:color w:val="auto"/>
        </w:rPr>
        <w:t>optometrists, podiatrists and chiropractors, and teaching hospitals and applicable manufacturers to report annually to CMS ownership and investment interests held by the physicians and their immediate family members by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calendar year. All such reported information is publicly available; and</w:t>
      </w:r>
    </w:p>
    <w:p>
      <w:pPr>
        <w:spacing w:after="0" w:line="1" w:lineRule="exact"/>
        <w:rPr>
          <w:sz w:val="20"/>
          <w:szCs w:val="20"/>
          <w:color w:val="auto"/>
        </w:rPr>
      </w:pPr>
    </w:p>
    <w:p>
      <w:pPr>
        <w:ind w:left="660" w:right="40" w:hanging="328"/>
        <w:spacing w:after="0" w:line="252"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92"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and/or prescribe our drug candidates, if approved, may not comply with current or future statutes, regulations or case law involving applicable fraud and abuse or other healthcare laws and regulations. By way of example, some of our consulting arrangements with physicians may not meet all of the criteria of the personal services safe harbor under the federal Anti-Kickback Statute. Accordingly, they may not qualify for safe harbor protection from government prosecution. A business arrangement that does not substantially comply with a safe harbor, however, is not necessarily illegal under the Anti-Kickback Statute, but may be subject to additional scrutiny by the government.</w:t>
      </w:r>
    </w:p>
    <w:p>
      <w:pPr>
        <w:spacing w:after="0" w:line="16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imprisonment, exclusion from participation in government healthcare programs, such as Medicare and Medicaid, and the curtailment or restructuring of our operations, which could have a material adverse effect on our business. If any of the physicians or other healthcare providers or entities with whom we expect to do business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93"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w:t>
      </w:r>
    </w:p>
    <w:p>
      <w:pPr>
        <w:sectPr>
          <w:pgSz w:w="11900" w:h="16838" w:orient="portrait"/>
          <w:cols w:equalWidth="0" w:num="1">
            <w:col w:w="11400"/>
          </w:cols>
          <w:pgMar w:left="240" w:top="125" w:right="259" w:bottom="56" w:gutter="0" w:footer="0" w:header="0"/>
        </w:sectPr>
      </w:pPr>
    </w:p>
    <w:bookmarkStart w:id="35" w:name="page36"/>
    <w:bookmarkEnd w:id="35"/>
    <w:p>
      <w:pPr>
        <w:ind w:firstLine="441"/>
        <w:spacing w:after="0" w:line="25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Among the provisions of the Affordable Care Act of importance to our potential drug candidates are the following:</w:t>
      </w:r>
    </w:p>
    <w:p>
      <w:pPr>
        <w:spacing w:after="0" w:line="225" w:lineRule="exact"/>
        <w:rPr>
          <w:sz w:val="20"/>
          <w:szCs w:val="20"/>
          <w:color w:val="auto"/>
        </w:rPr>
      </w:pPr>
    </w:p>
    <w:p>
      <w:pPr>
        <w:ind w:left="660" w:right="160" w:hanging="328"/>
        <w:spacing w:after="0" w:line="258" w:lineRule="auto"/>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660" w:right="600" w:hanging="328"/>
        <w:spacing w:after="0" w:line="261" w:lineRule="auto"/>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which include new government investigative powers and enhanced penalties for non-compliance;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328"/>
        <w:spacing w:after="0" w:line="256"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ind w:left="660" w:right="720" w:hanging="328"/>
        <w:spacing w:after="0" w:line="250"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ind w:left="660" w:right="160" w:hanging="328"/>
        <w:spacing w:after="0" w:line="250"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thereby potentially increasing manufacturers’ Medicaid rebate liability;</w:t>
      </w: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9" w:lineRule="exact"/>
        <w:rPr>
          <w:rFonts w:ascii="Arial" w:cs="Arial" w:eastAsia="Arial" w:hAnsi="Arial"/>
          <w:sz w:val="18"/>
          <w:szCs w:val="18"/>
          <w:color w:val="auto"/>
        </w:rPr>
      </w:pPr>
    </w:p>
    <w:p>
      <w:pPr>
        <w:ind w:left="660" w:right="80" w:hanging="328"/>
        <w:spacing w:after="0" w:line="261"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4"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2024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We expect that the Affordable Care Act,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54"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Additionally, new litigation challenging the federal tax subsidies received by individuals to purchase health insurance under the Affordable Care Act is currently pending before the U.S. Supreme Court that could affect our business. Final regulations, guidance, and judicial orders are anticipated in the near future and we will continue to assess the Affordable Care Act’s impact on us as final regulations, guidance, and orders are issued.</w:t>
      </w:r>
    </w:p>
    <w:p>
      <w:pPr>
        <w:spacing w:after="0" w:line="166"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drug labeling and post-marketing testing and other requirements.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obtain five-year FDA regulatory exclusivity as an NCE.</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FDA provides periods of regulatory exclusivity following their approval of an NDA, which provide the holder of an approved NDA limited</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protection from new competition in the marketplace for the innovation represented by its approved drug. Five-year exclusivity precludes approval of 505(b)</w:t>
      </w:r>
    </w:p>
    <w:p>
      <w:pPr>
        <w:spacing w:after="0" w:line="32" w:lineRule="exact"/>
        <w:rPr>
          <w:sz w:val="20"/>
          <w:szCs w:val="20"/>
          <w:color w:val="auto"/>
        </w:rPr>
      </w:pPr>
    </w:p>
    <w:p>
      <w:pPr>
        <w:ind w:right="100" w:firstLine="8"/>
        <w:spacing w:after="0" w:line="252"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applications or ANDAs by delaying the submission or approval of such applications, while three-year exclusivity precludes the approval of such applications. We intend to seek new chemical entity, or NCE, status for A-101, and we may seek NCE status for other drug candidates as appropriate. Five years of exclusivity are available to NCEs following the approval of an NDA by the FDA. An NCE is a drug that contains no active moiety that has been approved by FDA in any other NDA. If a drug is not eligible for the NCE exclusivity, it may be eligible for three years of exclusivity. Three-year exclusivity is available to the holder of an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93"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There is a risk that the FDA may disagree with any claim that we may make that A-101 or any of our other drug candidates are NCEs and therefore entitled to five-year exclusivity.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36" w:name="page37"/>
    <w:bookmarkEnd w:id="36"/>
    <w:p>
      <w:pPr>
        <w:spacing w:after="0" w:line="32"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If we do obtain either five or three years of exclusivity, such exclusivity will not block all potential competitors from the market. Five-year exclusivity does not block complete 505(b)(1) NDAs and the scope of three-year exclusivity is limited to the conditions for use approved in the NDA.</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225"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spacing w:after="0" w:line="18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b w:val="1"/>
          <w:bCs w:val="1"/>
          <w:i w:val="1"/>
          <w:iCs w:val="1"/>
          <w:color w:val="auto"/>
        </w:rPr>
        <w:t>The inherent dangers in production and transportation of hydrogen peroxide could cause disruptions and could expose us to potentially significant losses, costs or liabilities.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operations are subject to significant hazards and risks inherent in the use and transport of hydrogen peroxide, the active ingredient of A-101 and A-</w:t>
      </w:r>
    </w:p>
    <w:p>
      <w:pPr>
        <w:spacing w:after="0" w:line="46" w:lineRule="exact"/>
        <w:rPr>
          <w:sz w:val="20"/>
          <w:szCs w:val="20"/>
          <w:color w:val="auto"/>
        </w:rPr>
      </w:pPr>
    </w:p>
    <w:p>
      <w:pPr>
        <w:ind w:right="20" w:firstLine="8"/>
        <w:spacing w:after="0" w:line="253"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Hydrogen peroxide can decompose in the presence of organic materials and is categorized as an oxidizer and is corrosive. Hydrogen peroxide should be stored in cool, dry, well-ventilated areas and away from any flammable or combustible substances. The hazards and risks associated with producing and transporting hydrogen peroxide include fires, explosions, third-party interference (including terrorism) and mechanical failure of equipment at our facilities or those of our supplier of hydrogen peroxide. The occurrence of any of these events could result in production and distribution difficulties and disruptions, personal injury or wrongful death claims and other damage to properties.</w:t>
      </w:r>
    </w:p>
    <w:p>
      <w:pPr>
        <w:spacing w:after="0" w:line="191"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b w:val="1"/>
          <w:bCs w:val="1"/>
          <w:i w:val="1"/>
          <w:iCs w:val="1"/>
          <w:color w:val="auto"/>
        </w:rPr>
        <w:t>We are subject to governmental economic sanctions and export and import controls that could impair our ability to compete in international markets or subject us to liability if we are not in compliance with applicable laws.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As a U.S. company, we are subject to U.S. import and export controls and economic sanctions laws and regulations, and we are required to import and export our drug candidates, technology and services in compliance with those laws and regulations, including the U.S. Export Administration Regulations, the International Traffic in Arms Regulations, and economic embargo and trade sanction programs administered by the Treasury Department’s Office of Foreign Assets Control.</w:t>
      </w:r>
    </w:p>
    <w:p>
      <w:pPr>
        <w:spacing w:after="0" w:line="18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drug candidates, if approved, are not exported or used by countries, governments and persons targeted by U.S. sanctions, such measures may be circumvented.</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Furthermore, if we export our drug candidates, if approved, the exports may require authorizations, including a license, a license exception or other appropriate government authorization. Complying with export control and sanctions regulations for a particular sale may be time-consuming and may result in the delay or loss of sales opportunities. Failure to comply with export control and sanctions regulations for a particular sale may expose us to government investigations and penalties.</w:t>
      </w:r>
    </w:p>
    <w:p>
      <w:pPr>
        <w:spacing w:after="0" w:line="187" w:lineRule="exact"/>
        <w:rPr>
          <w:sz w:val="20"/>
          <w:szCs w:val="20"/>
          <w:color w:val="auto"/>
        </w:rPr>
      </w:pPr>
    </w:p>
    <w:p>
      <w:pPr>
        <w:jc w:val="both"/>
        <w:ind w:right="240" w:firstLine="441"/>
        <w:spacing w:after="0" w:line="342" w:lineRule="auto"/>
        <w:rPr>
          <w:sz w:val="20"/>
          <w:szCs w:val="20"/>
          <w:color w:val="auto"/>
        </w:rPr>
      </w:pPr>
      <w:r>
        <w:rPr>
          <w:rFonts w:ascii="Arial" w:cs="Arial" w:eastAsia="Arial" w:hAnsi="Arial"/>
          <w:sz w:val="16"/>
          <w:szCs w:val="16"/>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140" w:firstLine="8"/>
        <w:spacing w:after="0" w:line="295" w:lineRule="auto"/>
        <w:tabs>
          <w:tab w:leader="none" w:pos="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As we commercialize our drug candidates and eventually commence international sales and business, we may engage with collaborators and third-party intermediaries to sell our products abroad and to</w:t>
      </w:r>
    </w:p>
    <w:p>
      <w:pPr>
        <w:sectPr>
          <w:pgSz w:w="11900" w:h="16870" w:orient="portrait"/>
          <w:cols w:equalWidth="0" w:num="1">
            <w:col w:w="11420"/>
          </w:cols>
          <w:pgMar w:left="240" w:top="125" w:right="239" w:bottom="0" w:gutter="0" w:footer="0" w:header="0"/>
        </w:sectPr>
      </w:pPr>
    </w:p>
    <w:bookmarkStart w:id="37" w:name="page38"/>
    <w:bookmarkEnd w:id="37"/>
    <w:p>
      <w:pPr>
        <w:spacing w:after="0" w:line="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6" w:lineRule="exact"/>
        <w:rPr>
          <w:sz w:val="20"/>
          <w:szCs w:val="20"/>
          <w:color w:val="auto"/>
        </w:rPr>
      </w:pPr>
    </w:p>
    <w:p>
      <w:pPr>
        <w:ind w:right="400" w:firstLine="441"/>
        <w:spacing w:after="0" w:line="257" w:lineRule="auto"/>
        <w:rPr>
          <w:sz w:val="20"/>
          <w:szCs w:val="20"/>
          <w:color w:val="auto"/>
        </w:rPr>
      </w:pPr>
      <w:r>
        <w:rPr>
          <w:rFonts w:ascii="Arial" w:cs="Arial" w:eastAsia="Arial" w:hAnsi="Arial"/>
          <w:sz w:val="18"/>
          <w:szCs w:val="18"/>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Dr. Neal Walker, our Chief Executive Officer, Christopher Powala, our Chief Operating Officer, Dr. Stuart Shanler, our Chief Scientific Officer, Frank Ruffo, our Chief Financial Officer, and Kamil Ali-Jackson, our Chief Legal Officer, as well as the other members of our scientific and clinical teams. Although we have entered into employment agreements with our executive officers, each of them may currently terminate their employment with us at any time. We do not maintain “key person” insurance for any of our executives or employees other than Dr. Walker and Mr. Powala.</w:t>
      </w:r>
    </w:p>
    <w:p>
      <w:pPr>
        <w:spacing w:after="0" w:line="188" w:lineRule="exact"/>
        <w:rPr>
          <w:sz w:val="20"/>
          <w:szCs w:val="20"/>
          <w:color w:val="auto"/>
        </w:rPr>
      </w:pPr>
    </w:p>
    <w:p>
      <w:pPr>
        <w:ind w:right="80" w:firstLine="441"/>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drug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As of September 30, 2015, we had 11 full-time employees. As our development progresses, we expect to experience significant growth in the number of our employees and the scope of our operations, particularly in the areas of drug development, regulatory affairs and, if any of our drug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2" w:lineRule="exact"/>
        <w:rPr>
          <w:sz w:val="20"/>
          <w:szCs w:val="20"/>
          <w:color w:val="auto"/>
        </w:rPr>
      </w:pPr>
    </w:p>
    <w:p>
      <w:pPr>
        <w:ind w:right="680" w:firstLine="441"/>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47"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and the curtailment or restructuring of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develop or be sustained.</w:t>
      </w:r>
    </w:p>
    <w:p>
      <w:pPr>
        <w:spacing w:after="0" w:line="225"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Prior to our initial public offering in October 2015, there was no public market for our common stock. Although our common stock is listed on The NASDAQ Global Select Market, we cannot assure you that an active trading market for our shares will continue to develop or be sustained. If an active market for our common stock does not continue to develop or is not sustained, it may be difficult for investors in our common stock to sell shares without depressing the market price for the shares or to sell the shares at all.</w:t>
      </w:r>
    </w:p>
    <w:p>
      <w:pPr>
        <w:sectPr>
          <w:pgSz w:w="11900" w:h="16845" w:orient="portrait"/>
          <w:cols w:equalWidth="0" w:num="1">
            <w:col w:w="11400"/>
          </w:cols>
          <w:pgMar w:left="240" w:top="125" w:right="259" w:bottom="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w:t>
      </w:r>
    </w:p>
    <w:p>
      <w:pPr>
        <w:spacing w:after="0" w:line="225"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Since our initial public offering, 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87" w:lineRule="exact"/>
        <w:rPr>
          <w:sz w:val="20"/>
          <w:szCs w:val="20"/>
          <w:color w:val="auto"/>
        </w:rPr>
      </w:pPr>
    </w:p>
    <w:p>
      <w:pPr>
        <w:ind w:left="660" w:right="220" w:hanging="328"/>
        <w:spacing w:after="0" w:line="277" w:lineRule="auto"/>
        <w:tabs>
          <w:tab w:leader="none" w:pos="6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commencement, enrollment or results of the planned clinical trials of A-101 in patients with SK or any future clinical trials we may conduct, or changes in the development status of our drug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56"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 in our regulatory filings for A-101 for the treatment of SK or any other drug candidate and any adverse development or perceived adverse development with respect to the applicable regulatory authority’s review of such filings, including without limitation the FDA’s issuance of a “refusal to file” letter or a request for additional information;</w:t>
      </w: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drug candidates;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A-101 or any other drug candidate;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biopharmaceutical industry;</w:t>
      </w:r>
    </w:p>
    <w:p>
      <w:pPr>
        <w:spacing w:after="0" w:line="20" w:lineRule="exact"/>
        <w:rPr>
          <w:rFonts w:ascii="Arial" w:cs="Arial" w:eastAsia="Arial" w:hAnsi="Arial"/>
          <w:sz w:val="17"/>
          <w:szCs w:val="17"/>
          <w:color w:val="auto"/>
        </w:rPr>
      </w:pPr>
    </w:p>
    <w:p>
      <w:pPr>
        <w:ind w:left="660" w:right="320" w:hanging="328"/>
        <w:spacing w:after="0" w:line="250"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1"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The trading market for our common stock is influenced by the research and reports that equity research analysts publish about us or our business, our market and our competitors. As a newly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Our certificate of incorporation authorizes us to issue up to 100,000,000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equity incentive plan or otherwise. Any such issuance could result in substantial dilution to our existing stockholders and cause the trading price of our common stock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70"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ectPr>
          <w:pgSz w:w="11900" w:h="16838" w:orient="portrait"/>
          <w:cols w:equalWidth="0" w:num="1">
            <w:col w:w="11420"/>
          </w:cols>
          <w:pgMar w:left="240" w:top="341" w:right="239" w:bottom="0" w:gutter="0" w:footer="0" w:header="0"/>
        </w:sectPr>
      </w:pPr>
    </w:p>
    <w:bookmarkStart w:id="39" w:name="page40"/>
    <w:bookmarkEnd w:id="39"/>
    <w:p>
      <w:pPr>
        <w:jc w:val="both"/>
        <w:ind w:right="60" w:firstLine="441"/>
        <w:spacing w:after="0" w:line="259" w:lineRule="auto"/>
        <w:rPr>
          <w:sz w:val="20"/>
          <w:szCs w:val="20"/>
          <w:color w:val="auto"/>
        </w:rPr>
      </w:pPr>
      <w:r>
        <w:rPr>
          <w:rFonts w:ascii="Arial" w:cs="Arial" w:eastAsia="Arial" w:hAnsi="Arial"/>
          <w:sz w:val="18"/>
          <w:szCs w:val="18"/>
          <w:color w:val="auto"/>
        </w:rPr>
        <w:t>Upon the closing of our initial public offering, the 5,750,000 shares sold in the offering became freely tradable and the remaining outstanding shares of common stock will be available for sale in the public market in April 2016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In addition, we have filed a registration statement on Form S-8 under the Securities Act registering the issuance of approximately 3,900,000 shares of common stock subject to options or other equity awards issued or reserved for future issuance under our equity incentive plans. Shares registered under this registration statement on Form S-8 are available for sale in the public market subject to vesting arrangements and exercise of options, the lock-up agreements described above and the restrictions of Rule 144 under the Securities Act in the case of our affiliates.</w:t>
      </w:r>
    </w:p>
    <w:p>
      <w:pPr>
        <w:spacing w:after="0" w:line="17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Additionally, the holders of an aggregate of 11,677,076 shares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71"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some or all of our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one of our three classes of directors is elected each year;</w:t>
      </w:r>
    </w:p>
    <w:p>
      <w:pPr>
        <w:spacing w:after="0" w:line="23" w:lineRule="exact"/>
        <w:rPr>
          <w:rFonts w:ascii="Arial" w:cs="Arial" w:eastAsia="Arial" w:hAnsi="Arial"/>
          <w:sz w:val="18"/>
          <w:szCs w:val="18"/>
          <w:color w:val="auto"/>
        </w:rPr>
      </w:pPr>
    </w:p>
    <w:p>
      <w:pPr>
        <w:ind w:left="620" w:hanging="288"/>
        <w:spacing w:after="0" w:line="197"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are not entitled to remove directors other than by a 66</w:t>
      </w:r>
      <w:r>
        <w:rPr>
          <w:rFonts w:ascii="Arial" w:cs="Arial" w:eastAsia="Arial" w:hAnsi="Arial"/>
          <w:sz w:val="23"/>
          <w:szCs w:val="23"/>
          <w:color w:val="auto"/>
          <w:vertAlign w:val="superscript"/>
        </w:rPr>
        <w:t>2</w:t>
      </w:r>
      <w:r>
        <w:rPr>
          <w:rFonts w:ascii="Arial" w:cs="Arial" w:eastAsia="Arial" w:hAnsi="Arial"/>
          <w:sz w:val="18"/>
          <w:szCs w:val="18"/>
          <w:color w:val="auto"/>
        </w:rPr>
        <w:t>/3% vote and only for cause;</w:t>
      </w: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are not permitted to take actions by written consent;</w:t>
      </w:r>
    </w:p>
    <w:p>
      <w:pPr>
        <w:spacing w:after="0" w:line="7"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11"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3"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Our executive officers, directors and current beneficial owners of 5% or more of our common stock and their respective affiliates beneficially own a majority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 The interests of this group of stockholders may not coincide with our interests or the interests of other stockholders.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70"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181" w:lineRule="exact"/>
        <w:rPr>
          <w:sz w:val="20"/>
          <w:szCs w:val="20"/>
          <w:color w:val="auto"/>
        </w:rPr>
      </w:pPr>
    </w:p>
    <w:p>
      <w:pPr>
        <w:ind w:left="660" w:right="280" w:hanging="328"/>
        <w:spacing w:after="0" w:line="291" w:lineRule="auto"/>
        <w:tabs>
          <w:tab w:leader="none" w:pos="6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report;</w:t>
      </w:r>
    </w:p>
    <w:p>
      <w:pPr>
        <w:ind w:left="620" w:hanging="288"/>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9" w:lineRule="exact"/>
        <w:rPr>
          <w:rFonts w:ascii="Arial" w:cs="Arial" w:eastAsia="Arial" w:hAnsi="Arial"/>
          <w:sz w:val="18"/>
          <w:szCs w:val="18"/>
          <w:color w:val="auto"/>
        </w:rPr>
      </w:pPr>
    </w:p>
    <w:p>
      <w:pPr>
        <w:ind w:left="660" w:right="180" w:hanging="328"/>
        <w:spacing w:after="0" w:line="281" w:lineRule="auto"/>
        <w:tabs>
          <w:tab w:leader="none" w:pos="6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6"/>
          <w:szCs w:val="16"/>
          <w:color w:val="auto"/>
        </w:rPr>
      </w:pPr>
    </w:p>
    <w:p>
      <w:pPr>
        <w:ind w:left="620" w:hanging="28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20" w:lineRule="exact"/>
        <w:rPr>
          <w:rFonts w:ascii="Arial" w:cs="Arial" w:eastAsia="Arial" w:hAnsi="Arial"/>
          <w:sz w:val="17"/>
          <w:szCs w:val="17"/>
          <w:color w:val="auto"/>
        </w:rPr>
      </w:pPr>
    </w:p>
    <w:p>
      <w:pPr>
        <w:ind w:left="660" w:right="220" w:hanging="328"/>
        <w:spacing w:after="0" w:line="261"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84"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2020, (2) the last day of the fiscal year in which we have total annual gross revenue of at least $1.0 billion, (3) the last day of the fiscal year in which we are deemed to be a large accelerated filer, which means the market value of our common stock that is held by non-affiliates exceeds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$700 million as of the prior June 30th and (4) any date on which we have issued more than $1.0 billion in non-convertible debt during the prior three-year period.</w:t>
      </w:r>
    </w:p>
    <w:p>
      <w:pPr>
        <w:sectPr>
          <w:pgSz w:w="11900" w:h="16838" w:orient="portrait"/>
          <w:cols w:equalWidth="0" w:num="1">
            <w:col w:w="11380"/>
          </w:cols>
          <w:pgMar w:left="240" w:top="125" w:right="279" w:bottom="0" w:gutter="0" w:footer="0" w:header="0"/>
        </w:sectPr>
      </w:pPr>
    </w:p>
    <w:bookmarkStart w:id="40" w:name="page41"/>
    <w:bookmarkEnd w:id="40"/>
    <w:p>
      <w:pPr>
        <w:spacing w:after="0" w:line="69"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7"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170"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the stock market on which our common stock is listed. The Sarbanes-Oxley Act requires, among other things, that we maintain effective disclosure controls and procedures and internal control over financial reporting. Commencing with our fiscal year ending December 31, 2016, we must perform system and process evaluation and testing of our internal control over financial reporting to allow management to report on the effectiveness of our internal control over financial reporting in our</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initial public offering, we had never been required to test our internal control within a specified period, and, as a result, we may experience difficulty in meeting these reporting requirements in a timely manner.</w:t>
      </w:r>
    </w:p>
    <w:p>
      <w:pPr>
        <w:spacing w:after="0" w:line="190"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statements. If that were to happen, the market price of our stock could decline and we could be subject to sanctions or investigations by the stock exchange on which our common stock is listed, the SEC, or other regulatory authorities.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260"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As of December 31, 2014, we had federal and state net operating loss carryforwards of $13.8 million and $13.8 million, respectively, and federal research and development tax credit carryforwards of $0.2 million, each of which if not utilized will begin to expire in 2032. These net operating loss and tax credit carryforwards could expire unused and be unavailable to offset future income tax liabilities.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operating results by effectively increasing our future tax obligations.</w:t>
      </w:r>
    </w:p>
    <w:p>
      <w:pPr>
        <w:spacing w:after="0" w:line="17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proceeds from our recent initial public offering and may invest or spend the proceeds in ways with which you do not agree and in ways that may not increase the value of your investment.</w:t>
      </w:r>
    </w:p>
    <w:p>
      <w:pPr>
        <w:spacing w:after="0" w:line="170"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We have broad discretion over the use of proceeds from our recent initial public offering. You may not agree with our decisions, and our use of the proceeds may not yield any return on your investment. We expect to use the net proceeds from the offering to fund our research and development expenses and for working capital and general corporate purposes. Our failure to apply the net proceeds effectively could compromise our ability to pursue our strategy and we might not be able to yield a significant return, if any, on our investment of these net proceeds. Stockholders will not have the opportunity to influence our decisions on how to use the net proceeds from the initial public offering.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do not anticipate paying any cash dividends on our common stock in the foreseeable future and our stock may not appreciate in value.</w:t>
      </w:r>
    </w:p>
    <w:p>
      <w:pPr>
        <w:spacing w:after="0" w:line="24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There is no guarantee that shares of our common stock will appreciate in value or that the price at which our stockholders have purchased their shares will be able to be maintained.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225"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As a newly public company listed in the United States, we have begun, and will continue, particularly after we cease to be an “emerging growth company,” to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2"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w:t>
      </w:r>
    </w:p>
    <w:p>
      <w:pPr>
        <w:sectPr>
          <w:pgSz w:w="11900" w:h="16908" w:orient="portrait"/>
          <w:cols w:equalWidth="0" w:num="1">
            <w:col w:w="11400"/>
          </w:cols>
          <w:pgMar w:left="240" w:top="125" w:right="259" w:bottom="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impact of these events could also make it more difficult for us to attract and retain qualified persons to serve on our board of directors, on committees of our board of directors or as members of senior management.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Sales of Unregistered Securities</w:t>
      </w:r>
    </w:p>
    <w:p>
      <w:pPr>
        <w:spacing w:after="0" w:line="225" w:lineRule="exact"/>
        <w:rPr>
          <w:sz w:val="20"/>
          <w:szCs w:val="20"/>
          <w:color w:val="auto"/>
        </w:rPr>
      </w:pPr>
    </w:p>
    <w:p>
      <w:pPr>
        <w:jc w:val="both"/>
        <w:ind w:right="300" w:firstLine="441"/>
        <w:spacing w:after="0" w:line="259" w:lineRule="auto"/>
        <w:rPr>
          <w:sz w:val="20"/>
          <w:szCs w:val="20"/>
          <w:color w:val="auto"/>
        </w:rPr>
      </w:pPr>
      <w:r>
        <w:rPr>
          <w:rFonts w:ascii="Arial" w:cs="Arial" w:eastAsia="Arial" w:hAnsi="Arial"/>
          <w:sz w:val="18"/>
          <w:szCs w:val="18"/>
          <w:color w:val="auto"/>
        </w:rPr>
        <w:t>From January 1, 2015 through September 30, 2015, we granted options to purchase an aggregate of 640,262 shares of our common stock under our 2012 equity compensation plan with an exercise price of $10.66 per share. The offers, sales and issuances of these options were exempt from registration under Rule 701 promulgated under the Securities Act, in that the transactions were under a written compensatory benefit plan as provided under Rule 701. The recipients of such securities were our employees, directors or consultants.</w:t>
      </w:r>
    </w:p>
    <w:p>
      <w:pPr>
        <w:spacing w:after="0" w:line="18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August 2015, we issued an aggregate of 12,944,984 shares of our Series C convertible preferred stock to 28 investors at a purchase price of $3.09 per share, for aggregate consideration of $40.0 million. The offers, sales and issuances of these securities were exempt from registration under Section 4(a)(2) of the Securities Act and Regulation D promulgated under the Securities Act. Each of the purchasers represented to us that they acquired the securities for investment only and not with a view to or for sale in connection with any distribution thereof and appropriate legends were affixed to the securities issued in these transactions. The purchasers also represented to us that they were accredited investors as defined in Rule 501 promulgated under the Securities Act.</w:t>
      </w:r>
    </w:p>
    <w:p>
      <w:pPr>
        <w:spacing w:after="0" w:line="158"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On October 13, 2015, upon the closing of our initial public offering, all 40,286,041 shares of our then-outstanding convertible preferred stock were automatically converted into 11,677,076 shares of common stock. The issuance of such shares of common stock was exempt from the registration under Section 3(a)(9) of the Securities Act.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 Use of Proceeds from Public Offering of Common Stock</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On October 6, 2015, our Registration Statement on Form S-1, as amended (File No. 333-206437) was declared effective in connection with our initial public offering, pursuant to which we sold 5,750,000 shares of our common stock, including the full exercise of the underwriters’ option to purchase additional shares, at a price to the public of $11.00 per share. The offering closed on October 13, 2015, and, as a result, we received net proceeds of $56.6 million (after underwriters’ discounts and commissions of $4.4 million and additional offering related costs of $2.2 million). The joint managing underwriters of the offering were Jefferies LLC and Citigroup Global Markets Inc.</w:t>
      </w:r>
    </w:p>
    <w:p>
      <w:pPr>
        <w:spacing w:after="0" w:line="188"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No expenses incurred by us in connection with our initial public offering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166"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from that described in the final prospectus filed by us with the Securities and Exchange Commission on October 8, 2015 pursuant to Rule 424(b)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jc w:val="right"/>
              <w:ind w:right="656"/>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Amended and Restated Certificate of Incorporation of the Registrant (incorporated herein by reference to Exhibit 3.1 to the Registrant’s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Current Report on Form 8-K (File No. 001-37581), filed with the Commission on October 13, 2015).</w:t>
            </w:r>
          </w:p>
        </w:tc>
        <w:tc>
          <w:tcPr>
            <w:tcW w:w="0" w:type="dxa"/>
            <w:vAlign w:val="bottom"/>
          </w:tcPr>
          <w:p>
            <w:pPr>
              <w:spacing w:after="0"/>
              <w:rPr>
                <w:sz w:val="1"/>
                <w:szCs w:val="1"/>
                <w:color w:val="auto"/>
              </w:rPr>
            </w:pPr>
          </w:p>
        </w:tc>
      </w:tr>
      <w:tr>
        <w:trPr>
          <w:trHeight w:val="418"/>
        </w:trPr>
        <w:tc>
          <w:tcPr>
            <w:tcW w:w="1160" w:type="dxa"/>
            <w:vAlign w:val="bottom"/>
          </w:tcPr>
          <w:p>
            <w:pPr>
              <w:jc w:val="right"/>
              <w:ind w:right="656"/>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Amended and Restated Bylaws of the Registrant (incorporated herein by reference to Exhibit 3.2 to the Registrant’s Current Report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8-K (File No. 001-37581), filed with the Commission on October 13, 2015).</w:t>
            </w:r>
          </w:p>
        </w:tc>
        <w:tc>
          <w:tcPr>
            <w:tcW w:w="0" w:type="dxa"/>
            <w:vAlign w:val="bottom"/>
          </w:tcPr>
          <w:p>
            <w:pPr>
              <w:spacing w:after="0"/>
              <w:rPr>
                <w:sz w:val="1"/>
                <w:szCs w:val="1"/>
                <w:color w:val="auto"/>
              </w:rPr>
            </w:pPr>
          </w:p>
        </w:tc>
      </w:tr>
      <w:tr>
        <w:trPr>
          <w:trHeight w:val="418"/>
        </w:trPr>
        <w:tc>
          <w:tcPr>
            <w:tcW w:w="1160" w:type="dxa"/>
            <w:vAlign w:val="bottom"/>
          </w:tcPr>
          <w:p>
            <w:pPr>
              <w:jc w:val="right"/>
              <w:ind w:right="656"/>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Specimen stock certificate evidencing shares of Common Stock (incorporated herein by reference to Exhibit 4.1 to Amendment No. 2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the Registrant’s Registration Statement on Form S-1 (File No. 333-206437), filed with the Commission on September 25, 2015).</w:t>
            </w:r>
          </w:p>
        </w:tc>
        <w:tc>
          <w:tcPr>
            <w:tcW w:w="0" w:type="dxa"/>
            <w:vAlign w:val="bottom"/>
          </w:tcPr>
          <w:p>
            <w:pPr>
              <w:spacing w:after="0"/>
              <w:rPr>
                <w:sz w:val="1"/>
                <w:szCs w:val="1"/>
                <w:color w:val="auto"/>
              </w:rPr>
            </w:pPr>
          </w:p>
        </w:tc>
      </w:tr>
      <w:tr>
        <w:trPr>
          <w:trHeight w:val="432"/>
        </w:trPr>
        <w:tc>
          <w:tcPr>
            <w:tcW w:w="1160" w:type="dxa"/>
            <w:vAlign w:val="bottom"/>
          </w:tcPr>
          <w:p>
            <w:pPr>
              <w:jc w:val="right"/>
              <w:ind w:right="576"/>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Amended and Restated Employment Agreement, by and between the Registrant and Neal Walker, dated as of October 5, 2015.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Employment Agreement, by and between the Registrant and Stuart Shanler, dated as of October 4, 2015.</w:t>
            </w:r>
          </w:p>
        </w:tc>
        <w:tc>
          <w:tcPr>
            <w:tcW w:w="0" w:type="dxa"/>
            <w:vAlign w:val="bottom"/>
          </w:tcPr>
          <w:p>
            <w:pPr>
              <w:spacing w:after="0"/>
              <w:rPr>
                <w:sz w:val="1"/>
                <w:szCs w:val="1"/>
                <w:color w:val="auto"/>
              </w:rPr>
            </w:pPr>
          </w:p>
        </w:tc>
      </w:tr>
      <w:tr>
        <w:trPr>
          <w:trHeight w:val="432"/>
        </w:trPr>
        <w:tc>
          <w:tcPr>
            <w:tcW w:w="1160" w:type="dxa"/>
            <w:vAlign w:val="bottom"/>
          </w:tcPr>
          <w:p>
            <w:pPr>
              <w:ind w:lef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Employment Agreement, by and between the Registrant and Christopher Powala, dated as of September 17,</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Principal Executive Officer under Section 302 of the Sarbanes-Oxley Act.</w:t>
            </w:r>
          </w:p>
        </w:tc>
        <w:tc>
          <w:tcPr>
            <w:tcW w:w="0" w:type="dxa"/>
            <w:vAlign w:val="bottom"/>
          </w:tcPr>
          <w:p>
            <w:pPr>
              <w:spacing w:after="0"/>
              <w:rPr>
                <w:sz w:val="1"/>
                <w:szCs w:val="1"/>
                <w:color w:val="auto"/>
              </w:rPr>
            </w:pPr>
          </w:p>
        </w:tc>
      </w:tr>
      <w:tr>
        <w:trPr>
          <w:trHeight w:val="432"/>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Principal Financial Officer under Section 302 of the Sarbanes-Oxley Act.</w:t>
            </w:r>
          </w:p>
        </w:tc>
        <w:tc>
          <w:tcPr>
            <w:tcW w:w="0" w:type="dxa"/>
            <w:vAlign w:val="bottom"/>
          </w:tcPr>
          <w:p>
            <w:pPr>
              <w:spacing w:after="0"/>
              <w:rPr>
                <w:sz w:val="1"/>
                <w:szCs w:val="1"/>
                <w:color w:val="auto"/>
              </w:rPr>
            </w:pPr>
          </w:p>
        </w:tc>
      </w:tr>
      <w:tr>
        <w:trPr>
          <w:trHeight w:val="432"/>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Certifications of Principal Executive Officer and Principal Financial Officer under Section 906 of the Sarbanes-Oxley 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-1819275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-1819275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3"/>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40" w:right="80" w:hanging="433"/>
        <w:spacing w:after="0" w:line="255" w:lineRule="auto"/>
        <w:tabs>
          <w:tab w:leader="none" w:pos="4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80" w:type="dxa"/>
            <w:vAlign w:val="bottom"/>
            <w:gridSpan w:val="3"/>
          </w:tcPr>
          <w:p>
            <w:pPr>
              <w:ind w:left="2180"/>
              <w:spacing w:after="0"/>
              <w:rPr>
                <w:sz w:val="20"/>
                <w:szCs w:val="20"/>
                <w:color w:val="auto"/>
              </w:rPr>
            </w:pPr>
            <w:r>
              <w:rPr>
                <w:rFonts w:ascii="Arial" w:cs="Arial" w:eastAsia="Arial" w:hAnsi="Arial"/>
                <w:sz w:val="18"/>
                <w:szCs w:val="18"/>
                <w:color w:val="auto"/>
              </w:rPr>
              <w:t>ACLARIS THERAPEUTICS,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gridSpan w:val="5"/>
          </w:tcPr>
          <w:p>
            <w:pPr>
              <w:spacing w:after="0"/>
              <w:rPr>
                <w:sz w:val="20"/>
                <w:szCs w:val="20"/>
                <w:color w:val="auto"/>
              </w:rPr>
            </w:pPr>
            <w:r>
              <w:rPr>
                <w:rFonts w:ascii="Arial" w:cs="Arial" w:eastAsia="Arial" w:hAnsi="Arial"/>
                <w:sz w:val="18"/>
                <w:szCs w:val="18"/>
                <w:color w:val="auto"/>
              </w:rPr>
              <w:t>Date: November 18, 2015</w:t>
            </w:r>
          </w:p>
        </w:tc>
        <w:tc>
          <w:tcPr>
            <w:tcW w:w="2520" w:type="dxa"/>
            <w:vAlign w:val="bottom"/>
          </w:tcPr>
          <w:p>
            <w:pPr>
              <w:ind w:left="21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Walker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Neal Walker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(On behalf of the Registrant)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540" w:type="dxa"/>
            <w:vAlign w:val="bottom"/>
            <w:gridSpan w:val="5"/>
          </w:tcPr>
          <w:p>
            <w:pPr>
              <w:spacing w:after="0"/>
              <w:rPr>
                <w:sz w:val="20"/>
                <w:szCs w:val="20"/>
                <w:color w:val="auto"/>
              </w:rPr>
            </w:pPr>
            <w:r>
              <w:rPr>
                <w:rFonts w:ascii="Arial" w:cs="Arial" w:eastAsia="Arial" w:hAnsi="Arial"/>
                <w:sz w:val="18"/>
                <w:szCs w:val="18"/>
                <w:color w:val="auto"/>
              </w:rPr>
              <w:t>Date: November 18, 2015</w:t>
            </w:r>
          </w:p>
        </w:tc>
        <w:tc>
          <w:tcPr>
            <w:tcW w:w="2520" w:type="dxa"/>
            <w:vAlign w:val="bottom"/>
          </w:tcPr>
          <w:p>
            <w:pPr>
              <w:ind w:left="218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Ruffo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Frank Ruffo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80" w:type="dxa"/>
            <w:vAlign w:val="bottom"/>
            <w:gridSpan w:val="3"/>
          </w:tcPr>
          <w:p>
            <w:pPr>
              <w:jc w:val="center"/>
              <w:ind w:right="345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jc w:val="right"/>
              <w:ind w:right="65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w w:val="92"/>
              </w:rPr>
              <w:t>Amended and Restated Certificate of Incorporation of the Registrant (incorporated herein by reference to Exhibit 3.1 to the Registrant’s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rPr>
              <w:t>Current Report on Form 8-K (File No. 001-37581), filed with the Commission on October 13,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jc w:val="right"/>
              <w:ind w:right="65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w w:val="92"/>
              </w:rPr>
              <w:t>Amended and Restated Bylaws of the Registrant (incorporated herein by reference to Exhibit 3.2 to the Registrant’s Current Report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rPr>
              <w:t>Form 8-K (File No. 001-37581), filed with the Commission on October 13,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jc w:val="right"/>
              <w:ind w:right="65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w w:val="91"/>
              </w:rPr>
              <w:t>Specimen stock certificate evidencing shares of Common Stock (incorporated herein by reference to Exhibit 4.1 to Amendment No. 2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w w:val="97"/>
              </w:rPr>
              <w:t>the Registrant’s Registration Statement on Form S-1 (File No. 333-206437), filed with the Commission on September 25, 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jc w:val="right"/>
              <w:ind w:right="57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w w:val="97"/>
              </w:rPr>
              <w:t>Amended and Restated Employment Agreement, by and between the Registrant and Neal Walker, dated as of October 5,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jc w:val="right"/>
              <w:ind w:right="57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rPr>
              <w:t>Employment Agreement, by and between the Registrant and Stuart Shanler, dated as of October 4,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jc w:val="right"/>
              <w:ind w:right="57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rPr>
              <w:t>Employment Agreement, by and between the Registrant and Christopher Powala, dated as of September 17,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jc w:val="right"/>
              <w:ind w:right="57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5"/>
          </w:tcPr>
          <w:p>
            <w:pPr>
              <w:ind w:left="120"/>
              <w:spacing w:after="0"/>
              <w:rPr>
                <w:sz w:val="20"/>
                <w:szCs w:val="20"/>
                <w:color w:val="auto"/>
              </w:rPr>
            </w:pPr>
            <w:r>
              <w:rPr>
                <w:rFonts w:ascii="Arial" w:cs="Arial" w:eastAsia="Arial" w:hAnsi="Arial"/>
                <w:sz w:val="18"/>
                <w:szCs w:val="18"/>
                <w:color w:val="auto"/>
              </w:rPr>
              <w:t>Certification of Principal Executive Officer under Section 302 of the Sarbanes-Oxley Act.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-3328670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-3328670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3" w:name="page44"/>
    <w:bookmarkEnd w:id="43"/>
    <w:tbl>
      <w:tblPr>
        <w:tblLayout w:type="fixed"/>
        <w:tblInd w:w="93"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280" w:type="dxa"/>
            <w:vAlign w:val="bottom"/>
          </w:tcPr>
          <w:p>
            <w:pPr>
              <w:ind w:left="460"/>
              <w:spacing w:after="0"/>
              <w:rPr>
                <w:sz w:val="20"/>
                <w:szCs w:val="20"/>
                <w:color w:val="auto"/>
              </w:rPr>
            </w:pPr>
            <w:r>
              <w:rPr>
                <w:rFonts w:ascii="Arial" w:cs="Arial" w:eastAsia="Arial" w:hAnsi="Arial"/>
                <w:sz w:val="18"/>
                <w:szCs w:val="18"/>
                <w:color w:val="auto"/>
              </w:rPr>
              <w:t>Certification of Principal Financial Officer under Section 302 of the Sarbanes-Oxley Act.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9280" w:type="dxa"/>
            <w:vAlign w:val="bottom"/>
          </w:tcPr>
          <w:p>
            <w:pPr>
              <w:ind w:left="460"/>
              <w:spacing w:after="0"/>
              <w:rPr>
                <w:sz w:val="20"/>
                <w:szCs w:val="20"/>
                <w:color w:val="auto"/>
              </w:rPr>
            </w:pPr>
            <w:r>
              <w:rPr>
                <w:rFonts w:ascii="Arial" w:cs="Arial" w:eastAsia="Arial" w:hAnsi="Arial"/>
                <w:sz w:val="18"/>
                <w:szCs w:val="18"/>
                <w:color w:val="auto"/>
                <w:w w:val="92"/>
              </w:rPr>
              <w:t>Certifications of Principal Executive Officer and Principal Financial Officer under Section 906 of the Sarbanes-Oxley 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33" w:hanging="433"/>
        <w:spacing w:after="0"/>
        <w:tabs>
          <w:tab w:leader="none" w:pos="4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33" w:hanging="433"/>
        <w:spacing w:after="0" w:line="255" w:lineRule="auto"/>
        <w:tabs>
          <w:tab w:leader="none" w:pos="4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90"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3"/>
          </w:cols>
          <w:pgMar w:left="247" w:top="125"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This AMENDED AND RESTATED EMPLOYMENT AGREEMENT (the “Employment Agreement”), effective as of, and contingent upon, the effectiveness of the registration statement for the Employer’s initial public offering (“Agreement Effective Date”), is made by and between Aclaris Therapeutics, Inc., a corporation organized under the laws of the State of Delaware (“Employer”) and Neal Walker (“Executive”).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Executive desires to continue to provide services to Employer and Employer desires to continue to retain the services of Executive;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Executive entered into an employment agreement with Employer dated August 30, 2012 (the “Prior Agreement”);</w:t>
      </w:r>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WHEREAS, in consideration of Executive’s employment by Employer for more than three (3) years prior to the Agreement Effective Date, Employer and Executive desire to amend and restate the Prior Agreement, which is hereby superseded by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Employer and Executive desire to formalize the terms and conditions of Executive’s employment with Employer; and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this Agreement has been duly approved and its execution has been duly authorized by the Compensation Committee of Employer’s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Employer and Executive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w:t>
      </w:r>
    </w:p>
    <w:p>
      <w:pPr>
        <w:spacing w:after="0" w:line="207"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1.1 General</w:t>
      </w:r>
      <w:r>
        <w:rPr>
          <w:rFonts w:ascii="Arial" w:cs="Arial" w:eastAsia="Arial" w:hAnsi="Arial"/>
          <w:sz w:val="18"/>
          <w:szCs w:val="18"/>
          <w:color w:val="auto"/>
        </w:rPr>
        <w:t>. Employer hereby agrees to continue to employ Executive in the capacity of Chief Executive Officer and President.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accepts such continued employment upon the terms and subject to the conditions herein contained.</w:t>
      </w:r>
    </w:p>
    <w:p>
      <w:pPr>
        <w:spacing w:after="0" w:line="16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1.2 Authority and Duties</w:t>
      </w:r>
      <w:r>
        <w:rPr>
          <w:rFonts w:ascii="Arial" w:cs="Arial" w:eastAsia="Arial" w:hAnsi="Arial"/>
          <w:sz w:val="18"/>
          <w:szCs w:val="18"/>
          <w:color w:val="auto"/>
        </w:rPr>
        <w:t>. Executive shall have full responsibility as the Chief Executive Officer (“CEO”) and President of Employer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normally accorded to such position. Executive agrees to perform such duties and responsibilities commensurate with the positions of CEO and President as may reasonably be determined by the Board of Directors of Employer (the “Board”).</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Reporting</w:t>
      </w:r>
      <w:r>
        <w:rPr>
          <w:rFonts w:ascii="Arial" w:cs="Arial" w:eastAsia="Arial" w:hAnsi="Arial"/>
          <w:sz w:val="16"/>
          <w:szCs w:val="16"/>
          <w:color w:val="auto"/>
        </w:rPr>
        <w:t>. During Executive’s employment with Employer, Executive will report directly to, and take direction from, the Board.</w:t>
      </w:r>
    </w:p>
    <w:p>
      <w:pPr>
        <w:spacing w:after="0" w:line="225" w:lineRule="exact"/>
        <w:rPr>
          <w:sz w:val="20"/>
          <w:szCs w:val="20"/>
          <w:color w:val="auto"/>
        </w:rPr>
      </w:pPr>
    </w:p>
    <w:p>
      <w:pPr>
        <w:ind w:right="340" w:firstLine="1297"/>
        <w:spacing w:after="0" w:line="281" w:lineRule="auto"/>
        <w:rPr>
          <w:sz w:val="20"/>
          <w:szCs w:val="20"/>
          <w:color w:val="auto"/>
        </w:rPr>
      </w:pPr>
      <w:r>
        <w:rPr>
          <w:rFonts w:ascii="Arial" w:cs="Arial" w:eastAsia="Arial" w:hAnsi="Arial"/>
          <w:sz w:val="17"/>
          <w:szCs w:val="17"/>
          <w:b w:val="1"/>
          <w:bCs w:val="1"/>
          <w:color w:val="auto"/>
        </w:rPr>
        <w:t>1.2.2 Time to Be Devoted to Employment</w:t>
      </w:r>
      <w:r>
        <w:rPr>
          <w:rFonts w:ascii="Arial" w:cs="Arial" w:eastAsia="Arial" w:hAnsi="Arial"/>
          <w:sz w:val="17"/>
          <w:szCs w:val="17"/>
          <w:color w:val="auto"/>
        </w:rPr>
        <w:t>. During Executive’s Employment with Employer, Executive shall diligently devote his</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business time, attention and energies to the business of Employer will not, while employed by Employer,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color w:val="auto"/>
        </w:rPr>
        <w:t>non-profit and/or other charitable organization as Executive may wish to serve, (ii) reasonable time devoted to activities in the non-profit and business communities consistent with Executive’s duties; (iii) reasonable time devoted to service as a member of the board of directors of the entities listed on Exhibit A; and (iv) such other activities as may be specifically approved by the Board. This restriction shall not, however, preclude Executive (x) from owning less than one percent (1%) of the total outstanding shares of a publicly traded company, or (y) from employment or service in any capacity with Affiliates of Employer. As used in this Agreement, “Affiliates” means an entity under common management or control with Employer.</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1.3 Other Responsibilities</w:t>
      </w:r>
      <w:r>
        <w:rPr>
          <w:rFonts w:ascii="Arial" w:cs="Arial" w:eastAsia="Arial" w:hAnsi="Arial"/>
          <w:sz w:val="17"/>
          <w:szCs w:val="17"/>
          <w:color w:val="auto"/>
        </w:rPr>
        <w:t>. Notwithstanding Section 1.2.2 above, the Board expressly grants Executive the right to (i) provide services as a</w:t>
      </w:r>
      <w:r>
        <w:rPr>
          <w:rFonts w:ascii="Arial" w:cs="Arial" w:eastAsia="Arial" w:hAnsi="Arial"/>
          <w:sz w:val="17"/>
          <w:szCs w:val="17"/>
          <w:b w:val="1"/>
          <w:bCs w:val="1"/>
          <w:color w:val="auto"/>
        </w:rPr>
        <w:t xml:space="preserve"> </w:t>
      </w:r>
      <w:r>
        <w:rPr>
          <w:rFonts w:ascii="Arial" w:cs="Arial" w:eastAsia="Arial" w:hAnsi="Arial"/>
          <w:sz w:val="17"/>
          <w:szCs w:val="17"/>
          <w:color w:val="auto"/>
        </w:rPr>
        <w:t>member (or such other such role as he may later serve) of NeXeption, Inc. and its affiliated entities; (ii) provide services in his capacity as the Vice Chairman of the Board of Directors (or such other such role as he may later serve) of Alexar Therapeutics, Inc.; and (iii) perform services, if necessary, for companies other than Employer, in connection with his ownership interests in such companies; provided that the provision of such services does not adversely affect his performance of services hereunder and does not otherwise result in a material breach hereunder.</w:t>
      </w:r>
    </w:p>
    <w:p>
      <w:pPr>
        <w:spacing w:after="0" w:line="168"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1.4 Location of Employment</w:t>
      </w:r>
      <w:r>
        <w:rPr>
          <w:rFonts w:ascii="Arial" w:cs="Arial" w:eastAsia="Arial" w:hAnsi="Arial"/>
          <w:sz w:val="18"/>
          <w:szCs w:val="18"/>
          <w:color w:val="auto"/>
        </w:rPr>
        <w:t>. Executive’s principal place of employment during his employment with Employer shall be in Malvern,</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or such other location as Employer and Executive shall agree.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AND BENEFITS</w:t>
      </w:r>
    </w:p>
    <w:p>
      <w:pPr>
        <w:spacing w:after="0" w:line="207"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2.1 Salary</w:t>
      </w:r>
      <w:r>
        <w:rPr>
          <w:rFonts w:ascii="Arial" w:cs="Arial" w:eastAsia="Arial" w:hAnsi="Arial"/>
          <w:sz w:val="18"/>
          <w:szCs w:val="18"/>
          <w:color w:val="auto"/>
        </w:rPr>
        <w:t>. Employer will pay to Executive an annual base salary of three hundred forty-four thousand, nine hundred ninety-eight Dollars and</w:t>
      </w:r>
      <w:r>
        <w:rPr>
          <w:rFonts w:ascii="Arial" w:cs="Arial" w:eastAsia="Arial" w:hAnsi="Arial"/>
          <w:sz w:val="18"/>
          <w:szCs w:val="18"/>
          <w:b w:val="1"/>
          <w:bCs w:val="1"/>
          <w:color w:val="auto"/>
        </w:rPr>
        <w:t xml:space="preserve"> </w:t>
      </w:r>
      <w:r>
        <w:rPr>
          <w:rFonts w:ascii="Arial" w:cs="Arial" w:eastAsia="Arial" w:hAnsi="Arial"/>
          <w:sz w:val="18"/>
          <w:szCs w:val="18"/>
          <w:color w:val="auto"/>
        </w:rPr>
        <w:t>fifty Cents ($344,998.50), payable subject to standard federal and state payroll withholding requirements in accordance with the regular payroll practices of Employer (“Base Salary”). The annual Base Salary may be increased (but not decreased) during the term of this Employment Agreement by the Board in its sole discretion.</w:t>
      </w:r>
    </w:p>
    <w:p>
      <w:pPr>
        <w:spacing w:after="0" w:line="1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2.2 Additional Compensation</w:t>
      </w:r>
      <w:r>
        <w:rPr>
          <w:rFonts w:ascii="Arial" w:cs="Arial" w:eastAsia="Arial" w:hAnsi="Arial"/>
          <w:sz w:val="17"/>
          <w:szCs w:val="17"/>
          <w:color w:val="auto"/>
        </w:rPr>
        <w:t>. In addition to the salary set forth in Section 2.1, Executive shall be entitled to receive a cash bonus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of this Section 2.2. For each fiscal year of Employer, beginning January 1, during the Amended Employment Term (as defined in Section 2.4 hereof), Executive shall be eligible to receive a cash bonus based on (i) the “Annual Bonus Expectancy Amount,” which shall be an amount equal to thirty percent (30%) of Executive’s Base Salary for the applicable fiscal year, and (ii) Executive’s attainment of performance targets and other reasonable criteria established by the Board, to the extent possible, by the end of the first month of such fiscal year. Depending on the targets and criteria which are achieved or met, the amount of the cash bonus actually payable to Executive for each fiscal year will be an amount from zero to and including the Annual Bonus Expectancy Amount. Any cash bonus amount payable pursuant to this Section 2.2 shall be paid to Executive as soon as practicable, but in no event later than two and one-half (2 1/2) months, following the end of the fiscal year to which it relates. It is explicitly agreed and understood that cash bonuses under this Section 2.2 are to be payable only if, and to the extent, that the Board in its judgment</w:t>
      </w:r>
    </w:p>
    <w:p>
      <w:pPr>
        <w:sectPr>
          <w:pgSz w:w="11900" w:h="16838" w:orient="portrait"/>
          <w:cols w:equalWidth="0" w:num="1">
            <w:col w:w="11420"/>
          </w:cols>
          <w:pgMar w:left="240" w:top="121" w:right="239" w:bottom="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determines Employer has adequate cash flow and is adequately capitalized to support such payment.</w:t>
      </w:r>
    </w:p>
    <w:p>
      <w:pPr>
        <w:spacing w:after="0" w:line="22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2.3 Executive Benefits</w:t>
      </w:r>
      <w:r>
        <w:rPr>
          <w:rFonts w:ascii="Arial" w:cs="Arial" w:eastAsia="Arial" w:hAnsi="Arial"/>
          <w:sz w:val="18"/>
          <w:szCs w:val="18"/>
          <w:color w:val="auto"/>
        </w:rPr>
        <w:t>. In addition to the salary and additional compensation set forth in Sections 2.1 and 2.2, Executive shall also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benefits during Executive’s employment hereunder:</w:t>
      </w:r>
    </w:p>
    <w:p>
      <w:pPr>
        <w:spacing w:after="0" w:line="16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color w:val="auto"/>
        </w:rPr>
        <w:t>2.3.1 Expenses</w:t>
      </w:r>
      <w:r>
        <w:rPr>
          <w:rFonts w:ascii="Arial" w:cs="Arial" w:eastAsia="Arial" w:hAnsi="Arial"/>
          <w:sz w:val="18"/>
          <w:szCs w:val="18"/>
          <w:color w:val="auto"/>
        </w:rPr>
        <w:t>. Employer will promptly reimburse Executive for expenses he reasonably incurs in connection with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his duties (including business travel and entertainment expenses), in accordance with Employer’s standard expense reimbursement policy, as the same may be modified by Employer from time to time; provided, however, that Executive has provided Employer with documentation of such expenses in accordance with the Employer’s expense reimbursement policies and applicable tax requirements.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5"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2.3.2 Employer Plans</w:t>
      </w:r>
      <w:r>
        <w:rPr>
          <w:rFonts w:ascii="Arial" w:cs="Arial" w:eastAsia="Arial" w:hAnsi="Arial"/>
          <w:sz w:val="18"/>
          <w:szCs w:val="18"/>
          <w:color w:val="auto"/>
        </w:rPr>
        <w:t>. Executive will be eligible to participate on the same basis as similarly situated employees in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plans and programs, as they may be interpreted, adopted, revised or deleted from time to time in Employer’s sole discretion, subject to and on a basis consistent with the terms, conditions and overall administration of such plans and programs. All matters of eligibility for coverage or benefits under any benefit plan shall be determined in accordance with the provisions of such plan. Employer retains the unilateral right to amend, modify or terminate any of its employee benefit plans and programs at any time.</w:t>
      </w:r>
    </w:p>
    <w:p>
      <w:pPr>
        <w:spacing w:after="0" w:line="184" w:lineRule="exact"/>
        <w:rPr>
          <w:sz w:val="20"/>
          <w:szCs w:val="20"/>
          <w:color w:val="auto"/>
        </w:rPr>
      </w:pPr>
    </w:p>
    <w:p>
      <w:pPr>
        <w:ind w:right="460" w:firstLine="1297"/>
        <w:spacing w:after="0" w:line="313" w:lineRule="auto"/>
        <w:rPr>
          <w:sz w:val="20"/>
          <w:szCs w:val="20"/>
          <w:color w:val="auto"/>
        </w:rPr>
      </w:pPr>
      <w:r>
        <w:rPr>
          <w:rFonts w:ascii="Arial" w:cs="Arial" w:eastAsia="Arial" w:hAnsi="Arial"/>
          <w:sz w:val="17"/>
          <w:szCs w:val="17"/>
          <w:b w:val="1"/>
          <w:bCs w:val="1"/>
          <w:color w:val="auto"/>
        </w:rPr>
        <w:t>2.3.3 Vacation</w:t>
      </w:r>
      <w:r>
        <w:rPr>
          <w:rFonts w:ascii="Arial" w:cs="Arial" w:eastAsia="Arial" w:hAnsi="Arial"/>
          <w:sz w:val="17"/>
          <w:szCs w:val="17"/>
          <w:color w:val="auto"/>
        </w:rPr>
        <w:t>. Executive shall be eligible for paid vacation leave (not including regular holidays) consistent with the needs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Vacation must be scheduled at those times convenient to Employer’s business as reasonably determined by the Board.</w:t>
      </w:r>
    </w:p>
    <w:p>
      <w:pPr>
        <w:spacing w:after="0" w:line="138"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b w:val="1"/>
          <w:bCs w:val="1"/>
          <w:color w:val="auto"/>
        </w:rPr>
        <w:t>2.3.4 Coverage</w:t>
      </w:r>
      <w:r>
        <w:rPr>
          <w:rFonts w:ascii="Arial" w:cs="Arial" w:eastAsia="Arial" w:hAnsi="Arial"/>
          <w:sz w:val="18"/>
          <w:szCs w:val="18"/>
          <w:color w:val="auto"/>
        </w:rPr>
        <w:t>. Nothing in this Employment Agreement shall prevent Executive from participating in any other compensation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 made available to him by Employer.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Withholding</w:t>
      </w:r>
      <w:r>
        <w:rPr>
          <w:rFonts w:ascii="Arial" w:cs="Arial" w:eastAsia="Arial" w:hAnsi="Arial"/>
          <w:sz w:val="16"/>
          <w:szCs w:val="16"/>
          <w:color w:val="auto"/>
        </w:rPr>
        <w:t>. All compensation shall be subject to withholding of taxes and deductions of other amounts as may be required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2.4 Employment Term</w:t>
      </w:r>
      <w:r>
        <w:rPr>
          <w:rFonts w:ascii="Arial" w:cs="Arial" w:eastAsia="Arial" w:hAnsi="Arial"/>
          <w:sz w:val="18"/>
          <w:szCs w:val="18"/>
          <w:color w:val="auto"/>
        </w:rPr>
        <w:t>. Unless earlier terminated pursuant to Section 3.1, Executive’s employment by Employer pursuant to this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until the second anniversary of the Agreement Effective Date (the “Amended Initial Term”). Thereafter, this Employment Agreement shall be automatically renewed for successive one (1) year periods (the Amended Initial Term, together with any subsequent employment period being referred to herein as the “Amended Employment Term”); provided, however, that either party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may elect to not renew this Employment Agreement by written notice to such effect delivered to the other party at least ninety (90) days prior to expiration of the Amended Initial Term or the Amended Employment Term.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EMPLOYMENT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Events of Termination</w:t>
      </w:r>
      <w:r>
        <w:rPr>
          <w:rFonts w:ascii="Arial" w:cs="Arial" w:eastAsia="Arial" w:hAnsi="Arial"/>
          <w:sz w:val="16"/>
          <w:szCs w:val="16"/>
          <w:color w:val="auto"/>
        </w:rPr>
        <w:t>. Executive’s employment with Employer will terminate upon the occurrence of any one or more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Death</w:t>
      </w:r>
      <w:r>
        <w:rPr>
          <w:rFonts w:ascii="Arial" w:cs="Arial" w:eastAsia="Arial" w:hAnsi="Arial"/>
          <w:sz w:val="16"/>
          <w:szCs w:val="16"/>
          <w:color w:val="auto"/>
        </w:rPr>
        <w:t>. In the event of Executive’s death, Executive’s employment will terminate on the date of death.</w:t>
      </w:r>
    </w:p>
    <w:p>
      <w:pPr>
        <w:spacing w:after="0" w:line="22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b w:val="1"/>
          <w:bCs w:val="1"/>
          <w:color w:val="auto"/>
        </w:rPr>
        <w:t>3.1.2 Disability</w:t>
      </w:r>
      <w:r>
        <w:rPr>
          <w:rFonts w:ascii="Arial" w:cs="Arial" w:eastAsia="Arial" w:hAnsi="Arial"/>
          <w:sz w:val="17"/>
          <w:szCs w:val="17"/>
          <w:color w:val="auto"/>
        </w:rPr>
        <w:t>. In the event of Executive’s Disability (as hereinafter defined), Employer will have the option to terminate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by giving a notice of termination to Executive. The notice of termination shall specify the date of termination, which date shall not be earlier than thirty (30) calendar days after the notice of termination is given. For purposes of this Employment Agreement, “Disability” means the failure or inability of Executive to substantially perform, with or without reasonable accommodation, his duties hereunder for an aggregate of ninety (90) calendar days during any consecutive three hundred sixty-five (365) day period as a result of a physical or mental illness or injury, as determined in good faith by the Board upon the advice of an independent physician experienced in treating the condition(s) allegedly giving rise to the disability. This definition shall be interpreted and applied consistent with the Americans with Disabilities Act, the Family and Medical Leave Act, and other applicable law.</w:t>
      </w:r>
    </w:p>
    <w:p>
      <w:pPr>
        <w:spacing w:after="0" w:line="172" w:lineRule="exact"/>
        <w:rPr>
          <w:sz w:val="20"/>
          <w:szCs w:val="20"/>
          <w:color w:val="auto"/>
        </w:rPr>
      </w:pPr>
    </w:p>
    <w:p>
      <w:pPr>
        <w:ind w:right="60" w:firstLine="1297"/>
        <w:spacing w:after="0" w:line="292" w:lineRule="auto"/>
        <w:rPr>
          <w:sz w:val="20"/>
          <w:szCs w:val="20"/>
          <w:color w:val="auto"/>
        </w:rPr>
      </w:pPr>
      <w:r>
        <w:rPr>
          <w:rFonts w:ascii="Arial" w:cs="Arial" w:eastAsia="Arial" w:hAnsi="Arial"/>
          <w:sz w:val="16"/>
          <w:szCs w:val="16"/>
          <w:b w:val="1"/>
          <w:bCs w:val="1"/>
          <w:color w:val="auto"/>
        </w:rPr>
        <w:t>3.1.3 Termination by Employer for Cause</w:t>
      </w:r>
      <w:r>
        <w:rPr>
          <w:rFonts w:ascii="Arial" w:cs="Arial" w:eastAsia="Arial" w:hAnsi="Arial"/>
          <w:sz w:val="16"/>
          <w:szCs w:val="16"/>
          <w:color w:val="auto"/>
        </w:rPr>
        <w:t>. Employer may, at its option, terminate Executive’s employment for Cause by unilateral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action of the Board of Directors upon giving a notice of termination to Executive. “Cause” shall mean (i) Executive’s conviction of, or guilty plea to, a crime of moral turpitude (whether or not a felony) or a felony (other than traffic violations); (ii) any act(s) or omission(s) by Executive which constitutes gross negligence or a material breach of Executive’s duty of loyalty; (iii) any material breach by Executive of Employer’s personnel policies, including those prohibiting acts of discrimination, harassment or retaliation; (iv) any act constituting dishonesty, fraud, immoral or disreputable conduct; (v) refusal to follow or implement a clear and reasonable directive of Employer; (vi) breach of fiduciary duty; or (vii) a material violation or breach by Executive of this Employment Agreement (other than an event described in the foregoing clauses (i) through (vi)) or any other agreement between the parties.</w:t>
      </w:r>
    </w:p>
    <w:p>
      <w:pPr>
        <w:spacing w:after="0" w:line="162" w:lineRule="exact"/>
        <w:rPr>
          <w:sz w:val="20"/>
          <w:szCs w:val="20"/>
          <w:color w:val="auto"/>
        </w:rPr>
      </w:pPr>
    </w:p>
    <w:p>
      <w:pPr>
        <w:jc w:val="both"/>
        <w:ind w:right="140" w:firstLine="1297"/>
        <w:spacing w:after="0" w:line="314" w:lineRule="auto"/>
        <w:rPr>
          <w:sz w:val="20"/>
          <w:szCs w:val="20"/>
          <w:color w:val="auto"/>
        </w:rPr>
      </w:pPr>
      <w:r>
        <w:rPr>
          <w:rFonts w:ascii="Arial" w:cs="Arial" w:eastAsia="Arial" w:hAnsi="Arial"/>
          <w:sz w:val="16"/>
          <w:szCs w:val="16"/>
          <w:b w:val="1"/>
          <w:bCs w:val="1"/>
          <w:color w:val="auto"/>
        </w:rPr>
        <w:t>3.1.4 Without Cause By Employer</w:t>
      </w:r>
      <w:r>
        <w:rPr>
          <w:rFonts w:ascii="Arial" w:cs="Arial" w:eastAsia="Arial" w:hAnsi="Arial"/>
          <w:sz w:val="16"/>
          <w:szCs w:val="16"/>
          <w:color w:val="auto"/>
        </w:rPr>
        <w:t>. Employer may, at its option, terminate Executive’s employment for any reason whatsoever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for the other reasons set forth above in this Section 3.1 that would constitute “Cause” to terminate) by giving a notice of termination to Executive, and Executive’s employment shall terminate on the later of the date the notice of termination is given or the date set forth in such notice of termination.</w:t>
      </w:r>
    </w:p>
    <w:p>
      <w:pPr>
        <w:spacing w:after="0" w:line="142" w:lineRule="exact"/>
        <w:rPr>
          <w:sz w:val="20"/>
          <w:szCs w:val="20"/>
          <w:color w:val="auto"/>
        </w:rPr>
      </w:pPr>
    </w:p>
    <w:p>
      <w:pPr>
        <w:ind w:right="340" w:firstLine="1297"/>
        <w:spacing w:after="0" w:line="282" w:lineRule="auto"/>
        <w:rPr>
          <w:sz w:val="20"/>
          <w:szCs w:val="20"/>
          <w:color w:val="auto"/>
        </w:rPr>
      </w:pPr>
      <w:r>
        <w:rPr>
          <w:rFonts w:ascii="Arial" w:cs="Arial" w:eastAsia="Arial" w:hAnsi="Arial"/>
          <w:sz w:val="18"/>
          <w:szCs w:val="18"/>
          <w:b w:val="1"/>
          <w:bCs w:val="1"/>
          <w:color w:val="auto"/>
        </w:rPr>
        <w:t>3.1.5 By Executive</w:t>
      </w:r>
      <w:r>
        <w:rPr>
          <w:rFonts w:ascii="Arial" w:cs="Arial" w:eastAsia="Arial" w:hAnsi="Arial"/>
          <w:sz w:val="18"/>
          <w:szCs w:val="18"/>
          <w:color w:val="auto"/>
        </w:rPr>
        <w:t>. Executive may, at any time, terminate Executive’s employment for any reason whatsoever by giving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to Employer.</w:t>
      </w:r>
    </w:p>
    <w:p>
      <w:pPr>
        <w:sectPr>
          <w:pgSz w:w="11900" w:h="16838" w:orient="portrait"/>
          <w:cols w:equalWidth="0" w:num="1">
            <w:col w:w="11400"/>
          </w:cols>
          <w:pgMar w:left="240" w:top="125" w:right="259" w:bottom="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Executive’s employment shall terminate on the earlier of (i) the date, following the date of the notice of termination, upon which a suitable replacement for Executive is found by the Employer or upon which Employer makes a determination, in its sole discretion, that Executive’s duties shall be undertaken by other employees of Employer, (ii) thirty (30) calendar days after the date of receipt by Employer of the notice of termination, or (iii) such earlier date as the Employer and Executive shall agree.</w:t>
      </w:r>
    </w:p>
    <w:p>
      <w:pPr>
        <w:spacing w:after="0" w:line="18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b w:val="1"/>
          <w:bCs w:val="1"/>
          <w:color w:val="auto"/>
        </w:rPr>
        <w:t>3.1.6 Termination Upon Non-Renewal</w:t>
      </w:r>
      <w:r>
        <w:rPr>
          <w:rFonts w:ascii="Arial" w:cs="Arial" w:eastAsia="Arial" w:hAnsi="Arial"/>
          <w:sz w:val="18"/>
          <w:szCs w:val="18"/>
          <w:color w:val="auto"/>
        </w:rPr>
        <w:t>. Either party may terminate this Employment Agreement and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by providing the other party notice in accordance with Section 2.4 above, in which case this Employment Agreement and Executive’s employment hereunder shall terminate on the last date of the Amended Initial Term or the Amended Employment Term, as the case may be. For the avoidance of doubt, Executive shall continue to be employed by Employer, on the same terms and conditions as set forth in this Employment Agreement during the ninety (90)-day notice period provided by either party to the other party in accordance with Section 2.4 above, unless, Employer, in its sole discretion determines that it does not want Executive to continue to work for Employer, in any capacity, during such notice period. In such event, Employer shall pay Executive all compensation in accordance with Section 3.2.3.</w:t>
      </w:r>
    </w:p>
    <w:p>
      <w:pPr>
        <w:spacing w:after="0" w:line="189" w:lineRule="exact"/>
        <w:rPr>
          <w:sz w:val="20"/>
          <w:szCs w:val="20"/>
          <w:color w:val="auto"/>
        </w:rPr>
      </w:pPr>
    </w:p>
    <w:p>
      <w:pPr>
        <w:ind w:right="60" w:firstLine="1297"/>
        <w:spacing w:after="0" w:line="313" w:lineRule="auto"/>
        <w:rPr>
          <w:sz w:val="20"/>
          <w:szCs w:val="20"/>
          <w:color w:val="auto"/>
        </w:rPr>
      </w:pPr>
      <w:r>
        <w:rPr>
          <w:rFonts w:ascii="Arial" w:cs="Arial" w:eastAsia="Arial" w:hAnsi="Arial"/>
          <w:sz w:val="17"/>
          <w:szCs w:val="17"/>
          <w:b w:val="1"/>
          <w:bCs w:val="1"/>
          <w:color w:val="auto"/>
        </w:rPr>
        <w:t>3.1.7 For Good Reason by Executive</w:t>
      </w:r>
      <w:r>
        <w:rPr>
          <w:rFonts w:ascii="Arial" w:cs="Arial" w:eastAsia="Arial" w:hAnsi="Arial"/>
          <w:sz w:val="17"/>
          <w:szCs w:val="17"/>
          <w:color w:val="auto"/>
        </w:rPr>
        <w:t>. Executive may, at his option, terminate Executive’s employment for “Good Reason” by giving a</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termination to Employer in the event that, in the absence of events that would support a termination of Executive for Cause:</w:t>
      </w:r>
    </w:p>
    <w:p>
      <w:pPr>
        <w:spacing w:after="0" w:line="142" w:lineRule="exact"/>
        <w:rPr>
          <w:sz w:val="20"/>
          <w:szCs w:val="20"/>
          <w:color w:val="auto"/>
        </w:rPr>
      </w:pPr>
    </w:p>
    <w:p>
      <w:pPr>
        <w:ind w:right="820" w:firstLine="2601"/>
        <w:spacing w:after="0" w:line="277" w:lineRule="auto"/>
        <w:tabs>
          <w:tab w:leader="none" w:pos="3249"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there is a material failure of Employer (or successor employer) to pay Executive’s salary or additional compensation or benefits hereunder in accordance with this Employment Agreement;</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Executive’s annual Base Salary is materially decreased without his prior written consent;</w:t>
      </w:r>
    </w:p>
    <w:p>
      <w:pPr>
        <w:spacing w:after="0" w:line="225" w:lineRule="exact"/>
        <w:rPr>
          <w:rFonts w:ascii="Arial" w:cs="Arial" w:eastAsia="Arial" w:hAnsi="Arial"/>
          <w:sz w:val="18"/>
          <w:szCs w:val="18"/>
          <w:b w:val="1"/>
          <w:bCs w:val="1"/>
          <w:color w:val="auto"/>
        </w:rPr>
      </w:pPr>
    </w:p>
    <w:p>
      <w:pPr>
        <w:ind w:right="800" w:firstLine="2601"/>
        <w:spacing w:after="0" w:line="277" w:lineRule="auto"/>
        <w:tabs>
          <w:tab w:leader="none" w:pos="3241"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Executive is assigned duties substantially inconsistent with his title and the responsibilities set forth in Executive’s job description, without Executive’s prior written consent;</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Executive’s place of employment is changed to a location that is greater than fifty (50) miles from Executive’s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current place of employment which is contemplated to be 101 Lindenwood Drive, Suite 400, Malvern, Pennsylvania 19355; or</w:t>
      </w:r>
    </w:p>
    <w:p>
      <w:pPr>
        <w:spacing w:after="0" w:line="210" w:lineRule="exact"/>
        <w:rPr>
          <w:rFonts w:ascii="Arial" w:cs="Arial" w:eastAsia="Arial" w:hAnsi="Arial"/>
          <w:sz w:val="16"/>
          <w:szCs w:val="16"/>
          <w:b w:val="1"/>
          <w:bCs w:val="1"/>
          <w:color w:val="auto"/>
        </w:rPr>
      </w:pPr>
    </w:p>
    <w:p>
      <w:pPr>
        <w:ind w:left="3260" w:hanging="659"/>
        <w:spacing w:after="0"/>
        <w:tabs>
          <w:tab w:leader="none" w:pos="32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any other material violation or breach by Employer of this Employment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foregoing, none of the events described in clauses (i) through (v) above shall constitute Good Reason unless Executive shall have notified Employer in writing describing the event which constitute Good Reason within thirty (30) days after Executive first becomes aware of such event and then only if Employer and/or its subsidiaries shall have failed to reasonably cure such events, if curable, within thirty (30) days after Employer’s receipt of such written notice and Executive elects to terminate his employment as a result within thirty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(30) days following the end of such thirty (30) day period (assuming, for the avoidance of doubt, that Employer does not elect to cure).</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3.2 Certain Obligations of Employer Following Termination of Executive’s Employment</w:t>
      </w:r>
      <w:r>
        <w:rPr>
          <w:rFonts w:ascii="Arial" w:cs="Arial" w:eastAsia="Arial" w:hAnsi="Arial"/>
          <w:sz w:val="18"/>
          <w:szCs w:val="18"/>
          <w:color w:val="auto"/>
        </w:rPr>
        <w:t>. Following the termination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under the circumstances described below, Employer will pay to Executive, subject to standard federal and state payroll withholding requirements and in accordance with its regular payroll practices, the following compensation and provide the following benefits (provided that the continuing payments of Executive’s then-current salary, as described below, shall occur no less frequently than monthly):</w:t>
      </w:r>
    </w:p>
    <w:p>
      <w:pPr>
        <w:spacing w:after="0" w:line="180"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b w:val="1"/>
          <w:bCs w:val="1"/>
          <w:color w:val="auto"/>
        </w:rPr>
        <w:t>3.2.1 Death; Disability; Termination by Employer Without Cause or by Executive for Good Reason</w:t>
      </w:r>
      <w:r>
        <w:rPr>
          <w:rFonts w:ascii="Arial" w:cs="Arial" w:eastAsia="Arial" w:hAnsi="Arial"/>
          <w:sz w:val="17"/>
          <w:szCs w:val="17"/>
          <w:color w:val="auto"/>
        </w:rPr>
        <w:t>. In the event that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is terminated by Employer pursuant to Section 3.1.1 (“Death”), Section 3.1.2 (“Disability”), Section 3.1.4 (“Without Cause by Employer”) or by Executive pursuant to Section 3.1.7 (“Termination by Executive for Good Reason”) hereof, and Executive, or his estate, as the case may be, executes and does not revoke a separation agreement containing a release upon such termination, in a form provided by the Employer, of any and all claims against Employer and all related parties with respect to all matters arising out of Executive’s employment by Employer, or the termination thereof (the “Release”) in accordance with Section 3.7, Executive, or his estate, as the case may be, shall be entitled to the following payments and benefits, which payments and benefits shall be paid in accordance with this Section 3.2.1 and Section 3.7:</w:t>
      </w:r>
    </w:p>
    <w:p>
      <w:pPr>
        <w:spacing w:after="0" w:line="176" w:lineRule="exact"/>
        <w:rPr>
          <w:sz w:val="20"/>
          <w:szCs w:val="20"/>
          <w:color w:val="auto"/>
        </w:rPr>
      </w:pPr>
    </w:p>
    <w:p>
      <w:pPr>
        <w:ind w:right="40" w:firstLine="2601"/>
        <w:spacing w:after="0" w:line="264" w:lineRule="auto"/>
        <w:tabs>
          <w:tab w:leader="none" w:pos="3249"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the Severance Period, as defined in Section 3.5 herein, payable subject to standard federal and state payroll withholding requirements in accordance with Employer’s regular payroll practices on Employer’s normal payroll schedule over the Severance Period, subject to Section 3.7;</w:t>
      </w:r>
    </w:p>
    <w:p>
      <w:pPr>
        <w:spacing w:after="0" w:line="181" w:lineRule="exact"/>
        <w:rPr>
          <w:rFonts w:ascii="Arial" w:cs="Arial" w:eastAsia="Arial" w:hAnsi="Arial"/>
          <w:sz w:val="18"/>
          <w:szCs w:val="18"/>
          <w:b w:val="1"/>
          <w:bCs w:val="1"/>
          <w:color w:val="auto"/>
        </w:rPr>
      </w:pPr>
    </w:p>
    <w:p>
      <w:pPr>
        <w:ind w:right="160" w:firstLine="2601"/>
        <w:spacing w:after="0" w:line="255" w:lineRule="auto"/>
        <w:tabs>
          <w:tab w:leader="none" w:pos="324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Employer shall pay to Executive a lump sum payment equal to the gross sum of any bonuses or portion thereof for any preceding year or for the year of termination which have been approved by Employer, but has not been received by Executive prior to the effective date of termination, less applicable deductions and withholdings, paid in accordance with Section 2.2 but in no event later than two and one-half (2 1/2) months following the end of the fiscal year to which it relates. For the avoidance of doubt, (x) Executive does not have to be employed by Employer on the date such bonuses are approved by Employer to receive such bonuses; and (y) this provision shall not be construed as guaranteeing the payment of a bonus for such year(s);</w:t>
      </w:r>
    </w:p>
    <w:p>
      <w:pPr>
        <w:spacing w:after="0" w:line="193" w:lineRule="exact"/>
        <w:rPr>
          <w:rFonts w:ascii="Arial" w:cs="Arial" w:eastAsia="Arial" w:hAnsi="Arial"/>
          <w:sz w:val="18"/>
          <w:szCs w:val="18"/>
          <w:b w:val="1"/>
          <w:bCs w:val="1"/>
          <w:color w:val="auto"/>
        </w:rPr>
      </w:pPr>
    </w:p>
    <w:p>
      <w:pPr>
        <w:ind w:right="60" w:firstLine="2601"/>
        <w:spacing w:after="0" w:line="255" w:lineRule="auto"/>
        <w:tabs>
          <w:tab w:leader="none" w:pos="324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So long as Executive is eligible, and so long as Executive remains eligible, for and upon his timely election of coverage under the Consolidated Omnibus Budget Reconciliation Act of 1985, or, if applicable, state or local insurance laws (“COBRA”), Employer will continue to pay, directly to the healthcare provider when due, 100% of the medical, vision and dental coverage premiums (including employee contributions, if any) until the earlier of (i) the end of the Severance Period; or (ii) the date when Executive becomes eligible for substantially equivalent health insurance coverage in connection with new employment (the “COBRA Payment Period”); provided that Executive must immediately notify Employer in the event Executive becomes eligible for coverage under another employer’s group health plan during the COBRA Payment Period; and provided further that, if at any time</w:t>
      </w:r>
    </w:p>
    <w:p>
      <w:pPr>
        <w:sectPr>
          <w:pgSz w:w="11900" w:h="16838" w:orient="portrait"/>
          <w:cols w:equalWidth="0" w:num="1">
            <w:col w:w="11400"/>
          </w:cols>
          <w:pgMar w:left="240" w:top="125" w:right="259" w:bottom="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Employer determines, in its sole discretion, that the payment of the COBRA premiums would result in a violation of the nondiscrimination rules of</w:t>
      </w:r>
    </w:p>
    <w:p>
      <w:pPr>
        <w:spacing w:after="0" w:line="3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Section 105(h)(2) of the Code or any statute or regulation of similar effect (including but not limited to the 2010 Patient Protection and Affordable Care Act, as amended by the 2010 Health Care and Education Reconciliation Act), then in lieu of providing the COBRA premiums for the remainder of the COBRA Payment Period, Employer will instead pay Executive on the first day of each month of the remainder of the COBRA Payment Period, a fully taxable cash payment equal to the COBRA premiums for that month, subject to applicable tax withholdings, for the remainder of the COBRA Payment Period; and</w:t>
      </w:r>
    </w:p>
    <w:p>
      <w:pPr>
        <w:spacing w:after="0" w:line="162" w:lineRule="exact"/>
        <w:rPr>
          <w:sz w:val="20"/>
          <w:szCs w:val="20"/>
          <w:color w:val="auto"/>
        </w:rPr>
      </w:pPr>
    </w:p>
    <w:p>
      <w:pPr>
        <w:jc w:val="both"/>
        <w:ind w:right="100" w:firstLine="2601"/>
        <w:spacing w:after="0" w:line="342" w:lineRule="auto"/>
        <w:tabs>
          <w:tab w:leader="none" w:pos="3244"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In the event such termination of employment occurs on or within three (3) months prior to or within twelve (12) months following the effective date of a Change of Control (as defined herein), Executive shall be entitled to the additional following payments and benefits:</w:t>
      </w:r>
    </w:p>
    <w:p>
      <w:pPr>
        <w:spacing w:after="0" w:line="123" w:lineRule="exact"/>
        <w:rPr>
          <w:rFonts w:ascii="Arial" w:cs="Arial" w:eastAsia="Arial" w:hAnsi="Arial"/>
          <w:sz w:val="16"/>
          <w:szCs w:val="16"/>
          <w:b w:val="1"/>
          <w:bCs w:val="1"/>
          <w:color w:val="auto"/>
        </w:rPr>
      </w:pPr>
    </w:p>
    <w:p>
      <w:pPr>
        <w:jc w:val="both"/>
        <w:ind w:firstLine="3249"/>
        <w:spacing w:after="0" w:line="259" w:lineRule="auto"/>
        <w:tabs>
          <w:tab w:leader="none" w:pos="3897"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an additional twelve (12) months following the end of the Severance Period, payable subject to standard federal and state payroll withholding requirements in accordance with Employer’s regular payroll practices on Employer’s normal payroll schedule over the twelve (12) month period immediately following the end of the Severance Period, subject to Section 3.7;</w:t>
      </w:r>
    </w:p>
    <w:p>
      <w:pPr>
        <w:spacing w:after="0" w:line="186" w:lineRule="exact"/>
        <w:rPr>
          <w:rFonts w:ascii="Arial" w:cs="Arial" w:eastAsia="Arial" w:hAnsi="Arial"/>
          <w:sz w:val="18"/>
          <w:szCs w:val="18"/>
          <w:b w:val="1"/>
          <w:bCs w:val="1"/>
          <w:color w:val="auto"/>
        </w:rPr>
      </w:pPr>
    </w:p>
    <w:p>
      <w:pPr>
        <w:ind w:right="140" w:firstLine="3249"/>
        <w:spacing w:after="0" w:line="312" w:lineRule="auto"/>
        <w:tabs>
          <w:tab w:leader="none" w:pos="3897" w:val="left"/>
        </w:tabs>
        <w:numPr>
          <w:ilvl w:val="1"/>
          <w:numId w:val="50"/>
        </w:numPr>
        <w:rPr>
          <w:rFonts w:ascii="Arial" w:cs="Arial" w:eastAsia="Arial" w:hAnsi="Arial"/>
          <w:sz w:val="16"/>
          <w:szCs w:val="16"/>
          <w:b w:val="1"/>
          <w:bCs w:val="1"/>
          <w:color w:val="auto"/>
        </w:rPr>
      </w:pPr>
      <w:r>
        <w:rPr>
          <w:rFonts w:ascii="Arial" w:cs="Arial" w:eastAsia="Arial" w:hAnsi="Arial"/>
          <w:sz w:val="16"/>
          <w:szCs w:val="16"/>
          <w:color w:val="auto"/>
        </w:rPr>
        <w:t>Continued payment of Executive’s COBRA premiums directly to the healthcare provider for an additional six (6) months following the end of the Severance Period, or if earlier, until the date when Executive becomes eligible for substantially equivalent health insurance coverage in connection with new employment, subject to the terms, conditions and payment provisions set forth in Section 3.2.1(iii); and</w:t>
      </w:r>
    </w:p>
    <w:p>
      <w:pPr>
        <w:spacing w:after="0" w:line="146" w:lineRule="exact"/>
        <w:rPr>
          <w:rFonts w:ascii="Arial" w:cs="Arial" w:eastAsia="Arial" w:hAnsi="Arial"/>
          <w:sz w:val="16"/>
          <w:szCs w:val="16"/>
          <w:b w:val="1"/>
          <w:bCs w:val="1"/>
          <w:color w:val="auto"/>
        </w:rPr>
      </w:pPr>
    </w:p>
    <w:p>
      <w:pPr>
        <w:ind w:left="3900" w:hanging="651"/>
        <w:spacing w:after="0"/>
        <w:tabs>
          <w:tab w:leader="none" w:pos="3900" w:val="left"/>
        </w:tabs>
        <w:numPr>
          <w:ilvl w:val="1"/>
          <w:numId w:val="50"/>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employment occurs (A) on or within three (3) months prior to the</w:t>
      </w:r>
    </w:p>
    <w:p>
      <w:pPr>
        <w:spacing w:after="0" w:line="34" w:lineRule="exact"/>
        <w:rPr>
          <w:rFonts w:ascii="Arial" w:cs="Arial" w:eastAsia="Arial" w:hAnsi="Arial"/>
          <w:sz w:val="17"/>
          <w:szCs w:val="17"/>
          <w:b w:val="1"/>
          <w:bCs w:val="1"/>
          <w:color w:val="auto"/>
        </w:rPr>
      </w:pPr>
    </w:p>
    <w:p>
      <w:pPr>
        <w:ind w:right="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effective date of a Change of Control (as defined herein), all unvested stock options and other equity awards held by Executive and outstanding on the effective date of termination shall become fully vested on the effective date of the Change of Control, or (B) within twelve (12) months following the effective date of a Change of Control, provided that any surviving corporation or acquiring corporation assumes Executive’s stock options and/or other equity awards, as applicable, or substitutes similar stock options or equity awards for Executive’s stock options and/or equity awards, as applicable, in accordance with the terms of Employer’s applicable equity incentive plans, all such unvested stock options and other equity awards held by Executive and outstanding on the effective date of termination shall become fully vested on the date of such termination.</w:t>
      </w:r>
    </w:p>
    <w:p>
      <w:pPr>
        <w:spacing w:after="0" w:line="179" w:lineRule="exact"/>
        <w:rPr>
          <w:sz w:val="20"/>
          <w:szCs w:val="20"/>
          <w:color w:val="auto"/>
        </w:rPr>
      </w:pPr>
    </w:p>
    <w:p>
      <w:pPr>
        <w:ind w:right="20" w:firstLine="2593"/>
        <w:spacing w:after="0" w:line="297" w:lineRule="auto"/>
        <w:rPr>
          <w:sz w:val="20"/>
          <w:szCs w:val="20"/>
          <w:color w:val="auto"/>
        </w:rPr>
      </w:pPr>
      <w:r>
        <w:rPr>
          <w:rFonts w:ascii="Arial" w:cs="Arial" w:eastAsia="Arial" w:hAnsi="Arial"/>
          <w:sz w:val="16"/>
          <w:szCs w:val="16"/>
          <w:color w:val="auto"/>
        </w:rPr>
        <w:t>For purposes of this Agreement, “Change of Control” means, in each case as approved by the Board and the requisite stockholders of Employer, (i) any consolidation or merger of Employer with or into any other corporation or other entity or person, or any other corporate reorganization, in which the stockholders of Employer immediately prior to such consolidation, merger or reorganization, own, in the aggregate, less than 50% of the surviving entity’s voting power and/or outstanding capital stock immediately after such consolidation, merger or reorganization, or any transaction or series of related transactions (including any transaction which results from an option agreement or binding letter of intent 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third party) to which Employer or any of its stockholders is a party in which in excess of 50% of Employer’s voting power and/or outstanding capital stock is transferred, or pursuant to which any person or group of affiliated persons obtains in excess of 50% of Employer’s voting power and/or outstanding capital stock, excluding any consolidation or merger effected exclusively to change the domicile of Employer; or (ii) any sale, lease or other disposition (including through a Board and stockholder approved division or spin-off transaction) of all or substantially all of the assets of Employer and/or any of its subsidiaries or any sale, lease, exclusive license (or substantially exclusive license or agreement) or other disposition of all or substantially all of Employer’s intellectual property, as reasonably determined based upon the potential earning power of the assets or intellectual property; provided, however that none of the following shall constitute a Change of Control: (A) transfers of capital stock by an existing stockholder as a result of death or otherwise for estate planning purposes or to such stockholder’s affiliates or to any of Employer’s other existing stockholders, and (B) issuances of equity securities of Employer in connection with financings for working capital and other general corporate purposes.</w:t>
      </w:r>
    </w:p>
    <w:p>
      <w:pPr>
        <w:spacing w:after="0" w:line="178" w:lineRule="exact"/>
        <w:rPr>
          <w:sz w:val="20"/>
          <w:szCs w:val="20"/>
          <w:color w:val="auto"/>
        </w:rPr>
      </w:pPr>
    </w:p>
    <w:p>
      <w:pPr>
        <w:ind w:right="40" w:firstLine="1297"/>
        <w:spacing w:after="0" w:line="274" w:lineRule="auto"/>
        <w:rPr>
          <w:sz w:val="20"/>
          <w:szCs w:val="20"/>
          <w:color w:val="auto"/>
        </w:rPr>
      </w:pPr>
      <w:r>
        <w:rPr>
          <w:rFonts w:ascii="Arial" w:cs="Arial" w:eastAsia="Arial" w:hAnsi="Arial"/>
          <w:sz w:val="17"/>
          <w:szCs w:val="17"/>
          <w:b w:val="1"/>
          <w:bCs w:val="1"/>
          <w:color w:val="auto"/>
        </w:rPr>
        <w:t>3.2.2 Termination by Executive Other than For Good Reason: Termination Upon Non-Renewal by Executive; Termination by Employer for Cause</w:t>
      </w:r>
      <w:r>
        <w:rPr>
          <w:rFonts w:ascii="Arial" w:cs="Arial" w:eastAsia="Arial" w:hAnsi="Arial"/>
          <w:sz w:val="17"/>
          <w:szCs w:val="17"/>
          <w:color w:val="auto"/>
        </w:rPr>
        <w:t>. In the event Executive’s employment is terminated by Executive other than for Good Reason pursuant to Section 3.1.5 hereof (“By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or by Executive pursuant to Section 3.1.6 hereof (“Termination Upon Non-Renewal”) or by Employer pursuant to Section 3.1.3 hereof (“Termination by Employer for Cause”), Executive shall be entitled to no further compensation or other benefits under this Employment Agreement except as to that portion of any unpaid salary and other benefits accrued and earned by him hereunder up to and including the effective date of such termination and to offer COBRA coverage at Executive’s cost pursuant to applicable law.</w:t>
      </w:r>
    </w:p>
    <w:p>
      <w:pPr>
        <w:spacing w:after="0" w:line="174"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b w:val="1"/>
          <w:bCs w:val="1"/>
          <w:color w:val="auto"/>
        </w:rPr>
        <w:t>3.2.3 Termination Upon Non Renewal by Employer</w:t>
      </w:r>
      <w:r>
        <w:rPr>
          <w:rFonts w:ascii="Arial" w:cs="Arial" w:eastAsia="Arial" w:hAnsi="Arial"/>
          <w:sz w:val="17"/>
          <w:szCs w:val="17"/>
          <w:color w:val="auto"/>
        </w:rPr>
        <w:t>. In the event Executive’s employment is terminated by Employer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3.1.6 hereof, then during the ninety (90)-day notice period of Section 2.4, Employer shall continue to pay to Executive his then-current annual Base Salary and benefits subject to standard federal and state payroll withholding requirements and in accordance with Employer’s regular payroll practices, and no later than the effective date of termination of employment, Employer shall pay to Executive any such unpaid salary accrued and earned by him up to and including the effective date of termination. In addition, in the event Executive’s employment is terminated by Employer pursuant to Section 3.1.6 hereof, then provided Executive executes and does not revoke a Release in accordance with Section 3.7, Executive shall be entitled to the following, which payments and benefits shall be paid in accordance with this Section 3.2.3 and Section 3.7:</w:t>
      </w:r>
    </w:p>
    <w:p>
      <w:pPr>
        <w:spacing w:after="0" w:line="176" w:lineRule="exact"/>
        <w:rPr>
          <w:sz w:val="20"/>
          <w:szCs w:val="20"/>
          <w:color w:val="auto"/>
        </w:rPr>
      </w:pPr>
    </w:p>
    <w:p>
      <w:pPr>
        <w:ind w:right="180" w:firstLine="2601"/>
        <w:spacing w:after="0" w:line="264" w:lineRule="auto"/>
        <w:tabs>
          <w:tab w:leader="none" w:pos="3249"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the Severance Period payable subject to standard federal and state payroll withholding requirements in accordance with Employer’s regular payroll practices on Employer’s normal payroll schedule over the Severance Period, subject to Section 3.7;</w:t>
      </w:r>
    </w:p>
    <w:p>
      <w:pPr>
        <w:spacing w:after="0" w:line="181" w:lineRule="exact"/>
        <w:rPr>
          <w:rFonts w:ascii="Arial" w:cs="Arial" w:eastAsia="Arial" w:hAnsi="Arial"/>
          <w:sz w:val="18"/>
          <w:szCs w:val="18"/>
          <w:b w:val="1"/>
          <w:bCs w:val="1"/>
          <w:color w:val="auto"/>
        </w:rPr>
      </w:pPr>
    </w:p>
    <w:p>
      <w:pPr>
        <w:ind w:left="3260" w:hanging="659"/>
        <w:spacing w:after="0"/>
        <w:tabs>
          <w:tab w:leader="none" w:pos="326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Employer shall pay to Executive a lump sum payment equal to the gross sum of any bonuses or portion thereof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for any preceding year or for the year of termination which bonus has been approved by Employer, but has not been received by</w:t>
      </w:r>
    </w:p>
    <w:p>
      <w:pPr>
        <w:sectPr>
          <w:pgSz w:w="11900" w:h="16838" w:orient="portrait"/>
          <w:cols w:equalWidth="0" w:num="1">
            <w:col w:w="11420"/>
          </w:cols>
          <w:pgMar w:left="240" w:top="125" w:right="239" w:bottom="26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60" w:gutter="0" w:footer="0" w:header="0"/>
          <w:type w:val="continuous"/>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Executive prior to the effective date of termination, less applicable deductions and withholdings, paid in accordance with Section 2.2 but in no event later than two and one-half (2 1/2) months following the end of the fiscal year to which it relates. For the avoidance of doubt, (x) Executive does not have to be employed by Employer on the date such bonuses are approved by the Employer to receive such bonuses; and (y) this provision shall not be construed as guaranteeing the payment of a bonus for such year(s); and</w:t>
      </w:r>
    </w:p>
    <w:p>
      <w:pPr>
        <w:spacing w:after="0" w:line="187" w:lineRule="exact"/>
        <w:rPr>
          <w:sz w:val="20"/>
          <w:szCs w:val="20"/>
          <w:color w:val="auto"/>
        </w:rPr>
      </w:pPr>
    </w:p>
    <w:p>
      <w:pPr>
        <w:ind w:right="40" w:firstLine="2601"/>
        <w:spacing w:after="0" w:line="287" w:lineRule="auto"/>
        <w:tabs>
          <w:tab w:leader="none" w:pos="3241"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So long as Executive is eligible, and so long as Executive remains eligible, for and upon his timely election of COBRA coverage, Employer will continue to pay, directly to the healthcare provider when due, 100% of the medical, vision and dental coverage premiums (including employee contributions, if any) until the earlier of (i) the end of the eight (8) month period following the effective date of termination; or (ii) the date when Executive becomes eligible for substantially equivalent health insurance coverage in connection with new employment (the “Nonrenewal COBRA Payment Period”); provided that Executive must immediately notify Employer in the event Executive becomes eligible for coverage under another employer’s group health plan during the Nonrenewal COBRA Payment Period; and provided further that, if at any time Employer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for the remainder of the Nonrenewal COBRA Payment Period, Employer will instead pay Executive on the first day of each month of the remainder of the Nonrenewal COBRA Payment Period, a fully taxable cash payment equal to the COBRA premiums for that month, subject to applicable tax withholdings, for the remainder of the Nonrenewal COBRA Payment Period.</w:t>
      </w:r>
    </w:p>
    <w:p>
      <w:pPr>
        <w:spacing w:after="0" w:line="16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3.3 Nature of Payments</w:t>
      </w:r>
      <w:r>
        <w:rPr>
          <w:rFonts w:ascii="Arial" w:cs="Arial" w:eastAsia="Arial" w:hAnsi="Arial"/>
          <w:sz w:val="18"/>
          <w:szCs w:val="18"/>
          <w:color w:val="auto"/>
        </w:rPr>
        <w:t>. All amounts to be paid by Employer to Executive pursuant to Sections 3.2.1(i) — (iv) and 3.2.3(i) — (iii)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by the parties to be severance payments and are in lieu of, and not in addition to, any benefits to which Executive may otherwise be entitled under any Employer severance plan, policy or program.</w:t>
      </w:r>
    </w:p>
    <w:p>
      <w:pPr>
        <w:spacing w:after="0" w:line="1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3.4 Duties Upon Termination</w:t>
      </w:r>
      <w:r>
        <w:rPr>
          <w:rFonts w:ascii="Arial" w:cs="Arial" w:eastAsia="Arial" w:hAnsi="Arial"/>
          <w:sz w:val="17"/>
          <w:szCs w:val="17"/>
          <w:color w:val="auto"/>
        </w:rPr>
        <w:t>. During the Severance Period, if there is a Severance Period applicable to Executive’s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from Employer, Executive shall fully cooperate with Employer in all matters relating to the winding up of Executive’s pending work including, but not limited to, any litigation in which Employer is involved, and the orderly transfer of any such pending work to such other employees as may be designated by Employer. Notwithstanding the foregoing, such cooperation requirement shall not unreasonably interfere with his then current employment or business activities. With Employer’s prior approval, Executive shall be reimbursed for all expenses reasonably incurred in connection with such cooperation. Following the end of the Severance Period, Executive will be released from any duties and obligations hereunder (except those duties and obligations set forth in Article 4 hereof). In the event of termination of Executive’s employment pursuant to Sections 3.1.1 through 3.1.7 hereof, the obligations of Employer to Executive will be as set forth in Section 3.2 hereof. Upon termination, Executive shall immediately resign from any position on the Board (including his position as a director on the Board), and from his position as CEO and President of Employer.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b w:val="1"/>
          <w:bCs w:val="1"/>
          <w:color w:val="auto"/>
        </w:rPr>
        <w:t>3.5 Severance Period</w:t>
      </w:r>
      <w:r>
        <w:rPr>
          <w:rFonts w:ascii="Arial" w:cs="Arial" w:eastAsia="Arial" w:hAnsi="Arial"/>
          <w:sz w:val="18"/>
          <w:szCs w:val="18"/>
          <w:color w:val="auto"/>
        </w:rPr>
        <w:t>. “Severance Period” shall mean a period of twelve (12) months beginning on the effective date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with Employer and ending on the first anniversary of such date.</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3.6 Release</w:t>
      </w:r>
      <w:r>
        <w:rPr>
          <w:rFonts w:ascii="Arial" w:cs="Arial" w:eastAsia="Arial" w:hAnsi="Arial"/>
          <w:sz w:val="18"/>
          <w:szCs w:val="18"/>
          <w:color w:val="auto"/>
        </w:rPr>
        <w:t>. Notwithstanding any provision of this Employment Agreement to the contrary, in no event shall the timing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Release, directly or indirectly, result in Executive designating the calendar year of payment, and if a payment that is subject to the requirements of Section 409A of the Code and is subject to execution of the Release could be made in more than one taxable year based on when the Release is executed or becomes effective, payment shall be made in the later year.</w:t>
      </w:r>
    </w:p>
    <w:p>
      <w:pPr>
        <w:spacing w:after="0" w:line="180"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b w:val="1"/>
          <w:bCs w:val="1"/>
          <w:color w:val="auto"/>
        </w:rPr>
        <w:t>3.7 Commencement of Severance Payments</w:t>
      </w:r>
      <w:r>
        <w:rPr>
          <w:rFonts w:ascii="Arial" w:cs="Arial" w:eastAsia="Arial" w:hAnsi="Arial"/>
          <w:sz w:val="16"/>
          <w:szCs w:val="16"/>
          <w:color w:val="auto"/>
        </w:rPr>
        <w:t>. The severance payments and benefits set forth in Sections 3.2.1(i) — (iv) (Termination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for Death, Disability, Without Cause, by Executive for Good Reason) and Sections 3.2.3(i) — (iii) (Termination Upon Non-Renewal by Employer) above will not be paid or provided unless Executive executes and does not revoke the Release and the Release is enforceable and effective as provided in the Release on or before the date that is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effective date of termination (such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the “Severance Pay Commencement Date”). No cash severance payments will be paid pursuant to Sections 3.2.1 or 3.2.3 prior to the Severance Pay Commencement Date. On the Severance Pay Commencement Date Employer will pay in a lump sum the aggregate amount of the cash severance payments that Employer would have paid Executive through such date had the payments commenced on the effective date of termination through the Severance Pay Commencement Date, with the balance paid thereafter on the applicable schedules described above. Notwithstanding any other provision of this Agreement to the contrary, it is intended that the payment of severance upon termination for Good Reason by Executive in accordance with Section 3.1.7 satisfy the safe harbor set forth in Treasury Regulation Section 1.409A-1(n)(2)(ii)), and any severance payment made pursuant to this Agreement shall satisfy the exemptions from the application of Section 409A of the Code provided under Treasury Regulation Sections 1.409A-1(b)(4), and 1.409A-1(b)(9).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NON-COMPETITION AND NON-SOLICITATION;</w:t>
      </w:r>
    </w:p>
    <w:p>
      <w:pPr>
        <w:spacing w:after="0" w:line="20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4.1 Confidentiality and Invention Rights. </w:t>
      </w:r>
      <w:r>
        <w:rPr>
          <w:rFonts w:ascii="Arial" w:cs="Arial" w:eastAsia="Arial" w:hAnsi="Arial"/>
          <w:sz w:val="18"/>
          <w:szCs w:val="18"/>
          <w:color w:val="auto"/>
        </w:rPr>
        <w:t>The parties hereto have entered into a Confidentiality and Invention Rights, Non-Competition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Non-Solicitation Agreement, which may be amended by the parties from time to time without regard to this Agreement. The Confidentiality and Invention Rights, Non-Competition and Non-Solicitation Agreement contains provisions that are intended by the parties to survive and do survive termination of this Agreement.</w:t>
      </w:r>
    </w:p>
    <w:p>
      <w:pPr>
        <w:spacing w:after="0" w:line="18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4.2 Remedies</w:t>
      </w:r>
      <w:r>
        <w:rPr>
          <w:rFonts w:ascii="Arial" w:cs="Arial" w:eastAsia="Arial" w:hAnsi="Arial"/>
          <w:sz w:val="18"/>
          <w:szCs w:val="18"/>
          <w:color w:val="auto"/>
        </w:rPr>
        <w:t>. Executive acknowledges and agrees that (a) Employer will be irreparably injured in the event of a breach by Executive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his obligations under this Article 4; (b) monetary damages will not be an adequate remedy for any such breach; and (c) in the event of any such breach, the Employer will be entitled to injunctive relief, in addition to any other remedy which it may have, and Executive shall not oppose such injunctive relief based upon the extent of the harm or the adequacy of monetary damages.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ectPr>
          <w:pgSz w:w="11900" w:h="16838" w:orient="portrait"/>
          <w:cols w:equalWidth="0" w:num="1">
            <w:col w:w="11420"/>
          </w:cols>
          <w:pgMar w:left="240" w:top="341" w:right="239" w:bottom="0" w:gutter="0" w:footer="0" w:header="0"/>
        </w:sectPr>
      </w:pPr>
    </w:p>
    <w:bookmarkStart w:id="49" w:name="page50"/>
    <w:bookmarkEnd w:id="49"/>
    <w:p>
      <w:pPr>
        <w:ind w:right="200" w:firstLine="648"/>
        <w:spacing w:after="0" w:line="303" w:lineRule="auto"/>
        <w:rPr>
          <w:sz w:val="20"/>
          <w:szCs w:val="20"/>
          <w:color w:val="auto"/>
        </w:rPr>
      </w:pPr>
      <w:r>
        <w:rPr>
          <w:rFonts w:ascii="Arial" w:cs="Arial" w:eastAsia="Arial" w:hAnsi="Arial"/>
          <w:sz w:val="16"/>
          <w:szCs w:val="16"/>
          <w:b w:val="1"/>
          <w:bCs w:val="1"/>
          <w:color w:val="auto"/>
        </w:rPr>
        <w:t>5.1 Severability</w:t>
      </w:r>
      <w:r>
        <w:rPr>
          <w:rFonts w:ascii="Arial" w:cs="Arial" w:eastAsia="Arial" w:hAnsi="Arial"/>
          <w:sz w:val="16"/>
          <w:szCs w:val="16"/>
          <w:color w:val="auto"/>
        </w:rPr>
        <w:t>. If in any jurisdiction any term or provision hereof is determined to be invalid or unenforceable, (a) the remaining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hereof shall be unimpaired, (b) any such invalidity or unenforceability in any jurisdiction shall not invalidate or render unenforceable such provision in any other jurisdiction, and (c) the invalid or unenforceable term or provision shall, for purposes of such jurisdiction, be deemed replaced by a term or provision that is valid and enforceable and that comes closest to expressing the intention of the invalid or unenforceable term or provision.</w:t>
      </w:r>
    </w:p>
    <w:p>
      <w:pPr>
        <w:spacing w:after="0" w:line="15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5.2 Execution in Counterparts</w:t>
      </w:r>
      <w:r>
        <w:rPr>
          <w:rFonts w:ascii="Arial" w:cs="Arial" w:eastAsia="Arial" w:hAnsi="Arial"/>
          <w:sz w:val="18"/>
          <w:szCs w:val="18"/>
          <w:color w:val="auto"/>
        </w:rPr>
        <w:t>. This Employment Agreement may be executed in one or more counterparts, and by the different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 separate counterparts, each of which shall be deemed to be an original but all of which taken together shall constitute one and the same agreement (and all signatures need not appear on any one counterpart), and this Employment Agreement shall become effective when one or more counterparts has been signed by each of the parties hereto and delivered to each of the other parties hereto.</w:t>
      </w:r>
    </w:p>
    <w:p>
      <w:pPr>
        <w:spacing w:after="0" w:line="180"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b w:val="1"/>
          <w:bCs w:val="1"/>
          <w:color w:val="auto"/>
        </w:rPr>
        <w:t>5.3 Notices</w:t>
      </w:r>
      <w:r>
        <w:rPr>
          <w:rFonts w:ascii="Arial" w:cs="Arial" w:eastAsia="Arial" w:hAnsi="Arial"/>
          <w:sz w:val="18"/>
          <w:szCs w:val="18"/>
          <w:color w:val="auto"/>
        </w:rPr>
        <w:t>. All notices, requests, demands and other communications hereunder shall be in writing and shall be deemed duly given when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hand, or when delivered if mailed by registered or certified mail, postage prepaid, return receipt requested, or private courier service or via facsimile (with written confirmation of receipt) or email (with written confirmation of receipt)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Employer,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Lindenwood Drive, Suite 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Malvern, Pennsylvania 19355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Kamil Ali-Jackson,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kalijackson@aclaristx.com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484-324-7933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Neal Walker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170 Diamond Rock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Phoenixville, Pennsylvania 19460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nwalker@aclaristx.com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address(es) as a party hereto shall have designated by like notice to the other parties hereto.</w:t>
      </w:r>
    </w:p>
    <w:p>
      <w:pPr>
        <w:spacing w:after="0" w:line="22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5.4 Amendment</w:t>
      </w:r>
      <w:r>
        <w:rPr>
          <w:rFonts w:ascii="Arial" w:cs="Arial" w:eastAsia="Arial" w:hAnsi="Arial"/>
          <w:sz w:val="18"/>
          <w:szCs w:val="18"/>
          <w:color w:val="auto"/>
        </w:rPr>
        <w:t>. No provision of this Employment Agreement may be modified, amended, waived or discharged in any manner except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instrument executed by Employer and Executive.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b w:val="1"/>
          <w:bCs w:val="1"/>
          <w:color w:val="auto"/>
        </w:rPr>
        <w:t>5.5 Entire Agreement</w:t>
      </w:r>
      <w:r>
        <w:rPr>
          <w:rFonts w:ascii="Arial" w:cs="Arial" w:eastAsia="Arial" w:hAnsi="Arial"/>
          <w:sz w:val="16"/>
          <w:szCs w:val="16"/>
          <w:color w:val="auto"/>
        </w:rPr>
        <w:t>. This Employment Agreement constitutes the entire agreement of the parties hereto with respect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supersedes all prior agreements and understandings of the parties hereto, oral or written, with respect to the subject matter hereof, including but not limited to the Prior Agreement. No representation, promise or inducement has been made by either party that is not embodied in this Employment Agreement, and neither party shall be bound by or liable for any alleged representation, promise or inducement not so set forth.</w:t>
      </w:r>
    </w:p>
    <w:p>
      <w:pPr>
        <w:spacing w:after="0" w:line="151"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b w:val="1"/>
          <w:bCs w:val="1"/>
          <w:color w:val="auto"/>
        </w:rPr>
        <w:t>5.6 Applicable Law</w:t>
      </w:r>
      <w:r>
        <w:rPr>
          <w:rFonts w:ascii="Arial" w:cs="Arial" w:eastAsia="Arial" w:hAnsi="Arial"/>
          <w:sz w:val="17"/>
          <w:szCs w:val="17"/>
          <w:color w:val="auto"/>
        </w:rPr>
        <w:t>. This Employment Agreement shall be governed by and construed in accordance with the laws of the Commonwealth of</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applicable to contracts made and to be wholly performed therein without regard to its conflicts or choice of law provisions.</w:t>
      </w:r>
    </w:p>
    <w:p>
      <w:pPr>
        <w:spacing w:after="0" w:line="13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5.7 Headings</w:t>
      </w:r>
      <w:r>
        <w:rPr>
          <w:rFonts w:ascii="Arial" w:cs="Arial" w:eastAsia="Arial" w:hAnsi="Arial"/>
          <w:sz w:val="18"/>
          <w:szCs w:val="18"/>
          <w:color w:val="auto"/>
        </w:rPr>
        <w:t>. The headings contained herein are for the sole purpose of convenience of reference, and shall not in any way limit or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any of the terms or provisions of this Employment Agreement.</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5.8 Binding Effect; Successors and Assigns</w:t>
      </w:r>
      <w:r>
        <w:rPr>
          <w:rFonts w:ascii="Arial" w:cs="Arial" w:eastAsia="Arial" w:hAnsi="Arial"/>
          <w:sz w:val="18"/>
          <w:szCs w:val="18"/>
          <w:color w:val="auto"/>
        </w:rPr>
        <w:t>. Executive may not delegate his duties or assign his rights hereunder. This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inure to the benefit of, and be binding upon, the parties hereto and their respective heirs, legal representatives, and successors. Employer may assign this Employment Agreement to any entity purchasing all or substantially all of the assets of Employer.</w:t>
      </w:r>
    </w:p>
    <w:p>
      <w:pPr>
        <w:spacing w:after="0" w:line="17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5.9 Waiver, etc</w:t>
      </w:r>
      <w:r>
        <w:rPr>
          <w:rFonts w:ascii="Arial" w:cs="Arial" w:eastAsia="Arial" w:hAnsi="Arial"/>
          <w:sz w:val="16"/>
          <w:szCs w:val="16"/>
          <w:color w:val="auto"/>
        </w:rPr>
        <w:t>. The failure of either of the parties hereto to at any time enforce any of the provisions of this Employment Agreement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or construed to be a waiver of any such provision, nor to in any way affect the validity of this Employment Agreement or any provision hereof or the right of either of the parties hereto to thereafter enforce each and every provision of this Employment Agreement. No waiver of any breach of any of the provisions of this Employment Agreement shall be effective unless set forth in a written instrument executed by the party against whom or which enforcement of such waiver is sought, and no waiver of any such breach shall be construed or deemed to be a waiver of any other or subsequent breach.</w:t>
      </w:r>
    </w:p>
    <w:p>
      <w:pPr>
        <w:spacing w:after="0" w:line="15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5.10 Continuing Effect</w:t>
      </w:r>
      <w:r>
        <w:rPr>
          <w:rFonts w:ascii="Arial" w:cs="Arial" w:eastAsia="Arial" w:hAnsi="Arial"/>
          <w:sz w:val="18"/>
          <w:szCs w:val="18"/>
          <w:color w:val="auto"/>
        </w:rPr>
        <w:t>. Provisions of this Agreement which by their terms must survive the termination of this Agreement in order to effectuate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5.11 Representations and Warranties of Executive</w:t>
      </w:r>
      <w:r>
        <w:rPr>
          <w:rFonts w:ascii="Arial" w:cs="Arial" w:eastAsia="Arial" w:hAnsi="Arial"/>
          <w:sz w:val="18"/>
          <w:szCs w:val="18"/>
          <w:color w:val="auto"/>
        </w:rPr>
        <w:t>. Executive hereby represents and warrants to Employer that to the knowledge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not bound by any non-competition or other agreement which would prevent his performance hereunder.</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5.12 Section 409A of the Code</w:t>
      </w:r>
      <w:r>
        <w:rPr>
          <w:rFonts w:ascii="Arial" w:cs="Arial" w:eastAsia="Arial" w:hAnsi="Arial"/>
          <w:sz w:val="18"/>
          <w:szCs w:val="18"/>
          <w:color w:val="auto"/>
        </w:rPr>
        <w:t>. This Employment Agreement is intended to comply with Section 409A of the Code and its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or an exemption, and payments may only be made under this Employment Agreement upon an event and in a manner permitted by Section 409A of the Code, to the extent applicable. Payment under this Employment Agreement is intended to be exempt from Code Section 409A under the “short-term deferral”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16" w:gutter="0" w:footer="0" w:header="0"/>
        </w:sectPr>
      </w:pPr>
    </w:p>
    <w:bookmarkStart w:id="50" w:name="page51"/>
    <w:bookmarkEnd w:id="50"/>
    <w:p>
      <w:pPr>
        <w:ind w:right="80"/>
        <w:spacing w:after="0" w:line="283" w:lineRule="auto"/>
        <w:rPr>
          <w:sz w:val="20"/>
          <w:szCs w:val="20"/>
          <w:color w:val="auto"/>
        </w:rPr>
      </w:pPr>
      <w:r>
        <w:rPr>
          <w:rFonts w:ascii="Arial" w:cs="Arial" w:eastAsia="Arial" w:hAnsi="Arial"/>
          <w:sz w:val="16"/>
          <w:szCs w:val="16"/>
          <w:color w:val="auto"/>
        </w:rPr>
        <w:t>exception set forth in Treasury Regulation Section 1.409A-1(b)(4), to the maximum extent applicable, and then under the “separation pay” exception set forth in Treasury Regulation Section 1.409A-1(b)(9), to the maximum extent applicable. All payments to be made upon a termination of employment under this Agreement may only be made upon a “separation from service” within the meaning of Treasury Regulation Section 1.409A-1(h) (or any successor provision) (a “Separation from Service”). For purposes of Code Section 409A, the right to a series of installment payments under this Agreement shall be treated as a right to a series of separate payments. In no event may the Executive, directly or indirectly, designate the calendar year of a payment. If the termination of employment giving rise to the payments described in Section 3.2.1 is not a Separation from Service, then the amounts otherwise payable pursuant to Section 3.2.1 will instead be deferred without interest and paid when Executive experiences a Separation from Service. Notwithstanding anything in this Employment Agreement to the contrary or otherwise, with respect to any expense, reimbursement or in-kind benefit provided pursuant to this Employment Agreement that constitutes a “deferral of compensation” within the meaning of Section 409A of the Code and its implementing regulations and guidance,</w:t>
      </w:r>
    </w:p>
    <w:p>
      <w:pPr>
        <w:spacing w:after="0" w:line="7" w:lineRule="exact"/>
        <w:rPr>
          <w:sz w:val="20"/>
          <w:szCs w:val="20"/>
          <w:color w:val="auto"/>
        </w:rPr>
      </w:pPr>
    </w:p>
    <w:p>
      <w:pPr>
        <w:ind w:right="100" w:firstLine="8"/>
        <w:spacing w:after="0" w:line="285" w:lineRule="auto"/>
        <w:tabs>
          <w:tab w:leader="none" w:pos="2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expenses eligible for reimbursement or in-kind benefits provided to Executive must be incurred during the Amended Employment Term (or applicable survival period), (b) the amount of expenses eligible for reimbursement or in-kind benefits provided to Executive during any calendar year will not affect the amount of expenses eligible for reimbursement or in-kind benefits provided to Executive in any other calendar year, (c) the reimbursements for expenses for which Executive is entitled to be reimbursed shall be made on or before the last day of the calendar year following the calendar year in which the applicable expense is incurred and (d) the right to payment or reimbursement or in-kind benefits hereunder may not be liquidated or exchanged for any other benefit. Notwithstanding any provision to the contrary in this Agreement, if Executive is deemed by Employer at the time of his Separation from Service to be a “specified employee” for purposes of Section 409A(a)(2)(B)(i) of the Code, and if any of the payments due upon Separation From Service set forth herein and/or under any other agreement with Employer are deemed to be “deferred compensation,” then to the extent delayed commencement of any portion of such payments is required to avoid a prohibited distribution under Section 409A(a)(2)(B)(i) of the Code and the related adverse taxation under Section 409A of the Code, such payments will not be provided to Executive prior to the earliest of (i) the expiration of the six (6)-month period measured from the date of Executive’s Separation From Service with Employer, (ii) the date of Executive’s death or (iii) such earlier date as permitted under Section 409A of the Code without the imposition of adverse taxation. Upon the first business day following the expiration of such applicable Code Section 409A(a)(2)(B)(i) period, all payments deferred pursuant to this paragraph will be paid in a lump sum to Executive, and any remaining payments due will be paid as otherwise provided in this Agreement or in the applicable agreement. No interest will be due on any amounts so deferred.</w:t>
      </w:r>
    </w:p>
    <w:p>
      <w:pPr>
        <w:spacing w:after="0" w:line="164"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5.13 Dispute Resolution</w:t>
      </w:r>
      <w:r>
        <w:rPr>
          <w:rFonts w:ascii="Arial" w:cs="Arial" w:eastAsia="Arial" w:hAnsi="Arial"/>
          <w:sz w:val="16"/>
          <w:szCs w:val="16"/>
          <w:color w:val="auto"/>
        </w:rPr>
        <w:t>. The parties recognize that litigation in federal or state courts or before federal or state administrative agencies of</w:t>
      </w:r>
      <w:r>
        <w:rPr>
          <w:rFonts w:ascii="Arial" w:cs="Arial" w:eastAsia="Arial" w:hAnsi="Arial"/>
          <w:sz w:val="16"/>
          <w:szCs w:val="16"/>
          <w:b w:val="1"/>
          <w:bCs w:val="1"/>
          <w:color w:val="auto"/>
        </w:rPr>
        <w:t xml:space="preserve"> </w:t>
      </w:r>
      <w:r>
        <w:rPr>
          <w:rFonts w:ascii="Arial" w:cs="Arial" w:eastAsia="Arial" w:hAnsi="Arial"/>
          <w:sz w:val="16"/>
          <w:szCs w:val="16"/>
          <w:color w:val="auto"/>
        </w:rPr>
        <w:t>disputes arising out of the Executive’s employment with the Employer or out of this Agreement, or the Executive’s termination of employment or termination of this Agreement, may not be in the best interests of either the Executive or Employer,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Philadelphia, Pennsylvania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Employer. The parties acknowledge and agree that their obligations to arbitrate under this Section survive the termination of this Agreement and continue after the termination of the employment relationship between Executive and Employer. The parties each further agree that the arbitration provisions of this Agreement shall provide each party with its </w:t>
      </w:r>
      <w:r>
        <w:rPr>
          <w:rFonts w:ascii="Arial" w:cs="Arial" w:eastAsia="Arial" w:hAnsi="Arial"/>
          <w:sz w:val="16"/>
          <w:szCs w:val="16"/>
          <w:b w:val="1"/>
          <w:bCs w:val="1"/>
          <w:color w:val="auto"/>
        </w:rPr>
        <w:t>exclusive remedy</w:t>
      </w:r>
      <w:r>
        <w:rPr>
          <w:rFonts w:ascii="Arial" w:cs="Arial" w:eastAsia="Arial" w:hAnsi="Arial"/>
          <w:sz w:val="16"/>
          <w:szCs w:val="16"/>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6"/>
          <w:szCs w:val="16"/>
          <w:b w:val="1"/>
          <w:bCs w:val="1"/>
          <w:color w:val="auto"/>
        </w:rPr>
        <w:t>the 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this Employment Agreement has been executed and delivered by the parties hereto as of the Agreement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ACLARIS THERAPEUTICS, INC.</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By:  /s/ Stephen Tullman</w:t>
            </w:r>
          </w:p>
        </w:tc>
        <w:tc>
          <w:tcPr>
            <w:tcW w:w="8080" w:type="dxa"/>
            <w:vAlign w:val="bottom"/>
            <w:gridSpan w:val="3"/>
          </w:tcPr>
          <w:p>
            <w:pPr>
              <w:ind w:left="2380"/>
              <w:spacing w:after="0"/>
              <w:rPr>
                <w:sz w:val="20"/>
                <w:szCs w:val="20"/>
                <w:color w:val="auto"/>
              </w:rPr>
            </w:pPr>
            <w:r>
              <w:rPr>
                <w:rFonts w:ascii="Arial" w:cs="Arial" w:eastAsia="Arial" w:hAnsi="Arial"/>
                <w:sz w:val="18"/>
                <w:szCs w:val="18"/>
                <w:color w:val="auto"/>
              </w:rPr>
              <w:t>10-5-15</w:t>
            </w:r>
          </w:p>
        </w:tc>
        <w:tc>
          <w:tcPr>
            <w:tcW w:w="40" w:type="dxa"/>
            <w:vAlign w:val="bottom"/>
          </w:tcPr>
          <w:p>
            <w:pPr>
              <w:spacing w:after="0"/>
              <w:rPr>
                <w:sz w:val="24"/>
                <w:szCs w:val="24"/>
                <w:color w:val="auto"/>
              </w:rPr>
            </w:pPr>
          </w:p>
        </w:tc>
      </w:tr>
      <w:tr>
        <w:trPr>
          <w:trHeight w:val="195"/>
        </w:trPr>
        <w:tc>
          <w:tcPr>
            <w:tcW w:w="460" w:type="dxa"/>
            <w:vAlign w:val="bottom"/>
            <w:gridSpan w:val="2"/>
          </w:tcPr>
          <w:p>
            <w:pPr>
              <w:spacing w:after="0" w:line="195" w:lineRule="exact"/>
              <w:rPr>
                <w:sz w:val="20"/>
                <w:szCs w:val="20"/>
                <w:color w:val="auto"/>
              </w:rPr>
            </w:pPr>
            <w:r>
              <w:rPr>
                <w:rFonts w:ascii="Arial" w:cs="Arial" w:eastAsia="Arial" w:hAnsi="Arial"/>
                <w:sz w:val="18"/>
                <w:szCs w:val="18"/>
                <w:color w:val="auto"/>
                <w:w w:val="82"/>
              </w:rPr>
              <w:t>Name:</w:t>
            </w:r>
          </w:p>
        </w:tc>
        <w:tc>
          <w:tcPr>
            <w:tcW w:w="28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Stephen Tullman</w:t>
            </w:r>
          </w:p>
        </w:tc>
        <w:tc>
          <w:tcPr>
            <w:tcW w:w="20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c>
          <w:tcPr>
            <w:tcW w:w="40" w:type="dxa"/>
            <w:vAlign w:val="bottom"/>
          </w:tcPr>
          <w:p>
            <w:pPr>
              <w:spacing w:after="0"/>
              <w:rPr>
                <w:sz w:val="16"/>
                <w:szCs w:val="16"/>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Title: Chairman of the Board</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/s/ Neal Walker</w:t>
            </w:r>
          </w:p>
        </w:tc>
        <w:tc>
          <w:tcPr>
            <w:tcW w:w="8080" w:type="dxa"/>
            <w:vAlign w:val="bottom"/>
            <w:gridSpan w:val="3"/>
          </w:tcPr>
          <w:p>
            <w:pPr>
              <w:ind w:left="2380"/>
              <w:spacing w:after="0"/>
              <w:rPr>
                <w:sz w:val="20"/>
                <w:szCs w:val="20"/>
                <w:color w:val="auto"/>
              </w:rPr>
            </w:pPr>
            <w:r>
              <w:rPr>
                <w:rFonts w:ascii="Arial" w:cs="Arial" w:eastAsia="Arial" w:hAnsi="Arial"/>
                <w:sz w:val="18"/>
                <w:szCs w:val="18"/>
                <w:color w:val="auto"/>
              </w:rPr>
              <w:t>10-5-15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Neal Walker</w:t>
            </w:r>
          </w:p>
        </w:tc>
        <w:tc>
          <w:tcPr>
            <w:tcW w:w="2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80" w:type="dxa"/>
            <w:vAlign w:val="bottom"/>
            <w:gridSpan w:val="3"/>
          </w:tcPr>
          <w:p>
            <w:pPr>
              <w:jc w:val="center"/>
              <w:ind w:right="3250"/>
              <w:spacing w:after="0"/>
              <w:rPr>
                <w:sz w:val="20"/>
                <w:szCs w:val="20"/>
                <w:color w:val="auto"/>
              </w:rPr>
            </w:pPr>
            <w:r>
              <w:rPr>
                <w:rFonts w:ascii="Arial" w:cs="Arial" w:eastAsia="Arial" w:hAnsi="Arial"/>
                <w:sz w:val="18"/>
                <w:szCs w:val="18"/>
                <w:color w:val="auto"/>
                <w:w w:val="89"/>
              </w:rPr>
              <w:t>15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80" w:type="dxa"/>
            <w:vAlign w:val="bottom"/>
            <w:gridSpan w:val="3"/>
          </w:tcPr>
          <w:p>
            <w:pPr>
              <w:jc w:val="center"/>
              <w:ind w:right="3250"/>
              <w:spacing w:after="0"/>
              <w:rPr>
                <w:sz w:val="20"/>
                <w:szCs w:val="20"/>
                <w:color w:val="auto"/>
              </w:rPr>
            </w:pPr>
            <w:r>
              <w:rPr>
                <w:rFonts w:ascii="Arial" w:cs="Arial" w:eastAsia="Arial" w:hAnsi="Arial"/>
                <w:sz w:val="18"/>
                <w:szCs w:val="18"/>
                <w:b w:val="1"/>
                <w:bCs w:val="1"/>
                <w:color w:val="auto"/>
                <w:w w:val="94"/>
              </w:rPr>
              <w:t>Exhibit A</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80" w:type="dxa"/>
            <w:vAlign w:val="bottom"/>
            <w:gridSpan w:val="3"/>
          </w:tcPr>
          <w:p>
            <w:pPr>
              <w:jc w:val="center"/>
              <w:ind w:right="3250"/>
              <w:spacing w:after="0"/>
              <w:rPr>
                <w:sz w:val="20"/>
                <w:szCs w:val="20"/>
                <w:color w:val="auto"/>
              </w:rPr>
            </w:pPr>
            <w:r>
              <w:rPr>
                <w:rFonts w:ascii="Arial" w:cs="Arial" w:eastAsia="Arial" w:hAnsi="Arial"/>
                <w:sz w:val="18"/>
                <w:szCs w:val="18"/>
                <w:b w:val="1"/>
                <w:bCs w:val="1"/>
                <w:color w:val="auto"/>
                <w:w w:val="89"/>
              </w:rPr>
              <w:t>List of Entities Referenced in Section 1.2.2.</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Aldeyra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Sebacia,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Zoomi,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Alexar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Pennsylvania Bio</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This EMPLOYMENT AGREEMENT (the “Employment Agreement”), effective as of, and contingent upon, the effectiveness of the registration statement for Employer’s initial public offering (“Agreement Effective Date”), is made by and between Aclaris Therapeutics, Inc., a corporation organized under the laws of the State of Delaware (“Employer”) and Stuart Shanler (“Executive”).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Executive desires to continue to provide services to Employer and Employer desires to continue to retain the services of Executive;</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WHEREAS, in consideration of Executive’s employment by Employer for more than three (3) years prior to the Agreement Effective Date,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Employer and Executive desire to enter this Employment Agreement and formalize the terms and conditions of Executive’s employment with Employer; and</w:t>
      </w:r>
    </w:p>
    <w:p>
      <w:pPr>
        <w:spacing w:after="0" w:line="23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this Agreement has been duly approved and its execution has been duly authorized by the Compensation Committee of Employer’s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Employer and Executive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w:t>
      </w:r>
    </w:p>
    <w:p>
      <w:pPr>
        <w:spacing w:after="0" w:line="20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1.1 General</w:t>
      </w:r>
      <w:r>
        <w:rPr>
          <w:rFonts w:ascii="Arial" w:cs="Arial" w:eastAsia="Arial" w:hAnsi="Arial"/>
          <w:sz w:val="18"/>
          <w:szCs w:val="18"/>
          <w:color w:val="auto"/>
        </w:rPr>
        <w:t>. Employer hereby agrees to continue to employ Executive in the capacity of Chief Scientific Officer. Executive hereby accepts</w:t>
      </w:r>
      <w:r>
        <w:rPr>
          <w:rFonts w:ascii="Arial" w:cs="Arial" w:eastAsia="Arial" w:hAnsi="Arial"/>
          <w:sz w:val="18"/>
          <w:szCs w:val="18"/>
          <w:b w:val="1"/>
          <w:bCs w:val="1"/>
          <w:color w:val="auto"/>
        </w:rPr>
        <w:t xml:space="preserve"> </w:t>
      </w:r>
      <w:r>
        <w:rPr>
          <w:rFonts w:ascii="Arial" w:cs="Arial" w:eastAsia="Arial" w:hAnsi="Arial"/>
          <w:sz w:val="18"/>
          <w:szCs w:val="18"/>
          <w:color w:val="auto"/>
        </w:rPr>
        <w:t>such continued employment upon the terms and subject to the conditions herein contained.</w:t>
      </w:r>
    </w:p>
    <w:p>
      <w:pPr>
        <w:spacing w:after="0" w:line="162"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1.2 Authority and Duties</w:t>
      </w:r>
      <w:r>
        <w:rPr>
          <w:rFonts w:ascii="Arial" w:cs="Arial" w:eastAsia="Arial" w:hAnsi="Arial"/>
          <w:sz w:val="18"/>
          <w:szCs w:val="18"/>
          <w:color w:val="auto"/>
        </w:rPr>
        <w:t>. Executive shall have full responsibility as the Chief Scientific Officer of Employer and all authority normally</w:t>
      </w:r>
      <w:r>
        <w:rPr>
          <w:rFonts w:ascii="Arial" w:cs="Arial" w:eastAsia="Arial" w:hAnsi="Arial"/>
          <w:sz w:val="18"/>
          <w:szCs w:val="18"/>
          <w:b w:val="1"/>
          <w:bCs w:val="1"/>
          <w:color w:val="auto"/>
        </w:rPr>
        <w:t xml:space="preserve"> </w:t>
      </w:r>
      <w:r>
        <w:rPr>
          <w:rFonts w:ascii="Arial" w:cs="Arial" w:eastAsia="Arial" w:hAnsi="Arial"/>
          <w:sz w:val="18"/>
          <w:szCs w:val="18"/>
          <w:color w:val="auto"/>
        </w:rPr>
        <w:t>accorded to such position. Executive agrees to perform such duties and responsibilities commensurate with the position of Chief Scientific Officer as may reasonably be determined by the Board of Directors of Employer (the “Board”).</w:t>
      </w:r>
    </w:p>
    <w:p>
      <w:pPr>
        <w:spacing w:after="0" w:line="176"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b w:val="1"/>
          <w:bCs w:val="1"/>
          <w:color w:val="auto"/>
        </w:rPr>
        <w:t>1.2.1 Reporting</w:t>
      </w:r>
      <w:r>
        <w:rPr>
          <w:rFonts w:ascii="Arial" w:cs="Arial" w:eastAsia="Arial" w:hAnsi="Arial"/>
          <w:sz w:val="18"/>
          <w:szCs w:val="18"/>
          <w:color w:val="auto"/>
        </w:rPr>
        <w:t>. During Executive’s employment with Employer, Executive will report directly to, and take direction from,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“CEO”).</w:t>
      </w:r>
    </w:p>
    <w:p>
      <w:pPr>
        <w:spacing w:after="0" w:line="162"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6"/>
          <w:szCs w:val="16"/>
          <w:b w:val="1"/>
          <w:bCs w:val="1"/>
          <w:color w:val="auto"/>
        </w:rPr>
        <w:t>1.2.2 Time to Be Devoted to Employment</w:t>
      </w:r>
      <w:r>
        <w:rPr>
          <w:rFonts w:ascii="Arial" w:cs="Arial" w:eastAsia="Arial" w:hAnsi="Arial"/>
          <w:sz w:val="16"/>
          <w:szCs w:val="16"/>
          <w:color w:val="auto"/>
        </w:rPr>
        <w:t>. During Executive’s Employment with Employer, Executive shall diligently devote his</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business time, attention and energies to the business of Employer will not, while employed by Employer,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w:t>
      </w:r>
    </w:p>
    <w:p>
      <w:pPr>
        <w:spacing w:after="0" w:line="2" w:lineRule="exact"/>
        <w:rPr>
          <w:sz w:val="20"/>
          <w:szCs w:val="20"/>
          <w:color w:val="auto"/>
        </w:rPr>
      </w:pPr>
    </w:p>
    <w:p>
      <w:pPr>
        <w:ind w:right="60" w:firstLine="8"/>
        <w:spacing w:after="0" w:line="261"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other activities as may be specifically approved by the Board. This restriction shall not, however, preclude Executive (x) from owning less than one percent (1%) of the total outstanding shares of a publicly traded company, or (y) from employment or service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any capacity with Affiliates of Employer. As used in this Agreement, “Affiliates” means an entity under common management or control with Employer.</w:t>
      </w:r>
    </w:p>
    <w:p>
      <w:pPr>
        <w:spacing w:after="0" w:line="23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1.3 Other Responsibilities</w:t>
      </w:r>
      <w:r>
        <w:rPr>
          <w:rFonts w:ascii="Arial" w:cs="Arial" w:eastAsia="Arial" w:hAnsi="Arial"/>
          <w:sz w:val="18"/>
          <w:szCs w:val="18"/>
          <w:color w:val="auto"/>
        </w:rPr>
        <w:t>. Notwithstanding Section 1.2.2 above, the Board expressly grants Executive the right to (i) provide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Alexar Therapeutics, Inc.; and (ii) perform services, if necessary, for companies other than Employer, in connection with his ownership interests in such companies; provided that the provision of such services does not adversely affect his performance of services hereunder and does not otherwise result in a material breach hereunder.</w:t>
      </w:r>
    </w:p>
    <w:p>
      <w:pPr>
        <w:spacing w:after="0" w:line="180"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1.4 Location of Employment</w:t>
      </w:r>
      <w:r>
        <w:rPr>
          <w:rFonts w:ascii="Arial" w:cs="Arial" w:eastAsia="Arial" w:hAnsi="Arial"/>
          <w:sz w:val="18"/>
          <w:szCs w:val="18"/>
          <w:color w:val="auto"/>
        </w:rPr>
        <w:t>. Executive’s principal place of employment during his employment with Employer shall be in Malvern,</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or such other location as Employer and Executive shall agree.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AND BENEFITS</w:t>
      </w:r>
    </w:p>
    <w:p>
      <w:pPr>
        <w:spacing w:after="0" w:line="20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2.1 Salary</w:t>
      </w:r>
      <w:r>
        <w:rPr>
          <w:rFonts w:ascii="Arial" w:cs="Arial" w:eastAsia="Arial" w:hAnsi="Arial"/>
          <w:sz w:val="18"/>
          <w:szCs w:val="18"/>
          <w:color w:val="auto"/>
        </w:rPr>
        <w:t>. Employer will pay to Executive an annual base salary of two hundred eighty-seven thousand, four hundred ninety-eight Dollars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seventy-five Cents ($287,498.75), payable subject to standard federal and state payroll withholding requirements in accordance with the regular payroll practices of Employer (“Base Salary”). The annual Base Salary may be increased (but not decreased) during the term of this Employment Agreement by the Board in its sole discretion.</w:t>
      </w:r>
    </w:p>
    <w:p>
      <w:pPr>
        <w:spacing w:after="0" w:line="18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2.2 Additional Compensation</w:t>
      </w:r>
      <w:r>
        <w:rPr>
          <w:rFonts w:ascii="Arial" w:cs="Arial" w:eastAsia="Arial" w:hAnsi="Arial"/>
          <w:sz w:val="17"/>
          <w:szCs w:val="17"/>
          <w:color w:val="auto"/>
        </w:rPr>
        <w:t>. In addition to the salary set forth in Section 2.1, Executive shall be entitled to receive a cash bonus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of this Section 2.2. For each fiscal year of Employer, beginning January 1, during the Employment Term (as defined in Section 2.4 hereof), Executive shall be eligible to receive a cash bonus based on (i) the “Annual Bonus Expectancy Amount,” which shall be an amount equal to thirty percent (30%) of Executive’s Base Salary for the applicable fiscal year, and (ii) Executive’s attainment of performance targets and other reasonable criteria established by the Board, to the extent possible, by the end of the first month of such fiscal year. Depending on the targets and criteria which are achieved or met, the amount of the cash bonus actually payable to Executive for each fiscal year will be an amount from zero to and including the Annual Bonus Expectancy Amount. Any cash bonus amount payable pursuant to this Section 2.2 shall be paid to Executive as soon as practicable, but in no event later than two and one-half (2 1/2) months, following the end of the fiscal year to which it relates. It is explicitly agreed and understood that cash bonuses under this Section 2.2 are to be payable only if, and to the extent, that the Board in its judgment determines Employer has adequate cash flow and is adequately capitalized to support such payment.</w:t>
      </w:r>
    </w:p>
    <w:p>
      <w:pPr>
        <w:spacing w:after="0" w:line="178"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2.3 Executive Benefits</w:t>
      </w:r>
      <w:r>
        <w:rPr>
          <w:rFonts w:ascii="Arial" w:cs="Arial" w:eastAsia="Arial" w:hAnsi="Arial"/>
          <w:sz w:val="18"/>
          <w:szCs w:val="18"/>
          <w:color w:val="auto"/>
        </w:rPr>
        <w:t>. In addition to the salary and additional compensation set forth in Sections 2.1 and 2.2, Executive shall also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benefits during Executive’s employment hereunder:</w:t>
      </w:r>
    </w:p>
    <w:p>
      <w:pPr>
        <w:sectPr>
          <w:pgSz w:w="11900" w:h="16838" w:orient="portrait"/>
          <w:cols w:equalWidth="0" w:num="1">
            <w:col w:w="11420"/>
          </w:cols>
          <w:pgMar w:left="240" w:top="121" w:right="239" w:bottom="40" w:gutter="0" w:footer="0" w:header="0"/>
        </w:sectPr>
      </w:pPr>
    </w:p>
    <w:bookmarkStart w:id="53" w:name="page54"/>
    <w:bookmarkEnd w:id="53"/>
    <w:p>
      <w:pPr>
        <w:ind w:right="100" w:firstLine="1297"/>
        <w:spacing w:after="0" w:line="313" w:lineRule="auto"/>
        <w:rPr>
          <w:sz w:val="20"/>
          <w:szCs w:val="20"/>
          <w:color w:val="auto"/>
        </w:rPr>
      </w:pPr>
      <w:r>
        <w:rPr>
          <w:rFonts w:ascii="Arial" w:cs="Arial" w:eastAsia="Arial" w:hAnsi="Arial"/>
          <w:sz w:val="17"/>
          <w:szCs w:val="17"/>
          <w:b w:val="1"/>
          <w:bCs w:val="1"/>
          <w:color w:val="auto"/>
        </w:rPr>
        <w:t>2.3.1 Expenses</w:t>
      </w:r>
      <w:r>
        <w:rPr>
          <w:rFonts w:ascii="Arial" w:cs="Arial" w:eastAsia="Arial" w:hAnsi="Arial"/>
          <w:sz w:val="17"/>
          <w:szCs w:val="17"/>
          <w:color w:val="auto"/>
        </w:rPr>
        <w:t>. Employer will promptly reimburse Executive for expenses he reasonably incurs in connection with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his duties (including business travel and entertainment expenses), in accordance with Employer’s standard expense reimbursement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policy, as the same may be modified by Employer from time to time; provided, however, that Executive has provided Employer with documentation of such expenses in accordance with the Employer’s expense reimbursement policies and applicable tax requirements.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9"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2.3.2 Employer Plans</w:t>
      </w:r>
      <w:r>
        <w:rPr>
          <w:rFonts w:ascii="Arial" w:cs="Arial" w:eastAsia="Arial" w:hAnsi="Arial"/>
          <w:sz w:val="18"/>
          <w:szCs w:val="18"/>
          <w:color w:val="auto"/>
        </w:rPr>
        <w:t>. Executive will be eligible to participate on the same basis as similarly situated employees in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plans and programs, as they may be interpreted, adopted, revised or deleted from time to time in Employer’s sole discretion, subject to and on a basis consistent with the terms, conditions and overall administration of such plans and programs. All matters of eligibility for coverage or benefits under any benefit plan shall be determined in accordance with the provisions of such plan. Employer retains the unilateral right to amend, modify or terminate any of its employee benefit plans and programs at any time.</w:t>
      </w:r>
    </w:p>
    <w:p>
      <w:pPr>
        <w:spacing w:after="0" w:line="184" w:lineRule="exact"/>
        <w:rPr>
          <w:sz w:val="20"/>
          <w:szCs w:val="20"/>
          <w:color w:val="auto"/>
        </w:rPr>
      </w:pPr>
    </w:p>
    <w:p>
      <w:pPr>
        <w:ind w:right="460" w:firstLine="1297"/>
        <w:spacing w:after="0" w:line="313" w:lineRule="auto"/>
        <w:rPr>
          <w:sz w:val="20"/>
          <w:szCs w:val="20"/>
          <w:color w:val="auto"/>
        </w:rPr>
      </w:pPr>
      <w:r>
        <w:rPr>
          <w:rFonts w:ascii="Arial" w:cs="Arial" w:eastAsia="Arial" w:hAnsi="Arial"/>
          <w:sz w:val="17"/>
          <w:szCs w:val="17"/>
          <w:b w:val="1"/>
          <w:bCs w:val="1"/>
          <w:color w:val="auto"/>
        </w:rPr>
        <w:t>2.3.3 Vacation</w:t>
      </w:r>
      <w:r>
        <w:rPr>
          <w:rFonts w:ascii="Arial" w:cs="Arial" w:eastAsia="Arial" w:hAnsi="Arial"/>
          <w:sz w:val="17"/>
          <w:szCs w:val="17"/>
          <w:color w:val="auto"/>
        </w:rPr>
        <w:t>. Executive shall be eligible for paid vacation leave (not including regular holidays) consistent with the needs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Vacation must be scheduled at those times convenient to Employer’s business as reasonably determined by the CEO.</w:t>
      </w:r>
    </w:p>
    <w:p>
      <w:pPr>
        <w:spacing w:after="0" w:line="138"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b w:val="1"/>
          <w:bCs w:val="1"/>
          <w:color w:val="auto"/>
        </w:rPr>
        <w:t>2.3.4 Coverage</w:t>
      </w:r>
      <w:r>
        <w:rPr>
          <w:rFonts w:ascii="Arial" w:cs="Arial" w:eastAsia="Arial" w:hAnsi="Arial"/>
          <w:sz w:val="18"/>
          <w:szCs w:val="18"/>
          <w:color w:val="auto"/>
        </w:rPr>
        <w:t>. Nothing in this Employment Agreement shall prevent Executive from participating in any other compensation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 made available to him by Employer.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Withholding</w:t>
      </w:r>
      <w:r>
        <w:rPr>
          <w:rFonts w:ascii="Arial" w:cs="Arial" w:eastAsia="Arial" w:hAnsi="Arial"/>
          <w:sz w:val="16"/>
          <w:szCs w:val="16"/>
          <w:color w:val="auto"/>
        </w:rPr>
        <w:t>. All compensation shall be subject to withholding of taxes and deductions of other amounts as may be required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2.4 Employment Term</w:t>
      </w:r>
      <w:r>
        <w:rPr>
          <w:rFonts w:ascii="Arial" w:cs="Arial" w:eastAsia="Arial" w:hAnsi="Arial"/>
          <w:sz w:val="17"/>
          <w:szCs w:val="17"/>
          <w:color w:val="auto"/>
        </w:rPr>
        <w:t>. Unless earlier terminated pursuant to Section 3.1, Executive’s employment by Employer pursuant to this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continue until the second anniversary of the Agreement Effective Date (the “Initial Term”). Thereafter, this Employment Agreement shall be automatically renewed for successive one (1) year periods (the Initial Term, together with any subsequent employment period being referred to herein as the “Employment Term”); provided, however, that either party may elect to not renew this Employment Agreement by written notice to such effect delivered to the other party at least ninety (90) days prior to expiration of the Initial Term or the Employment Term.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EMPLOYMENT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Events of Termination</w:t>
      </w:r>
      <w:r>
        <w:rPr>
          <w:rFonts w:ascii="Arial" w:cs="Arial" w:eastAsia="Arial" w:hAnsi="Arial"/>
          <w:sz w:val="16"/>
          <w:szCs w:val="16"/>
          <w:color w:val="auto"/>
        </w:rPr>
        <w:t>. Executive’s employment with Employer will terminate upon the occurrence of any one or more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Death</w:t>
      </w:r>
      <w:r>
        <w:rPr>
          <w:rFonts w:ascii="Arial" w:cs="Arial" w:eastAsia="Arial" w:hAnsi="Arial"/>
          <w:sz w:val="16"/>
          <w:szCs w:val="16"/>
          <w:color w:val="auto"/>
        </w:rPr>
        <w:t>. In the event of Executive’s death, Executive’s employment will terminate on the date of death.</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b w:val="1"/>
          <w:bCs w:val="1"/>
          <w:color w:val="auto"/>
        </w:rPr>
        <w:t>3.1.2 Disability</w:t>
      </w:r>
      <w:r>
        <w:rPr>
          <w:rFonts w:ascii="Arial" w:cs="Arial" w:eastAsia="Arial" w:hAnsi="Arial"/>
          <w:sz w:val="17"/>
          <w:szCs w:val="17"/>
          <w:color w:val="auto"/>
        </w:rPr>
        <w:t>. In the event of Executive’s Disability (as hereinafter defined), Employer will have the option to terminate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by giving a notice of termination to Executive. The notice of termination shall specify the date of termination, which date shall not be earlier than thirty (30) calendar days after the notice of termination is given. For purposes of this Employment Agreement, “Disability” means the failure or inability of Executive to substantially perform, with or without reasonable accommodation, his duties hereunder for an aggregate of ninety (90) calendar days during any consecutive three hundred sixty-five (365) day period as a result of a physical or mental illness or injury, as determined in good faith by the Board upon the advice of an independent physician experienced in treating the condition(s) allegedly giving rise to the disability. This definition shall be interpreted and applied consistent with the Americans with Disabilities Act, the Family and Medical Leave Act, and other applicable law.</w:t>
      </w:r>
    </w:p>
    <w:p>
      <w:pPr>
        <w:spacing w:after="0" w:line="172" w:lineRule="exact"/>
        <w:rPr>
          <w:sz w:val="20"/>
          <w:szCs w:val="20"/>
          <w:color w:val="auto"/>
        </w:rPr>
      </w:pPr>
    </w:p>
    <w:p>
      <w:pPr>
        <w:ind w:right="60" w:firstLine="1297"/>
        <w:spacing w:after="0" w:line="292" w:lineRule="auto"/>
        <w:rPr>
          <w:sz w:val="20"/>
          <w:szCs w:val="20"/>
          <w:color w:val="auto"/>
        </w:rPr>
      </w:pPr>
      <w:r>
        <w:rPr>
          <w:rFonts w:ascii="Arial" w:cs="Arial" w:eastAsia="Arial" w:hAnsi="Arial"/>
          <w:sz w:val="16"/>
          <w:szCs w:val="16"/>
          <w:b w:val="1"/>
          <w:bCs w:val="1"/>
          <w:color w:val="auto"/>
        </w:rPr>
        <w:t>3.1.3 Termination by Employer for Cause</w:t>
      </w:r>
      <w:r>
        <w:rPr>
          <w:rFonts w:ascii="Arial" w:cs="Arial" w:eastAsia="Arial" w:hAnsi="Arial"/>
          <w:sz w:val="16"/>
          <w:szCs w:val="16"/>
          <w:color w:val="auto"/>
        </w:rPr>
        <w:t>. Employer may, at its option, terminate Executive’s employment for Cause by unilateral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action of the Board of Directors upon giving a notice of termination to Executive. “Cause” shall mean (i) Executive’s conviction of, or guilty plea to, a crime of moral turpitude (whether or not a felony) or a felony (other than traffic violations); (ii) any act(s) or omission(s) by Executive which constitutes gross negligence or a material breach of Executive’s duty of loyalty; (iii) any material breach by Executive of Employer’s personnel policies, including those prohibiting acts of discrimination, harassment or retaliation; (iv) any act constituting dishonesty, fraud, immoral or disreputable conduct; (v) refusal to follow or implement a clear and reasonable directive of Employer; (vi) breach of fiduciary duty; or (vii) a material violation or breach by Executive of this Employment Agreement (other than an event described in the foregoing clauses (i) through (vi)) or any other agreement between the parties.</w:t>
      </w:r>
    </w:p>
    <w:p>
      <w:pPr>
        <w:spacing w:after="0" w:line="162" w:lineRule="exact"/>
        <w:rPr>
          <w:sz w:val="20"/>
          <w:szCs w:val="20"/>
          <w:color w:val="auto"/>
        </w:rPr>
      </w:pPr>
    </w:p>
    <w:p>
      <w:pPr>
        <w:jc w:val="both"/>
        <w:ind w:right="140" w:firstLine="1297"/>
        <w:spacing w:after="0" w:line="314" w:lineRule="auto"/>
        <w:rPr>
          <w:sz w:val="20"/>
          <w:szCs w:val="20"/>
          <w:color w:val="auto"/>
        </w:rPr>
      </w:pPr>
      <w:r>
        <w:rPr>
          <w:rFonts w:ascii="Arial" w:cs="Arial" w:eastAsia="Arial" w:hAnsi="Arial"/>
          <w:sz w:val="16"/>
          <w:szCs w:val="16"/>
          <w:b w:val="1"/>
          <w:bCs w:val="1"/>
          <w:color w:val="auto"/>
        </w:rPr>
        <w:t>3.1.4 Without Cause By Employer</w:t>
      </w:r>
      <w:r>
        <w:rPr>
          <w:rFonts w:ascii="Arial" w:cs="Arial" w:eastAsia="Arial" w:hAnsi="Arial"/>
          <w:sz w:val="16"/>
          <w:szCs w:val="16"/>
          <w:color w:val="auto"/>
        </w:rPr>
        <w:t>. Employer may, at its option, terminate Executive’s employment for any reason whatsoever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for the other reasons set forth above in this Section 3.1 that would constitute “Cause” to terminate) by giving a notice of termination to Executive, and Executive’s employment shall terminate on the later of the date the notice of termination is given or the date set forth in such notice of termination.</w:t>
      </w:r>
    </w:p>
    <w:p>
      <w:pPr>
        <w:spacing w:after="0" w:line="142" w:lineRule="exact"/>
        <w:rPr>
          <w:sz w:val="20"/>
          <w:szCs w:val="20"/>
          <w:color w:val="auto"/>
        </w:rPr>
      </w:pPr>
    </w:p>
    <w:p>
      <w:pPr>
        <w:ind w:right="160" w:firstLine="1297"/>
        <w:spacing w:after="0" w:line="258" w:lineRule="auto"/>
        <w:rPr>
          <w:sz w:val="20"/>
          <w:szCs w:val="20"/>
          <w:color w:val="auto"/>
        </w:rPr>
      </w:pPr>
      <w:r>
        <w:rPr>
          <w:rFonts w:ascii="Arial" w:cs="Arial" w:eastAsia="Arial" w:hAnsi="Arial"/>
          <w:sz w:val="18"/>
          <w:szCs w:val="18"/>
          <w:b w:val="1"/>
          <w:bCs w:val="1"/>
          <w:color w:val="auto"/>
        </w:rPr>
        <w:t>3.1.5 By Executive</w:t>
      </w:r>
      <w:r>
        <w:rPr>
          <w:rFonts w:ascii="Arial" w:cs="Arial" w:eastAsia="Arial" w:hAnsi="Arial"/>
          <w:sz w:val="18"/>
          <w:szCs w:val="18"/>
          <w:color w:val="auto"/>
        </w:rPr>
        <w:t>. Executive may, at any time, terminate Executive’s employment for any reason whatsoever by giving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to Employer. Executive’s employment shall terminate on the earlier of (i) the date, following the date of the notice of termination, upon which a suitable replacement for Executive is found by the Employer or upon which Employer makes a determination, in its sole discretion, that Executive’s duties shall be undertaken by other employees of Employer, (ii) thirty (30) calendar days after the date of receipt by Employer of the notice of termination, or (iii) such earlier date as the Employer and Executive shall agree.</w:t>
      </w:r>
    </w:p>
    <w:p>
      <w:pPr>
        <w:spacing w:after="0" w:line="184" w:lineRule="exact"/>
        <w:rPr>
          <w:sz w:val="20"/>
          <w:szCs w:val="20"/>
          <w:color w:val="auto"/>
        </w:rPr>
      </w:pPr>
    </w:p>
    <w:p>
      <w:pPr>
        <w:ind w:right="60" w:firstLine="1297"/>
        <w:spacing w:after="0" w:line="347" w:lineRule="auto"/>
        <w:rPr>
          <w:sz w:val="20"/>
          <w:szCs w:val="20"/>
          <w:color w:val="auto"/>
        </w:rPr>
      </w:pPr>
      <w:r>
        <w:rPr>
          <w:rFonts w:ascii="Arial" w:cs="Arial" w:eastAsia="Arial" w:hAnsi="Arial"/>
          <w:sz w:val="16"/>
          <w:szCs w:val="16"/>
          <w:b w:val="1"/>
          <w:bCs w:val="1"/>
          <w:color w:val="auto"/>
        </w:rPr>
        <w:t>3.1.6 Termination Upon Non-Renewal</w:t>
      </w:r>
      <w:r>
        <w:rPr>
          <w:rFonts w:ascii="Arial" w:cs="Arial" w:eastAsia="Arial" w:hAnsi="Arial"/>
          <w:sz w:val="16"/>
          <w:szCs w:val="16"/>
          <w:color w:val="auto"/>
        </w:rPr>
        <w:t>. Either party may terminate this Employment Agreement and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by providing the other party notice in accordance with Section 2.4 above, in which case this Employment Agreement and Executive’s employment</w:t>
      </w:r>
    </w:p>
    <w:p>
      <w:pPr>
        <w:sectPr>
          <w:pgSz w:w="11900" w:h="16838" w:orient="portrait"/>
          <w:cols w:equalWidth="0" w:num="1">
            <w:col w:w="11400"/>
          </w:cols>
          <w:pgMar w:left="240" w:top="121" w:right="259" w:bottom="0" w:gutter="0" w:footer="0" w:header="0"/>
        </w:sectPr>
      </w:pPr>
    </w:p>
    <w:bookmarkStart w:id="54" w:name="page55"/>
    <w:bookmarkEnd w:id="54"/>
    <w:p>
      <w:pPr>
        <w:ind w:right="560"/>
        <w:spacing w:after="0" w:line="277" w:lineRule="auto"/>
        <w:rPr>
          <w:sz w:val="20"/>
          <w:szCs w:val="20"/>
          <w:color w:val="auto"/>
        </w:rPr>
      </w:pPr>
      <w:r>
        <w:rPr>
          <w:rFonts w:ascii="Arial" w:cs="Arial" w:eastAsia="Arial" w:hAnsi="Arial"/>
          <w:sz w:val="18"/>
          <w:szCs w:val="18"/>
          <w:color w:val="auto"/>
        </w:rPr>
        <w:t>hereunder shall terminate on the last date of the Initial Term or the Employment Term, as the case may be. For the avoidance of doubt, Executive shall continue to be employed by Employer, on the same terms and conditions as set forth in this Employment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Agreement during the ninety (90)-day notice period provided by either party to the other party in accordance with Section 2.4 above, unless, Employer, in its sole discretion determines that it does not want Executive to continue to work for Employer, in any capacity, during such notice period. In such event, Employer shall pay Executive all compensation in accordance with Section 3.2.3.</w:t>
      </w:r>
    </w:p>
    <w:p>
      <w:pPr>
        <w:spacing w:after="0" w:line="177" w:lineRule="exact"/>
        <w:rPr>
          <w:sz w:val="20"/>
          <w:szCs w:val="20"/>
          <w:color w:val="auto"/>
        </w:rPr>
      </w:pPr>
    </w:p>
    <w:p>
      <w:pPr>
        <w:ind w:right="60" w:firstLine="1297"/>
        <w:spacing w:after="0" w:line="313" w:lineRule="auto"/>
        <w:rPr>
          <w:sz w:val="20"/>
          <w:szCs w:val="20"/>
          <w:color w:val="auto"/>
        </w:rPr>
      </w:pPr>
      <w:r>
        <w:rPr>
          <w:rFonts w:ascii="Arial" w:cs="Arial" w:eastAsia="Arial" w:hAnsi="Arial"/>
          <w:sz w:val="17"/>
          <w:szCs w:val="17"/>
          <w:b w:val="1"/>
          <w:bCs w:val="1"/>
          <w:color w:val="auto"/>
        </w:rPr>
        <w:t>3.1.7 For Good Reason by Executive</w:t>
      </w:r>
      <w:r>
        <w:rPr>
          <w:rFonts w:ascii="Arial" w:cs="Arial" w:eastAsia="Arial" w:hAnsi="Arial"/>
          <w:sz w:val="17"/>
          <w:szCs w:val="17"/>
          <w:color w:val="auto"/>
        </w:rPr>
        <w:t>. Executive may, at his option, terminate Executive’s employment for “Good Reason” by giving a</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termination to Employer in the event that, in the absence of events that would support a termination of Executive for Cause:</w:t>
      </w:r>
    </w:p>
    <w:p>
      <w:pPr>
        <w:spacing w:after="0" w:line="142" w:lineRule="exact"/>
        <w:rPr>
          <w:sz w:val="20"/>
          <w:szCs w:val="20"/>
          <w:color w:val="auto"/>
        </w:rPr>
      </w:pPr>
    </w:p>
    <w:p>
      <w:pPr>
        <w:ind w:right="820" w:firstLine="2601"/>
        <w:spacing w:after="0" w:line="277" w:lineRule="auto"/>
        <w:tabs>
          <w:tab w:leader="none" w:pos="3249"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there is a material failure of Employer (or successor employer) to pay Executive’s salary or additional compensation or benefits hereunder in accordance with this Employment Agreement;</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Executive’s annual Base Salary is materially decreased without his prior written consent;</w:t>
      </w:r>
    </w:p>
    <w:p>
      <w:pPr>
        <w:spacing w:after="0" w:line="225" w:lineRule="exact"/>
        <w:rPr>
          <w:rFonts w:ascii="Arial" w:cs="Arial" w:eastAsia="Arial" w:hAnsi="Arial"/>
          <w:sz w:val="18"/>
          <w:szCs w:val="18"/>
          <w:b w:val="1"/>
          <w:bCs w:val="1"/>
          <w:color w:val="auto"/>
        </w:rPr>
      </w:pPr>
    </w:p>
    <w:p>
      <w:pPr>
        <w:ind w:right="800" w:firstLine="2601"/>
        <w:spacing w:after="0" w:line="277" w:lineRule="auto"/>
        <w:tabs>
          <w:tab w:leader="none" w:pos="3241"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Executive is assigned duties substantially inconsistent with his title and the responsibilities set forth in Executive’s job description, without Executive’s prior written consent;</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Executive’s place of employment is changed to a location that is greater than fifty (50) miles from Executive’s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current place of employment which is contemplated to be 101 Lindenwood Drive, Suite 400, Malvern, Pennsylvania 19355; or</w:t>
      </w:r>
    </w:p>
    <w:p>
      <w:pPr>
        <w:spacing w:after="0" w:line="210" w:lineRule="exact"/>
        <w:rPr>
          <w:rFonts w:ascii="Arial" w:cs="Arial" w:eastAsia="Arial" w:hAnsi="Arial"/>
          <w:sz w:val="16"/>
          <w:szCs w:val="16"/>
          <w:b w:val="1"/>
          <w:bCs w:val="1"/>
          <w:color w:val="auto"/>
        </w:rPr>
      </w:pPr>
    </w:p>
    <w:p>
      <w:pPr>
        <w:ind w:left="3260" w:hanging="659"/>
        <w:spacing w:after="0"/>
        <w:tabs>
          <w:tab w:leader="none" w:pos="32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any other material violation or breach by Employer of this Employment Agreement.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none of the events described in clauses (i) through (v) above shall constitute Good Reason unless Executive shall have notified Employer in writing describing the event which constitute Good Reason within thirty (30) days after Executive first becomes aware of such event and then only if Employer and/or its subsidiaries shall have failed to reasonably cure such events, if curable, within thirty (30) days after Employer’s receipt of such written notice and Executive elects to terminate his employment as a result within thirty (30) days following the end of such thirty (30) day period (assuming, for the avoidance of doubt, that Employer does not elect to cure).</w:t>
      </w:r>
    </w:p>
    <w:p>
      <w:pPr>
        <w:spacing w:after="0" w:line="18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3.2 Certain Obligations of Employer Following Termination of Executive’s Employment</w:t>
      </w:r>
      <w:r>
        <w:rPr>
          <w:rFonts w:ascii="Arial" w:cs="Arial" w:eastAsia="Arial" w:hAnsi="Arial"/>
          <w:sz w:val="18"/>
          <w:szCs w:val="18"/>
          <w:color w:val="auto"/>
        </w:rPr>
        <w:t>. Following the termination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under the circumstances described below, Employer will pay to Executive, subject to standard federal and state payroll withholding requirements and in accordance with its regular payroll practices, the following compensation and provide the following benefits (provided that the continuing payments of Executive’s then-current salary, as described below, shall occur no less frequently than monthly):</w:t>
      </w:r>
    </w:p>
    <w:p>
      <w:pPr>
        <w:spacing w:after="0" w:line="180"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3.2.1 Death; Disability; Termination by Employer Without Cause or by Executive for Good Reason</w:t>
      </w:r>
      <w:r>
        <w:rPr>
          <w:rFonts w:ascii="Arial" w:cs="Arial" w:eastAsia="Arial" w:hAnsi="Arial"/>
          <w:sz w:val="18"/>
          <w:szCs w:val="18"/>
          <w:color w:val="auto"/>
        </w:rPr>
        <w:t>. In the event that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is terminated by Employer pursuant to Section 3.1.1 (“Death”), Section 3.1.2 (“Disability”), Section 3.1.4 (“Without Cause by Employer”) or by Executive pursuant to Section 3.1.7 (“Termination 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Executive for Good Reason”) hereof, and Executive, or his estate, as the case may be, executes and does not revoke a separation agreement containing a release upon such termination, in a form provided by the Employer, of any and all claims against Employer and all related parties with respect to all matters arising out of Executive’s employment by Employer, or the termination thereof (the “Release”) in accordance with Section 3.7, Executive, or his estate, as the case may be, shall be entitled to the following payments and benefits, which payments and benefits shall be paid in accordance with this Section 3.2.1 and Section 3.7:</w:t>
      </w:r>
    </w:p>
    <w:p>
      <w:pPr>
        <w:spacing w:after="0" w:line="188" w:lineRule="exact"/>
        <w:rPr>
          <w:sz w:val="20"/>
          <w:szCs w:val="20"/>
          <w:color w:val="auto"/>
        </w:rPr>
      </w:pPr>
    </w:p>
    <w:p>
      <w:pPr>
        <w:ind w:right="40" w:firstLine="2601"/>
        <w:spacing w:after="0" w:line="264" w:lineRule="auto"/>
        <w:tabs>
          <w:tab w:leader="none" w:pos="3249"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the Severance Period, as defined in Section 3.5 herein, payable subject to standard federal and state payroll withholding requirements in accordance with Employer’s regular payroll practices on Employer’s normal payroll schedule over the Severance Period, subject to Section 3.7;</w:t>
      </w:r>
    </w:p>
    <w:p>
      <w:pPr>
        <w:spacing w:after="0" w:line="181" w:lineRule="exact"/>
        <w:rPr>
          <w:rFonts w:ascii="Arial" w:cs="Arial" w:eastAsia="Arial" w:hAnsi="Arial"/>
          <w:sz w:val="18"/>
          <w:szCs w:val="18"/>
          <w:b w:val="1"/>
          <w:bCs w:val="1"/>
          <w:color w:val="auto"/>
        </w:rPr>
      </w:pPr>
    </w:p>
    <w:p>
      <w:pPr>
        <w:ind w:right="160" w:firstLine="2601"/>
        <w:spacing w:after="0" w:line="255" w:lineRule="auto"/>
        <w:tabs>
          <w:tab w:leader="none" w:pos="324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Employer shall pay to Executive a lump sum payment equal to the gross sum of any bonuses or portion thereof for any preceding year or for the year of termination which have been approved by Employer, but has not been received by Executive prior to the effective date of termination, less applicable deductions and withholdings paid in accordance with Section 2.2 but in no event later than two and one-half (2 1/2) months following the end of the fiscal year to which it relates. For the avoidance of doubt, (x) Executive does not have to be employed by Employer on the date such bonuses are approved by Employer to receive such bonuses; and (y) this provision shall not be construed as guaranteeing the payment of a bonus for such year(s);</w:t>
      </w:r>
    </w:p>
    <w:p>
      <w:pPr>
        <w:spacing w:after="0" w:line="193" w:lineRule="exact"/>
        <w:rPr>
          <w:rFonts w:ascii="Arial" w:cs="Arial" w:eastAsia="Arial" w:hAnsi="Arial"/>
          <w:sz w:val="18"/>
          <w:szCs w:val="18"/>
          <w:b w:val="1"/>
          <w:bCs w:val="1"/>
          <w:color w:val="auto"/>
        </w:rPr>
      </w:pPr>
    </w:p>
    <w:p>
      <w:pPr>
        <w:ind w:right="60" w:firstLine="2601"/>
        <w:spacing w:after="0" w:line="287" w:lineRule="auto"/>
        <w:tabs>
          <w:tab w:leader="none" w:pos="3241"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So long as Executive is eligible, and so long as Executive remains eligible, for and upon his timely election of coverage under the Consolidated Omnibus Budget Reconciliation Act of 1985, or, if applicable, state or local insurance laws (“COBRA”), Employer will continue to pay, directly to the healthcare provider when due, 100% of the medical, vision and dental coverage premiums (including employee contributions, if any) until the earlier of (i) the end of the Severance Period; or (ii) the date when Executive becomes eligible for substantially equivalent health insurance coverage in connection with new employment (the “COBRA Payment Period”); provided that Executive must immediately notify Employer in the event Executive becomes eligible for coverage under another employer’s group health plan during the COBRA Payment Period; and provided further that, if at any time Employer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for the remainder of the COBRA Payment Period, Employer will instead pay Executive on the first day of each month of the remainder of the COBRA Payment Period, a fully taxable cash payment equal to the COBRA premiums for that month, subject to applicable tax withholdings, for the remainder of the COBRA Payment Period; and</w:t>
      </w:r>
    </w:p>
    <w:p>
      <w:pPr>
        <w:sectPr>
          <w:pgSz w:w="11900" w:h="16838" w:orient="portrait"/>
          <w:cols w:equalWidth="0" w:num="1">
            <w:col w:w="11400"/>
          </w:cols>
          <w:pgMar w:left="240" w:top="125" w:right="259" w:bottom="0" w:gutter="0" w:footer="0" w:header="0"/>
        </w:sectPr>
      </w:pPr>
    </w:p>
    <w:bookmarkStart w:id="55" w:name="page56"/>
    <w:bookmarkEnd w:id="55"/>
    <w:p>
      <w:pPr>
        <w:spacing w:after="0" w:line="24" w:lineRule="exact"/>
        <w:rPr>
          <w:sz w:val="20"/>
          <w:szCs w:val="20"/>
          <w:color w:val="auto"/>
        </w:rPr>
      </w:pPr>
    </w:p>
    <w:p>
      <w:pPr>
        <w:jc w:val="both"/>
        <w:ind w:right="80" w:firstLine="2601"/>
        <w:spacing w:after="0" w:line="342" w:lineRule="auto"/>
        <w:tabs>
          <w:tab w:leader="none" w:pos="3244"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In the event such termination of employment occurs on or within three (3) months prior to or within twelve (12) months following the effective date of a Change of Control (as defined herein), Executive shall be entitled to the additional following payments and benefits: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9"/>
        <w:spacing w:after="0" w:line="312" w:lineRule="auto"/>
        <w:tabs>
          <w:tab w:leader="none" w:pos="3897"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Continuing payments of Executive’s then-current salary for an additional six (6) months following the end of the Severance Period, payable subject to standard federal and state payroll withholding requirements in accordance with Employer’s regular payroll practices on Employer’s normal payroll schedule over the six (6) month period immediately following the end of the Severance Period, subject to Section 3.7;</w:t>
      </w:r>
    </w:p>
    <w:p>
      <w:pPr>
        <w:spacing w:after="0" w:line="146" w:lineRule="exact"/>
        <w:rPr>
          <w:rFonts w:ascii="Arial" w:cs="Arial" w:eastAsia="Arial" w:hAnsi="Arial"/>
          <w:sz w:val="16"/>
          <w:szCs w:val="16"/>
          <w:b w:val="1"/>
          <w:bCs w:val="1"/>
          <w:color w:val="auto"/>
        </w:rPr>
      </w:pPr>
    </w:p>
    <w:p>
      <w:pPr>
        <w:ind w:right="120" w:firstLine="3249"/>
        <w:spacing w:after="0" w:line="312" w:lineRule="auto"/>
        <w:tabs>
          <w:tab w:leader="none" w:pos="3897"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Continued payment of Executive’s COBRA premiums directly to the healthcare provider for an additional six (6) months following the end of the Severance Period, or if earlier, until the date when Executive becomes eligible for substantially equivalent health insurance coverage in connection with new employment, subject to the terms, conditions and payment provisions set forth in Section 3.2.1(iii); and</w:t>
      </w:r>
    </w:p>
    <w:p>
      <w:pPr>
        <w:spacing w:after="0" w:line="146" w:lineRule="exact"/>
        <w:rPr>
          <w:rFonts w:ascii="Arial" w:cs="Arial" w:eastAsia="Arial" w:hAnsi="Arial"/>
          <w:sz w:val="16"/>
          <w:szCs w:val="16"/>
          <w:b w:val="1"/>
          <w:bCs w:val="1"/>
          <w:color w:val="auto"/>
        </w:rPr>
      </w:pPr>
    </w:p>
    <w:p>
      <w:pPr>
        <w:ind w:left="3900" w:hanging="651"/>
        <w:spacing w:after="0"/>
        <w:tabs>
          <w:tab w:leader="none" w:pos="390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employment occurs (A) on or within three (3) months prior to the</w:t>
      </w:r>
    </w:p>
    <w:p>
      <w:pPr>
        <w:spacing w:after="0" w:line="34" w:lineRule="exact"/>
        <w:rPr>
          <w:rFonts w:ascii="Arial" w:cs="Arial" w:eastAsia="Arial" w:hAnsi="Arial"/>
          <w:sz w:val="17"/>
          <w:szCs w:val="17"/>
          <w:b w:val="1"/>
          <w:bCs w:val="1"/>
          <w:color w:val="auto"/>
        </w:rPr>
      </w:pPr>
    </w:p>
    <w:p>
      <w:pPr>
        <w:ind w:right="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effective date of a Change of Control (as defined herein), all unvested stock options and other equity awards held by Executive and outstanding on the effective date of termination shall become fully vested on the effective date of the Change of Control, or (B) within twelve (12) months following the effective date of a Change of Control, provided that any surviving corporation or acquiring corporation assumes Executive’s stock options and/or other equity awards, as applicable, or substitutes similar stock options or equity awards for Executive’s stock options and/or equity awards, as applicable, in accordance with the terms of Employer’s applicable equity incentive plans, all such unvested stock options and other equity awards held by Executive and outstanding on the effective date of termination shall become fully vested on the date of such termination.</w:t>
      </w:r>
    </w:p>
    <w:p>
      <w:pPr>
        <w:spacing w:after="0" w:line="179" w:lineRule="exact"/>
        <w:rPr>
          <w:sz w:val="20"/>
          <w:szCs w:val="20"/>
          <w:color w:val="auto"/>
        </w:rPr>
      </w:pPr>
    </w:p>
    <w:p>
      <w:pPr>
        <w:ind w:firstLine="2593"/>
        <w:spacing w:after="0" w:line="268" w:lineRule="auto"/>
        <w:rPr>
          <w:sz w:val="20"/>
          <w:szCs w:val="20"/>
          <w:color w:val="auto"/>
        </w:rPr>
      </w:pPr>
      <w:r>
        <w:rPr>
          <w:rFonts w:ascii="Arial" w:cs="Arial" w:eastAsia="Arial" w:hAnsi="Arial"/>
          <w:sz w:val="17"/>
          <w:szCs w:val="17"/>
          <w:color w:val="auto"/>
        </w:rPr>
        <w:t>For purposes of this Agreement, “Change of Control” means, in each case as approved by the Board and the requisite stockholders of Employer, (i) any consolidation or merger of Employer with or into any other corporation or other entity or person, or any other corporate reorganization, in which the stockholders of Employer immediately prior to such consolidation, merger or reorganization, own, in the aggregate, less than 50% of the surviving entity’s voting power and/or outstanding capital stock immediately after such consolidation, merger or reorganization, or any transaction or series of related transactions (including any transaction which results from an option agreement or binding letter of intent with a third party) to which Employer or any of its stockholders is a party in which in excess of 50% of Employer’s voting power and/or outstanding capital stock is transferred, or pursuant to which any person or group of affiliated persons obtains in excess of 50% of Employer’s voting power and/or outstanding capital stock, excluding any consolidation or merger effected exclusively to change the domicile of Employer; or (ii) any sale, lease or other disposition (including through a Board and stockholder approved division or spin-off transaction) of all or substantially all of the assets of Employer and/or any of its subsidiaries or any sale, lease, exclusive license (or substantially exclusive license or agreement) or other disposition of all or substantially all of Employer’s intellectual property, as reasonably determined based upon the potential earning power of the assets or intellectual property; provided, however that none of the following shall constitute a Change of Control: (A) transfers of capital stock by an existing stockholder as a result of death or otherwise for estate planning purposes or to such stockholder’s affiliates or to any of Employer’s other existing stockholders, and (B) issuances of equity securities of Employer in connection with financings for working capital and other general corporate purposes.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3.2.2 Termination by Executive Other than For Good Reason: Termination Upon Non-Renewal by Executive; Termination by Employer for Cause</w:t>
      </w:r>
      <w:r>
        <w:rPr>
          <w:rFonts w:ascii="Arial" w:cs="Arial" w:eastAsia="Arial" w:hAnsi="Arial"/>
          <w:sz w:val="17"/>
          <w:szCs w:val="17"/>
          <w:color w:val="auto"/>
        </w:rPr>
        <w:t>. In the event Executive’s employment is terminated by Executive other than for Good Reason pursuant to Section 3.1.5 hereof (“By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or by Executive pursuant to Section 3.1.6 hereof (“Termination Upon Non-Renewal”) or by Employer pursuant to Section 3.1.3 hereof (“Termination by Employer for Cause”), Executive shall be entitled to no further compensation or other benefits under this Employment Agreement except as to that portion of any unpaid salary and other benefits accrued and earned by him hereunder up to and including the effective date of such termination and to offer COBRA coverage at Executive’s cost pursuant to applicable law.</w:t>
      </w:r>
    </w:p>
    <w:p>
      <w:pPr>
        <w:spacing w:after="0" w:line="174"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b w:val="1"/>
          <w:bCs w:val="1"/>
          <w:color w:val="auto"/>
        </w:rPr>
        <w:t>3.2.3 Termination Upon Non Renewal by Employer</w:t>
      </w:r>
      <w:r>
        <w:rPr>
          <w:rFonts w:ascii="Arial" w:cs="Arial" w:eastAsia="Arial" w:hAnsi="Arial"/>
          <w:sz w:val="17"/>
          <w:szCs w:val="17"/>
          <w:color w:val="auto"/>
        </w:rPr>
        <w:t>. In the event Executive’s employment is terminated by Employer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3.1.6 hereof, then during the ninety (90)-day notice period of Section 2.4, Employer shall continue to pay to Executive his then-current annual Base Salary and benefits subject to standard federal and state payroll withholding requirements and in accordance with Employer’s regular payroll practices and no later than the effective date of termination of employment, Employer shall pay to Executive any unpaid salary accrued and earned by him up to and including the effective date of termination. In addition, in the event Executive’s employment is terminated by Employer pursuant to Section 3.1.6 hereof, then provided Executive executes and does not revoke a Release in accordance with Section 3.7, Executive shall be entitled to the following, which payments and benefits shall be paid in accordance with this Section 3.2.3 and Section 3.7:</w:t>
      </w:r>
    </w:p>
    <w:p>
      <w:pPr>
        <w:spacing w:after="0" w:line="176" w:lineRule="exact"/>
        <w:rPr>
          <w:sz w:val="20"/>
          <w:szCs w:val="20"/>
          <w:color w:val="auto"/>
        </w:rPr>
      </w:pPr>
    </w:p>
    <w:p>
      <w:pPr>
        <w:ind w:right="160" w:firstLine="2601"/>
        <w:spacing w:after="0" w:line="264" w:lineRule="auto"/>
        <w:tabs>
          <w:tab w:leader="none" w:pos="3249"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the Severance Period payable subject to standard federal and state payroll withholding requirements in accordance with Employer’s regular payroll practices on Employer’s normal payroll schedule over the Severance Period, subject to Section 3.7;</w:t>
      </w:r>
    </w:p>
    <w:p>
      <w:pPr>
        <w:spacing w:after="0" w:line="181" w:lineRule="exact"/>
        <w:rPr>
          <w:rFonts w:ascii="Arial" w:cs="Arial" w:eastAsia="Arial" w:hAnsi="Arial"/>
          <w:sz w:val="18"/>
          <w:szCs w:val="18"/>
          <w:b w:val="1"/>
          <w:bCs w:val="1"/>
          <w:color w:val="auto"/>
        </w:rPr>
      </w:pPr>
    </w:p>
    <w:p>
      <w:pPr>
        <w:ind w:right="140" w:firstLine="2601"/>
        <w:spacing w:after="0" w:line="255" w:lineRule="auto"/>
        <w:tabs>
          <w:tab w:leader="none" w:pos="324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Employer shall pay to Executive a lump sum payment equal to the gross sum of any bonuses or portion thereof for any preceding year or for the year of termination which bonus has been approved by Employer, but has not been received by Executive prior to the effective date of termination, less applicable deductions and withholdings paid in accordance with Section 2.2 but in no event later than two and one-half (2 1/2) months following the end of the fiscal year to which it relates. For the avoidance of doubt, (x) Executive does not have to be employed by Employer on the date such bonuses are approved by the Employer to receive such bonuses; and (y) this provision shall not be construed as guaranteeing the payment of a bonus for such year(s); and</w:t>
      </w:r>
    </w:p>
    <w:p>
      <w:pPr>
        <w:spacing w:after="0" w:line="193" w:lineRule="exact"/>
        <w:rPr>
          <w:rFonts w:ascii="Arial" w:cs="Arial" w:eastAsia="Arial" w:hAnsi="Arial"/>
          <w:sz w:val="18"/>
          <w:szCs w:val="18"/>
          <w:b w:val="1"/>
          <w:bCs w:val="1"/>
          <w:color w:val="auto"/>
        </w:rPr>
      </w:pPr>
    </w:p>
    <w:p>
      <w:pPr>
        <w:ind w:right="40" w:firstLine="2601"/>
        <w:spacing w:after="0" w:line="273" w:lineRule="auto"/>
        <w:tabs>
          <w:tab w:leader="none" w:pos="3241"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So long as Executive is eligible, and so long as Executive remains eligible, for and upon his timely election of COBRA coverage, Employer will continue to pay, directly to the healthcare provider when due, 100% of the medical, vision and dental coverage premiums (including employee contributions, if any) until the earlier of (i) the end of the five (5) month period following the effective date of termination; or (ii) the date when Executive becomes eligible for substantially equivalent health insurance coverage in connection with new employment (the “Nonrenewal COBRA Payment Period”); provided that Executive must immediately notify Employer in the event Executive becomes eligible for coverage under another employer’s group health plan during the Nonrenewal COBRA Payment Period; and</w:t>
      </w:r>
    </w:p>
    <w:p>
      <w:pPr>
        <w:sectPr>
          <w:pgSz w:w="11900" w:h="16862"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62" w:orient="portrait"/>
          <w:cols w:equalWidth="0" w:num="1">
            <w:col w:w="11400"/>
          </w:cols>
          <w:pgMar w:left="240" w:top="125" w:right="259" w:bottom="0" w:gutter="0" w:footer="0" w:header="0"/>
          <w:type w:val="continuous"/>
        </w:sectPr>
      </w:pPr>
    </w:p>
    <w:bookmarkStart w:id="56" w:name="page57"/>
    <w:bookmarkEnd w:id="5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further that, if at any time Employer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for the remainder of the Nonrenewal COBRA Payment Period, Employer will instead pay Executive on the first day of each month of the remainder of the Nonrenewal COBRA Payment Period, a fully taxable cash payment equal to the COBRA premiums for that month, subject to applicable tax withholdings, for the remainder of the Nonrenewal COBRA Payment Period.</w:t>
      </w:r>
    </w:p>
    <w:p>
      <w:pPr>
        <w:spacing w:after="0" w:line="18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3.3 Nature of Payments</w:t>
      </w:r>
      <w:r>
        <w:rPr>
          <w:rFonts w:ascii="Arial" w:cs="Arial" w:eastAsia="Arial" w:hAnsi="Arial"/>
          <w:sz w:val="18"/>
          <w:szCs w:val="18"/>
          <w:color w:val="auto"/>
        </w:rPr>
        <w:t>. All amounts to be paid by Employer to Executive pursuant to Sections 3.2.1(i) — (iv) and 3.2.3(i) — (iii)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by the parties to be severance payments and are in lieu of, and not in addition to, any benefits to which Executive may otherwise be entitled under any Employer severance plan, policy or program.</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3.4 Duties Upon Termination</w:t>
      </w:r>
      <w:r>
        <w:rPr>
          <w:rFonts w:ascii="Arial" w:cs="Arial" w:eastAsia="Arial" w:hAnsi="Arial"/>
          <w:sz w:val="18"/>
          <w:szCs w:val="18"/>
          <w:color w:val="auto"/>
        </w:rPr>
        <w:t>. During the Severance Period, if there is a Severance Period applicable to Executive’s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from Employer, Executive shall fully cooperate with Employer in all matters relating to the winding up of Executive’s pending work including, but not limited to, any litigation in which Employer is involved, and the orderly transfer of any such pending work to such other employees as may be designated by Employer. Notwithstanding the foregoing, such cooperation requirement shall not unreasonably interfere with his then current employment or business activities. With Employer’s prior approval, Executive shall be reimbursed for all expenses reasonably incurred in connection with such cooperation. Following the end of the Severance Period, Executive will be released from any duties and obligations hereunder (except those duties and obligations set forth in Article 4 hereof). In the event of termination of Executive’s employment pursuant to Sections 3.1.1 through 3.1.7 hereof, the obligations of Employer to Executive will be as set forth in Section 3.2 hereof.</w:t>
      </w:r>
    </w:p>
    <w:p>
      <w:pPr>
        <w:spacing w:after="0" w:line="18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3.5 Severance Period</w:t>
      </w:r>
      <w:r>
        <w:rPr>
          <w:rFonts w:ascii="Arial" w:cs="Arial" w:eastAsia="Arial" w:hAnsi="Arial"/>
          <w:sz w:val="18"/>
          <w:szCs w:val="18"/>
          <w:color w:val="auto"/>
        </w:rPr>
        <w:t>. “Severance Period” shall mean a period of nine (9) months beginning on and immediately following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Executive’s termination of employment with Employer.</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3.6 Release</w:t>
      </w:r>
      <w:r>
        <w:rPr>
          <w:rFonts w:ascii="Arial" w:cs="Arial" w:eastAsia="Arial" w:hAnsi="Arial"/>
          <w:sz w:val="18"/>
          <w:szCs w:val="18"/>
          <w:color w:val="auto"/>
        </w:rPr>
        <w:t>. Notwithstanding any provision of this Employment Agreement to the contrary, in no event shall the timing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Release, directly or indirectly, result in Executive designating the calendar year of payment, and if a payment that is subject to the requirements of Section 409A of the Code and is subject to execution of the Release could be made in more than one taxable year based on when the Release is executed or becomes effective, payment shall be made in the later year.</w:t>
      </w:r>
    </w:p>
    <w:p>
      <w:pPr>
        <w:spacing w:after="0" w:line="180" w:lineRule="exact"/>
        <w:rPr>
          <w:sz w:val="20"/>
          <w:szCs w:val="20"/>
          <w:color w:val="auto"/>
        </w:rPr>
      </w:pPr>
    </w:p>
    <w:p>
      <w:pPr>
        <w:ind w:right="80" w:firstLine="648"/>
        <w:spacing w:after="0" w:line="229" w:lineRule="auto"/>
        <w:rPr>
          <w:sz w:val="20"/>
          <w:szCs w:val="20"/>
          <w:color w:val="auto"/>
        </w:rPr>
      </w:pPr>
      <w:r>
        <w:rPr>
          <w:rFonts w:ascii="Arial" w:cs="Arial" w:eastAsia="Arial" w:hAnsi="Arial"/>
          <w:sz w:val="18"/>
          <w:szCs w:val="18"/>
          <w:b w:val="1"/>
          <w:bCs w:val="1"/>
          <w:color w:val="auto"/>
        </w:rPr>
        <w:t>3.7 Commencement of Severance Payments</w:t>
      </w:r>
      <w:r>
        <w:rPr>
          <w:rFonts w:ascii="Arial" w:cs="Arial" w:eastAsia="Arial" w:hAnsi="Arial"/>
          <w:sz w:val="18"/>
          <w:szCs w:val="18"/>
          <w:color w:val="auto"/>
        </w:rPr>
        <w:t>. The severance payments and benefits set forth in Sections 3.2.1(i) — (iv) (Termination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for Death, Disability, Without Cause, by Executive for Good Reason) and Sections 3.2.3(i) — (iii) (Termination Upon Non-Renewal by Employer) above will not be paid or provided unless Executive executes and does not revoke the Release and the Release is enforceable and effective as provided in the Release on or before the date that is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effective date of termination (such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the “Severance Pay Commencement Date”). No cash severance payments will be paid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Sections 3.2.1 or 3.2.3 prior to the Severance Pay Commencement Date. On the Severance Pay Commencement Date Employer will pay in a lump sum the aggregate amount of the cash severance payments that Employer would have paid Executive through such date had the payments commenced on the effective date of termination through the Severance Pay Commencement Date, with the balance paid thereafter on the applicable schedules described above. Notwithstanding any other provision of this Agreement to the contrary, it is intended that the payment of severance upon termination for Good Reason by Executive in accordance with Section 3.1.7 satisfy the safe harbor set forth in Treasury Regulation Section 1.409A-1(n)(2)(ii)), and any severance payment made pursuant to this Agreement shall satisfy the exemptions from the application of Section 409A of the Code provided under Treasury Regulation Sections 1.409A-1(b)(4), and 1.409A-1(b)(9).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NON-COMPETITION AND NON-SOLICITATION;</w:t>
      </w:r>
    </w:p>
    <w:p>
      <w:pPr>
        <w:spacing w:after="0" w:line="20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4.1 Confidentiality and Invention Rights. </w:t>
      </w:r>
      <w:r>
        <w:rPr>
          <w:rFonts w:ascii="Arial" w:cs="Arial" w:eastAsia="Arial" w:hAnsi="Arial"/>
          <w:sz w:val="18"/>
          <w:szCs w:val="18"/>
          <w:color w:val="auto"/>
        </w:rPr>
        <w:t>The parties hereto have entered into a Confidentiality and Invention Rights, Non-Competition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Non-Solicitation Agreement, which may be amended by the parties from time to time without regard to this Agreement. The Confidentiality and Invention Rights, Non-Competition and Non-Solicitation Agreement contains provisions that are intended by the parties to survive and do survive termination of this Agreement.</w:t>
      </w:r>
    </w:p>
    <w:p>
      <w:pPr>
        <w:spacing w:after="0" w:line="18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4.2 Remedies</w:t>
      </w:r>
      <w:r>
        <w:rPr>
          <w:rFonts w:ascii="Arial" w:cs="Arial" w:eastAsia="Arial" w:hAnsi="Arial"/>
          <w:sz w:val="18"/>
          <w:szCs w:val="18"/>
          <w:color w:val="auto"/>
        </w:rPr>
        <w:t>. Executive acknowledges and agrees that (a) Employer will be irreparably injured in the event of a breach by Executive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his obligations under this Article 4; (b) monetary damages will not be an adequate remedy for any such breach; and (c) in the event of any such breach, the Employer will be entitled to injunctive relief, in addition to any other remedy which it may have, and Executive shall not oppose such injunctive relief based upon the extent of the harm or the adequacy of monetary damages.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b w:val="1"/>
          <w:bCs w:val="1"/>
          <w:color w:val="auto"/>
        </w:rPr>
        <w:t>5.1 Severability</w:t>
      </w:r>
      <w:r>
        <w:rPr>
          <w:rFonts w:ascii="Arial" w:cs="Arial" w:eastAsia="Arial" w:hAnsi="Arial"/>
          <w:sz w:val="16"/>
          <w:szCs w:val="16"/>
          <w:color w:val="auto"/>
        </w:rPr>
        <w:t>. If in any jurisdiction any term or provision hereof is determined to be invalid or unenforceable, (a) the remaining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hereof shall be unimpaired, (b) any such invalidity or unenforceability in any jurisdiction shall not invalidate or render unenforceable such provision in any other jurisdiction, and (c) the invalid or unenforceable term or provision shall, for purposes of such jurisdiction, be deemed replaced by a term or provision that is valid and enforceable and that comes closest to expressing the intention of the invalid or unenforceable term or provision.</w:t>
      </w:r>
    </w:p>
    <w:p>
      <w:pPr>
        <w:spacing w:after="0" w:line="15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5.2 Execution in Counterparts</w:t>
      </w:r>
      <w:r>
        <w:rPr>
          <w:rFonts w:ascii="Arial" w:cs="Arial" w:eastAsia="Arial" w:hAnsi="Arial"/>
          <w:sz w:val="18"/>
          <w:szCs w:val="18"/>
          <w:color w:val="auto"/>
        </w:rPr>
        <w:t>. This Employment Agreement may be executed in one or more counterparts, and by the different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 separate counterparts, each of which shall be deemed to be an original but all of which taken together shall constitute one and the same agreement (and all signatures need not appear on any one counterpart), and this Employment Agreement shall become effective when one or more counterparts has been signed by each of the parties hereto and delivered to each of the other parties 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57" w:name="page58"/>
    <w:bookmarkEnd w:id="57"/>
    <w:p>
      <w:pPr>
        <w:jc w:val="both"/>
        <w:ind w:right="440" w:firstLine="648"/>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5.3 Notices</w:t>
      </w:r>
      <w:r>
        <w:rPr>
          <w:rFonts w:ascii="Arial" w:cs="Arial" w:eastAsia="Arial" w:hAnsi="Arial"/>
          <w:sz w:val="18"/>
          <w:szCs w:val="18"/>
          <w:color w:val="auto"/>
        </w:rPr>
        <w:t>. All notices, requests, demands and other communications hereunder shall be in writing and shall be deemed duly given when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hand, or when delivered if mailed by registered or certified mail, postage prepaid, return receipt requested, or private courier service or via facsimile (with written confirmation of receipt) or email (with written confirmation of receipt)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Employer,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Lindenwood Drive, Suite 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Malvern, Pennsylvania 19355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Kamil Ali-Jackson,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kalijackson@aclaristx.com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484-324-7933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Stuart Shanler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Quail Drive South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Phoenixville, Pennsylvania 19460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sshanler@aclaristx.com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address(es) as a party hereto shall have designated by like notice to the other parties hereto.</w:t>
      </w:r>
    </w:p>
    <w:p>
      <w:pPr>
        <w:spacing w:after="0" w:line="22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5.4 Amendment</w:t>
      </w:r>
      <w:r>
        <w:rPr>
          <w:rFonts w:ascii="Arial" w:cs="Arial" w:eastAsia="Arial" w:hAnsi="Arial"/>
          <w:sz w:val="18"/>
          <w:szCs w:val="18"/>
          <w:color w:val="auto"/>
        </w:rPr>
        <w:t>. No provision of this Employment Agreement may be modified, amended, waived or discharged in any manner except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instrument executed by Employer and Executive.</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5.5 Entire Agreement</w:t>
      </w:r>
      <w:r>
        <w:rPr>
          <w:rFonts w:ascii="Arial" w:cs="Arial" w:eastAsia="Arial" w:hAnsi="Arial"/>
          <w:sz w:val="16"/>
          <w:szCs w:val="16"/>
          <w:color w:val="auto"/>
        </w:rPr>
        <w:t>. This Employment Agreement constitutes the entire agreement of the parties hereto with respect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supersedes all prior agreements and understandings of the parties hereto, oral or written, with respect to the subject matter hereof, including but not limited any prior offer letter or written embodiment of the employment relationship between Executive and Employer and the letter from Employer to Executive entitled “Change of Control Bonus” dated August 30, 2012. No representation, promise or inducement has been made by either party that is not embodied in this Employment Agreement, and neither party shall be bound by or liable for any alleged representation, promise or inducement not so set forth.</w:t>
      </w:r>
    </w:p>
    <w:p>
      <w:pPr>
        <w:spacing w:after="0" w:line="154"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b w:val="1"/>
          <w:bCs w:val="1"/>
          <w:color w:val="auto"/>
        </w:rPr>
        <w:t>5.6 Applicable Law</w:t>
      </w:r>
      <w:r>
        <w:rPr>
          <w:rFonts w:ascii="Arial" w:cs="Arial" w:eastAsia="Arial" w:hAnsi="Arial"/>
          <w:sz w:val="17"/>
          <w:szCs w:val="17"/>
          <w:color w:val="auto"/>
        </w:rPr>
        <w:t>. This Employment Agreement shall be governed by and construed in accordance with the laws of the Commonwealth of</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applicable to contracts made and to be wholly performed therein without regard to its conflicts or choice of law provisions.</w:t>
      </w:r>
    </w:p>
    <w:p>
      <w:pPr>
        <w:spacing w:after="0" w:line="13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5.7 Headings</w:t>
      </w:r>
      <w:r>
        <w:rPr>
          <w:rFonts w:ascii="Arial" w:cs="Arial" w:eastAsia="Arial" w:hAnsi="Arial"/>
          <w:sz w:val="18"/>
          <w:szCs w:val="18"/>
          <w:color w:val="auto"/>
        </w:rPr>
        <w:t>. The headings contained herein are for the sole purpose of convenience of reference, and shall not in any way limit or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any of the terms or provisions of this Employment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5.8 Binding Effect; Successors and Assigns</w:t>
      </w:r>
      <w:r>
        <w:rPr>
          <w:rFonts w:ascii="Arial" w:cs="Arial" w:eastAsia="Arial" w:hAnsi="Arial"/>
          <w:sz w:val="18"/>
          <w:szCs w:val="18"/>
          <w:color w:val="auto"/>
        </w:rPr>
        <w:t>. Executive may not delegate his duties or assign his rights hereunder. This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inure to the benefit of, and be binding upon, the parties hereto and their respective heirs, legal representatives, and successors. Employer may assign this Employment Agreement to any entity purchasing all or substantially all of the assets of Employer.</w:t>
      </w:r>
    </w:p>
    <w:p>
      <w:pPr>
        <w:spacing w:after="0" w:line="17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5.9 Waiver, etc</w:t>
      </w:r>
      <w:r>
        <w:rPr>
          <w:rFonts w:ascii="Arial" w:cs="Arial" w:eastAsia="Arial" w:hAnsi="Arial"/>
          <w:sz w:val="16"/>
          <w:szCs w:val="16"/>
          <w:color w:val="auto"/>
        </w:rPr>
        <w:t>. The failure of either of the parties hereto to at any time enforce any of the provisions of this Employment Agreement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or construed to be a waiver of any such provision, nor to in any way affect the validity of this Employment Agreement or any provision hereof or the right of either of the parties hereto to thereafter enforce each and every provision of this Employment Agreement. No waiver of any breach of any of the provisions of this Employment Agreement shall be effective unless set forth in a written instrument executed by the party against whom or which enforcement of such waiver is sought, and no waiver of any such breach shall be construed or deemed to be a waiver of any other or subsequent breach.</w:t>
      </w:r>
    </w:p>
    <w:p>
      <w:pPr>
        <w:spacing w:after="0" w:line="15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5.10 Continuing Effect</w:t>
      </w:r>
      <w:r>
        <w:rPr>
          <w:rFonts w:ascii="Arial" w:cs="Arial" w:eastAsia="Arial" w:hAnsi="Arial"/>
          <w:sz w:val="18"/>
          <w:szCs w:val="18"/>
          <w:color w:val="auto"/>
        </w:rPr>
        <w:t>. Provisions of this Agreement which by their terms must survive the termination of this Agreement in order to effectuate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5.11 Representations and Warranties of Executive</w:t>
      </w:r>
      <w:r>
        <w:rPr>
          <w:rFonts w:ascii="Arial" w:cs="Arial" w:eastAsia="Arial" w:hAnsi="Arial"/>
          <w:sz w:val="18"/>
          <w:szCs w:val="18"/>
          <w:color w:val="auto"/>
        </w:rPr>
        <w:t>. Executive hereby represents and warrants to Employer that to the knowledge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not bound by any non-competition or other agreement which would prevent his performance hereunder.</w:t>
      </w:r>
    </w:p>
    <w:p>
      <w:pPr>
        <w:spacing w:after="0" w:line="16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b w:val="1"/>
          <w:bCs w:val="1"/>
          <w:color w:val="auto"/>
        </w:rPr>
        <w:t>5.12 Section 409A of the Code</w:t>
      </w:r>
      <w:r>
        <w:rPr>
          <w:rFonts w:ascii="Arial" w:cs="Arial" w:eastAsia="Arial" w:hAnsi="Arial"/>
          <w:sz w:val="17"/>
          <w:szCs w:val="17"/>
          <w:color w:val="auto"/>
        </w:rPr>
        <w:t>. This Employment Agreement is intended to comply with Section 409A of the Code and its corresponding</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or an exemption, and payments may only be made under this Employment Agreement upon an event and in a manner permitted by Section 409A of the Code, to the extent applicable. Payment under this Employment Agreement is intended to be exempt from Code Section 409A under the “short-teen deferral” exception set forth in Treasury Regulation Section 1.409A-1(b)(4), to the maximum extent applicable, and then under the “separation pay” exception set forth in Treasury Regulation Section 1.409A-1(b)(9), to the maximum extent applicable. All payments to be made upon a termination of employment under this Agreement may only be made upon a “separation from service” within the meaning of Treasury Regulation Section 1.409A-1(h) (or any successor provision) (a “Separation from Service”). For purposes of Code Section 409A, the right to a series of installment payments under this Agreement shall be treated as a right to a series of separate payments. In no event may the Executive, directly or indirectly, designate the calendar year of a payment. If the termination of employment giving rise to the payments described in Section 3.2.1 is not a Separation from Service, then the amounts otherwise payable pursuant to Section 3.2.1 will instead be deferred without interest and paid when Executive experiences a Separation from Service. Notwithstanding anything in this Employment Agreement to the contrary or otherwise, with respect to any expense, reimbursement or in-kind benefit provided pursuant to this Employment Agreement that constitutes a “deferral of compensation” within the meaning of Section 409A of the Code and its implementing regulations and guidance, (a) the expenses eligible for reimbursement or in-kind benefits provided to Executive must be incurred during the Employment Term (or applicable survival period), (b) the amount of expenses eligible</w:t>
      </w:r>
    </w:p>
    <w:p>
      <w:pPr>
        <w:sectPr>
          <w:pgSz w:w="11900" w:h="16838" w:orient="portrait"/>
          <w:cols w:equalWidth="0" w:num="1">
            <w:col w:w="11400"/>
          </w:cols>
          <w:pgMar w:left="240" w:top="715" w:right="259" w:bottom="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reimbursement or in-kind benefits provided to Executive during any calendar year will not affect the amount of expenses eligible for reimbursement or in-kind benefits provided to Executive in any other calendar year, (c) the reimbursements for expenses for which Executive is entitled to be reimbursed shall be made on or before the last day of the calendar year following the calendar year in which the applicable expense is incurred and (d) the right to payment or reimbursement or in-kind benefits hereunder may not be liquidated or exchanged for any other benefit. Notwithstanding any provision to the contrary in this Agreement, if Executive is deemed by Employer at the time of his Separation from Service to be a “specified employee” for purposes of Section 409A(a)(2) (B)(i) of the Code, and if any of the payments due upon Separation From Service set forth herein and/or under any other agreement with Employer are deemed to be “deferred compensation,” then to the extent delayed commencement of any portion of such payments is required to avoid a prohibited distribution under Section 409A(a)(2)(B)(i) of the Code and the related adverse taxation under Section 409A of the Code, such payments will not be provided to Executive prior to the earliest of (i) the expiration of the six (6)-month period measured from the date of Executive’s Separation From Service with Employer, (ii) the date of Executive’s death or (iii) such earlier date as permitted under Section 409A of the Code without the imposition of adverse taxation. Upon the first business day following the expiration of such applicable Code Section 409A(a)(2)(B)(i) period, all payments deferred pursuant to this paragraph will be paid in a lump sum to Executive, and any remaining payments due will be paid as otherwise provided in this Agreement or in the applicable agreement. No interest will be due on any amounts so deferred.</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5.13 Dispute Resolution</w:t>
      </w:r>
      <w:r>
        <w:rPr>
          <w:rFonts w:ascii="Arial" w:cs="Arial" w:eastAsia="Arial" w:hAnsi="Arial"/>
          <w:sz w:val="17"/>
          <w:szCs w:val="17"/>
          <w:color w:val="auto"/>
        </w:rPr>
        <w:t>. The parties recognize that litigation in federal or state courts or before federal or state administrative agencies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disputes arising out of the Executive’s employment with the Employer or out of this Agreement, or the Executive’s termination of employment or termination of this Agreement, may not be in the best interests of either the Executive or Employer,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dispute resolution provision shall not apply to any separate agreements between the parties that do not themselves specify arbitration as an exclusive remedy. The location for the arbitration shall be the Philadelphia, Pennsylvania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Employer. The parties acknowledge and agree that their obligations to arbitrate under this Section survive the termination of this Agreement and continue after the termination of the employment relationship between Executive and Employer. The parties each further agree that the arbitration provisions of this Agreement shall provide each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party with its </w:t>
      </w:r>
      <w:r>
        <w:rPr>
          <w:rFonts w:ascii="Arial" w:cs="Arial" w:eastAsia="Arial" w:hAnsi="Arial"/>
          <w:sz w:val="18"/>
          <w:szCs w:val="18"/>
          <w:b w:val="1"/>
          <w:bCs w:val="1"/>
          <w:color w:val="auto"/>
        </w:rPr>
        <w:t>exclusive remedy</w:t>
      </w:r>
      <w:r>
        <w:rPr>
          <w:rFonts w:ascii="Arial" w:cs="Arial" w:eastAsia="Arial" w:hAnsi="Arial"/>
          <w:sz w:val="18"/>
          <w:szCs w:val="18"/>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8"/>
          <w:szCs w:val="18"/>
          <w:b w:val="1"/>
          <w:bCs w:val="1"/>
          <w:color w:val="auto"/>
        </w:rPr>
        <w:t>the parties hereby waive their respective rights to, and</w:t>
      </w:r>
      <w:r>
        <w:rPr>
          <w:rFonts w:ascii="Arial" w:cs="Arial" w:eastAsia="Arial" w:hAnsi="Arial"/>
          <w:sz w:val="18"/>
          <w:szCs w:val="18"/>
          <w:color w:val="auto"/>
        </w:rPr>
        <w:t xml:space="preserve"> </w:t>
      </w:r>
      <w:r>
        <w:rPr>
          <w:rFonts w:ascii="Arial" w:cs="Arial" w:eastAsia="Arial" w:hAnsi="Arial"/>
          <w:sz w:val="18"/>
          <w:szCs w:val="18"/>
          <w:b w:val="1"/>
          <w:bCs w:val="1"/>
          <w:color w:val="auto"/>
        </w:rPr>
        <w:t>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Employment Agreement has been executed and delivered by the parties hereto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4"/>
          </w:tcPr>
          <w:p>
            <w:pPr>
              <w:spacing w:after="0"/>
              <w:rPr>
                <w:sz w:val="20"/>
                <w:szCs w:val="20"/>
                <w:color w:val="auto"/>
              </w:rPr>
            </w:pPr>
            <w:r>
              <w:rPr>
                <w:rFonts w:ascii="Arial" w:cs="Arial" w:eastAsia="Arial" w:hAnsi="Arial"/>
                <w:sz w:val="18"/>
                <w:szCs w:val="18"/>
                <w:color w:val="auto"/>
              </w:rPr>
              <w:t>ACLARIS THERAPEUTICS, INC.</w:t>
            </w:r>
          </w:p>
        </w:tc>
        <w:tc>
          <w:tcPr>
            <w:tcW w:w="5700" w:type="dxa"/>
            <w:vAlign w:val="bottom"/>
          </w:tcPr>
          <w:p>
            <w:pPr>
              <w:spacing w:after="0"/>
              <w:rPr>
                <w:sz w:val="20"/>
                <w:szCs w:val="20"/>
                <w:color w:val="auto"/>
              </w:rPr>
            </w:pPr>
          </w:p>
        </w:tc>
      </w:tr>
      <w:tr>
        <w:trPr>
          <w:trHeight w:val="432"/>
        </w:trPr>
        <w:tc>
          <w:tcPr>
            <w:tcW w:w="5720" w:type="dxa"/>
            <w:vAlign w:val="bottom"/>
            <w:gridSpan w:val="4"/>
          </w:tcPr>
          <w:p>
            <w:pPr>
              <w:spacing w:after="0"/>
              <w:rPr>
                <w:sz w:val="20"/>
                <w:szCs w:val="20"/>
                <w:color w:val="auto"/>
              </w:rPr>
            </w:pPr>
            <w:r>
              <w:rPr>
                <w:rFonts w:ascii="Arial" w:cs="Arial" w:eastAsia="Arial" w:hAnsi="Arial"/>
                <w:sz w:val="18"/>
                <w:szCs w:val="18"/>
                <w:color w:val="auto"/>
              </w:rPr>
              <w:t>By:  /s/ Neal Walker</w:t>
            </w:r>
          </w:p>
        </w:tc>
        <w:tc>
          <w:tcPr>
            <w:tcW w:w="5700" w:type="dxa"/>
            <w:vAlign w:val="bottom"/>
          </w:tcPr>
          <w:p>
            <w:pPr>
              <w:spacing w:after="0"/>
              <w:rPr>
                <w:sz w:val="20"/>
                <w:szCs w:val="20"/>
                <w:color w:val="auto"/>
              </w:rPr>
            </w:pPr>
            <w:r>
              <w:rPr>
                <w:rFonts w:ascii="Arial" w:cs="Arial" w:eastAsia="Arial" w:hAnsi="Arial"/>
                <w:sz w:val="18"/>
                <w:szCs w:val="18"/>
                <w:color w:val="auto"/>
              </w:rPr>
              <w:t>10-4-15</w:t>
            </w:r>
          </w:p>
        </w:tc>
      </w:tr>
      <w:tr>
        <w:trPr>
          <w:trHeight w:val="195"/>
        </w:trPr>
        <w:tc>
          <w:tcPr>
            <w:tcW w:w="460" w:type="dxa"/>
            <w:vAlign w:val="bottom"/>
            <w:gridSpan w:val="2"/>
          </w:tcPr>
          <w:p>
            <w:pPr>
              <w:spacing w:after="0" w:line="195" w:lineRule="exact"/>
              <w:rPr>
                <w:sz w:val="20"/>
                <w:szCs w:val="20"/>
                <w:color w:val="auto"/>
              </w:rPr>
            </w:pPr>
            <w:r>
              <w:rPr>
                <w:rFonts w:ascii="Arial" w:cs="Arial" w:eastAsia="Arial" w:hAnsi="Arial"/>
                <w:sz w:val="18"/>
                <w:szCs w:val="18"/>
                <w:color w:val="auto"/>
                <w:w w:val="82"/>
              </w:rPr>
              <w:t>Name:</w:t>
            </w:r>
          </w:p>
        </w:tc>
        <w:tc>
          <w:tcPr>
            <w:tcW w:w="49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Neal Walker</w:t>
            </w:r>
          </w:p>
        </w:tc>
        <w:tc>
          <w:tcPr>
            <w:tcW w:w="36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r>
      <w:tr>
        <w:trPr>
          <w:trHeight w:val="230"/>
        </w:trPr>
        <w:tc>
          <w:tcPr>
            <w:tcW w:w="5720" w:type="dxa"/>
            <w:vAlign w:val="bottom"/>
            <w:gridSpan w:val="4"/>
          </w:tcPr>
          <w:p>
            <w:pPr>
              <w:spacing w:after="0"/>
              <w:rPr>
                <w:sz w:val="20"/>
                <w:szCs w:val="20"/>
                <w:color w:val="auto"/>
              </w:rPr>
            </w:pPr>
            <w:r>
              <w:rPr>
                <w:rFonts w:ascii="Arial" w:cs="Arial" w:eastAsia="Arial" w:hAnsi="Arial"/>
                <w:sz w:val="18"/>
                <w:szCs w:val="18"/>
                <w:color w:val="auto"/>
              </w:rPr>
              <w:t>Title: President and CEO</w:t>
            </w:r>
          </w:p>
        </w:tc>
        <w:tc>
          <w:tcPr>
            <w:tcW w:w="5700" w:type="dxa"/>
            <w:vAlign w:val="bottom"/>
          </w:tcPr>
          <w:p>
            <w:pPr>
              <w:spacing w:after="0"/>
              <w:rPr>
                <w:sz w:val="20"/>
                <w:szCs w:val="20"/>
                <w:color w:val="auto"/>
              </w:rPr>
            </w:pPr>
          </w:p>
        </w:tc>
      </w:tr>
      <w:tr>
        <w:trPr>
          <w:trHeight w:val="432"/>
        </w:trPr>
        <w:tc>
          <w:tcPr>
            <w:tcW w:w="5720" w:type="dxa"/>
            <w:vAlign w:val="bottom"/>
            <w:gridSpan w:val="4"/>
          </w:tcPr>
          <w:p>
            <w:pPr>
              <w:spacing w:after="0"/>
              <w:rPr>
                <w:sz w:val="20"/>
                <w:szCs w:val="20"/>
                <w:color w:val="auto"/>
              </w:rPr>
            </w:pPr>
            <w:r>
              <w:rPr>
                <w:rFonts w:ascii="Arial" w:cs="Arial" w:eastAsia="Arial" w:hAnsi="Arial"/>
                <w:sz w:val="18"/>
                <w:szCs w:val="18"/>
                <w:color w:val="auto"/>
              </w:rPr>
              <w:t>/s/ Stuart Shanler</w:t>
            </w:r>
          </w:p>
        </w:tc>
        <w:tc>
          <w:tcPr>
            <w:tcW w:w="5700" w:type="dxa"/>
            <w:vAlign w:val="bottom"/>
          </w:tcPr>
          <w:p>
            <w:pPr>
              <w:spacing w:after="0"/>
              <w:rPr>
                <w:sz w:val="20"/>
                <w:szCs w:val="20"/>
                <w:color w:val="auto"/>
              </w:rPr>
            </w:pPr>
            <w:r>
              <w:rPr>
                <w:rFonts w:ascii="Arial" w:cs="Arial" w:eastAsia="Arial" w:hAnsi="Arial"/>
                <w:sz w:val="18"/>
                <w:szCs w:val="18"/>
                <w:color w:val="auto"/>
              </w:rPr>
              <w:t>10-4-15</w:t>
            </w:r>
          </w:p>
        </w:tc>
      </w:tr>
      <w:tr>
        <w:trPr>
          <w:trHeight w:val="224"/>
        </w:trPr>
        <w:tc>
          <w:tcPr>
            <w:tcW w:w="20" w:type="dxa"/>
            <w:vAlign w:val="bottom"/>
          </w:tcPr>
          <w:p>
            <w:pPr>
              <w:spacing w:after="0"/>
              <w:rPr>
                <w:sz w:val="19"/>
                <w:szCs w:val="19"/>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Stuart Shanler</w:t>
            </w:r>
          </w:p>
        </w:tc>
        <w:tc>
          <w:tcPr>
            <w:tcW w:w="36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187" w:lineRule="exact"/>
        <w:rPr>
          <w:sz w:val="20"/>
          <w:szCs w:val="20"/>
          <w:color w:val="auto"/>
        </w:rPr>
      </w:pPr>
    </w:p>
    <w:p>
      <w:pPr>
        <w:sectPr>
          <w:pgSz w:w="11900" w:h="16838" w:orient="portrait"/>
          <w:cols w:equalWidth="0" w:num="1">
            <w:col w:w="11420"/>
          </w:cols>
          <w:pgMar w:left="240" w:top="125" w:right="239" w:bottom="1440" w:gutter="0" w:footer="0" w:header="0"/>
        </w:sect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This EMPLOYMENT AGREEMENT (the “Employment Agreement”), effective as of, and contingent upon, the effectiveness of the registration statement for Employer’s initial public offering (“Agreement Effective Date”), is made by and between Aclaris Therapeutics, Inc., a corporation organized under the laws of the State of Delaware (“Employer”) and Christopher Powala (“Executive”).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Executive desires to continue to provide services to Employer and Employer desires to continue to retain the services of Executive;</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WHEREAS, in consideration of Executive’s employment by Employer for more than three (3) years prior to the Agreement Effective Date,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Employer and Executive desire to enter this Employment Agreement and formalize the terms and conditions of Executive’s employment with Employer; and</w:t>
      </w:r>
    </w:p>
    <w:p>
      <w:pPr>
        <w:spacing w:after="0" w:line="23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this Agreement has been duly approved and its execution has been duly authorized by the Compensation Committee of Employer’s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Employer and Executive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w:t>
      </w:r>
    </w:p>
    <w:p>
      <w:pPr>
        <w:spacing w:after="0" w:line="20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1.1 General</w:t>
      </w:r>
      <w:r>
        <w:rPr>
          <w:rFonts w:ascii="Arial" w:cs="Arial" w:eastAsia="Arial" w:hAnsi="Arial"/>
          <w:sz w:val="18"/>
          <w:szCs w:val="18"/>
          <w:color w:val="auto"/>
        </w:rPr>
        <w:t>. Employer hereby agrees to continue to employ Executive in the capacity of Chief Operating Officer. Executive hereby accepts</w:t>
      </w:r>
      <w:r>
        <w:rPr>
          <w:rFonts w:ascii="Arial" w:cs="Arial" w:eastAsia="Arial" w:hAnsi="Arial"/>
          <w:sz w:val="18"/>
          <w:szCs w:val="18"/>
          <w:b w:val="1"/>
          <w:bCs w:val="1"/>
          <w:color w:val="auto"/>
        </w:rPr>
        <w:t xml:space="preserve"> </w:t>
      </w:r>
      <w:r>
        <w:rPr>
          <w:rFonts w:ascii="Arial" w:cs="Arial" w:eastAsia="Arial" w:hAnsi="Arial"/>
          <w:sz w:val="18"/>
          <w:szCs w:val="18"/>
          <w:color w:val="auto"/>
        </w:rPr>
        <w:t>such continued employment upon the terms and subject to the conditions herein contained.</w:t>
      </w:r>
    </w:p>
    <w:p>
      <w:pPr>
        <w:spacing w:after="0" w:line="16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1.2 Authority and Duties</w:t>
      </w:r>
      <w:r>
        <w:rPr>
          <w:rFonts w:ascii="Arial" w:cs="Arial" w:eastAsia="Arial" w:hAnsi="Arial"/>
          <w:sz w:val="18"/>
          <w:szCs w:val="18"/>
          <w:color w:val="auto"/>
        </w:rPr>
        <w:t>. Executive shall have full responsibility as the Chief Operating Officer of Employer and all authority normally</w:t>
      </w:r>
      <w:r>
        <w:rPr>
          <w:rFonts w:ascii="Arial" w:cs="Arial" w:eastAsia="Arial" w:hAnsi="Arial"/>
          <w:sz w:val="18"/>
          <w:szCs w:val="18"/>
          <w:b w:val="1"/>
          <w:bCs w:val="1"/>
          <w:color w:val="auto"/>
        </w:rPr>
        <w:t xml:space="preserve"> </w:t>
      </w:r>
      <w:r>
        <w:rPr>
          <w:rFonts w:ascii="Arial" w:cs="Arial" w:eastAsia="Arial" w:hAnsi="Arial"/>
          <w:sz w:val="18"/>
          <w:szCs w:val="18"/>
          <w:color w:val="auto"/>
        </w:rPr>
        <w:t>accorded to such position. Executive agrees to perform such duties and responsibilities commensurate with the position of Chief Operating Officer as may reasonably be determined by the Board of Directors of Employer (the “Board”).</w:t>
      </w:r>
    </w:p>
    <w:p>
      <w:pPr>
        <w:spacing w:after="0" w:line="176"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b w:val="1"/>
          <w:bCs w:val="1"/>
          <w:color w:val="auto"/>
        </w:rPr>
        <w:t>1.2.1 Reporting</w:t>
      </w:r>
      <w:r>
        <w:rPr>
          <w:rFonts w:ascii="Arial" w:cs="Arial" w:eastAsia="Arial" w:hAnsi="Arial"/>
          <w:sz w:val="18"/>
          <w:szCs w:val="18"/>
          <w:color w:val="auto"/>
        </w:rPr>
        <w:t>. During Executive’s employment with Employer, Executive will report directly to, and take direction from,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“CEO”).</w:t>
      </w:r>
    </w:p>
    <w:p>
      <w:pPr>
        <w:spacing w:after="0" w:line="162"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6"/>
          <w:szCs w:val="16"/>
          <w:b w:val="1"/>
          <w:bCs w:val="1"/>
          <w:color w:val="auto"/>
        </w:rPr>
        <w:t>1.2.2 Time to Be Devoted to Employment</w:t>
      </w:r>
      <w:r>
        <w:rPr>
          <w:rFonts w:ascii="Arial" w:cs="Arial" w:eastAsia="Arial" w:hAnsi="Arial"/>
          <w:sz w:val="16"/>
          <w:szCs w:val="16"/>
          <w:color w:val="auto"/>
        </w:rPr>
        <w:t>. During Executive’s Employment with Employer, Executive shall diligently devote his</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business time, attention and energies to the business of Employer will not, while employed by Employer,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w:t>
      </w:r>
    </w:p>
    <w:p>
      <w:pPr>
        <w:spacing w:after="0" w:line="2" w:lineRule="exact"/>
        <w:rPr>
          <w:sz w:val="20"/>
          <w:szCs w:val="20"/>
          <w:color w:val="auto"/>
        </w:rPr>
      </w:pPr>
    </w:p>
    <w:p>
      <w:pPr>
        <w:ind w:right="60" w:firstLine="8"/>
        <w:spacing w:after="0" w:line="261" w:lineRule="auto"/>
        <w:tabs>
          <w:tab w:leader="none" w:pos="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other activities as may be specifically approved by the Board. This restriction shall not, however, preclude Executive (x) from owning less than one percent (1%) of the total outstanding shares of a publicly traded company, or (y) from employment or service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any capacity with Affiliates of Employer. As used in this Agreement, “Affiliates” means an entity under common management or control with Employer.</w:t>
      </w:r>
    </w:p>
    <w:p>
      <w:pPr>
        <w:spacing w:after="0" w:line="23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1.3 Other Responsibilities</w:t>
      </w:r>
      <w:r>
        <w:rPr>
          <w:rFonts w:ascii="Arial" w:cs="Arial" w:eastAsia="Arial" w:hAnsi="Arial"/>
          <w:sz w:val="18"/>
          <w:szCs w:val="18"/>
          <w:color w:val="auto"/>
        </w:rPr>
        <w:t>. Notwithstanding Section 1.2.2 above, the Board expressly grants Executive the right to (i) provide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Alexar Therapeutics, Inc.; and (ii) perform services, if necessary, for companies other than Employer, in connection with his ownership interests in such companies; provided that the provision of such services does not adversely affect his performance of services hereunder and does not otherwise result in a material breach hereunder.</w:t>
      </w:r>
    </w:p>
    <w:p>
      <w:pPr>
        <w:spacing w:after="0" w:line="180"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1.4 Location of Employment</w:t>
      </w:r>
      <w:r>
        <w:rPr>
          <w:rFonts w:ascii="Arial" w:cs="Arial" w:eastAsia="Arial" w:hAnsi="Arial"/>
          <w:sz w:val="18"/>
          <w:szCs w:val="18"/>
          <w:color w:val="auto"/>
        </w:rPr>
        <w:t>. Executive’s principal place of employment during his employment with Employer shall be in Malvern,</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or such other location as Employer and Executive shall agree.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AND BENEFITS</w:t>
      </w:r>
    </w:p>
    <w:p>
      <w:pPr>
        <w:spacing w:after="0" w:line="207"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2.1 Salary</w:t>
      </w:r>
      <w:r>
        <w:rPr>
          <w:rFonts w:ascii="Arial" w:cs="Arial" w:eastAsia="Arial" w:hAnsi="Arial"/>
          <w:sz w:val="18"/>
          <w:szCs w:val="18"/>
          <w:color w:val="auto"/>
        </w:rPr>
        <w:t>. Employer will pay to Executive an annual base salary of three hundred five thousand, two hundred seventy-one Dollars and forty</w:t>
      </w:r>
      <w:r>
        <w:rPr>
          <w:rFonts w:ascii="Arial" w:cs="Arial" w:eastAsia="Arial" w:hAnsi="Arial"/>
          <w:sz w:val="18"/>
          <w:szCs w:val="18"/>
          <w:b w:val="1"/>
          <w:bCs w:val="1"/>
          <w:color w:val="auto"/>
        </w:rPr>
        <w:t xml:space="preserve"> </w:t>
      </w:r>
      <w:r>
        <w:rPr>
          <w:rFonts w:ascii="Arial" w:cs="Arial" w:eastAsia="Arial" w:hAnsi="Arial"/>
          <w:sz w:val="18"/>
          <w:szCs w:val="18"/>
          <w:color w:val="auto"/>
        </w:rPr>
        <w:t>Cents ($305,271.40), payable subject to standard federal and state payroll withholding requirements in accordance with the regular payroll practices of Employer (“Base Salary”). The annual Base Salary may be increased (but not decreased) during the term of this Employment Agreement by the Board in its sole discretion.</w:t>
      </w:r>
    </w:p>
    <w:p>
      <w:pPr>
        <w:spacing w:after="0" w:line="18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2.2 Additional Compensation</w:t>
      </w:r>
      <w:r>
        <w:rPr>
          <w:rFonts w:ascii="Arial" w:cs="Arial" w:eastAsia="Arial" w:hAnsi="Arial"/>
          <w:sz w:val="17"/>
          <w:szCs w:val="17"/>
          <w:color w:val="auto"/>
        </w:rPr>
        <w:t>. In addition to the salary set forth in Section 2.1, Executive shall be entitled to receive a cash bonus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of this Section 2.2. For each fiscal year of Employer, beginning January 1, during the Employment Term (as defined in Section 2.4 hereof), Executive shall be eligible to receive a cash bonus based on (i) the “Annual Bonus Expectancy Amount,” which shall be an amount equal to thirty percent (30%) of Executive’s Base Salary for the applicable fiscal year, and (ii) Executive’s attainment of performance targets and other reasonable criteria established by the Board, to the extent possible, by the end of the first month of such fiscal year. Depending on the targets and criteria which are achieved or met, the amount of the cash bonus actually payable to Executive for each fiscal year will be an amount from zero to and including the Annual Bonus Expectancy Amount. Any cash bonus amount payable pursuant to this Section 2.2 shall be paid to Executive as soon as practicable, but in no event later than two and one-half (2 1/2) months, following the end of the fiscal year to which it relates. It is explicitly agreed and understood that cash bonuses under this Section 2.2 are to be payable only if, and to the extent, that the Board in its judgment determines Employer has adequate cash flow and is adequately capitalized to support such payment.</w:t>
      </w:r>
    </w:p>
    <w:p>
      <w:pPr>
        <w:spacing w:after="0" w:line="17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2.3 Executive Benefits</w:t>
      </w:r>
      <w:r>
        <w:rPr>
          <w:rFonts w:ascii="Arial" w:cs="Arial" w:eastAsia="Arial" w:hAnsi="Arial"/>
          <w:sz w:val="18"/>
          <w:szCs w:val="18"/>
          <w:color w:val="auto"/>
        </w:rPr>
        <w:t>. In addition to the salary and additional compensation set forth in Sections 2.1 and 2.2, Executive shall also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benefits during Executive’s employment hereunder:</w:t>
      </w:r>
    </w:p>
    <w:p>
      <w:pPr>
        <w:sectPr>
          <w:pgSz w:w="11900" w:h="16838" w:orient="portrait"/>
          <w:cols w:equalWidth="0" w:num="1">
            <w:col w:w="11420"/>
          </w:cols>
          <w:pgMar w:left="240" w:top="121" w:right="239" w:bottom="40" w:gutter="0" w:footer="0" w:header="0"/>
        </w:sectPr>
      </w:pPr>
    </w:p>
    <w:bookmarkStart w:id="60" w:name="page61"/>
    <w:bookmarkEnd w:id="60"/>
    <w:p>
      <w:pPr>
        <w:ind w:right="120" w:firstLine="1297"/>
        <w:spacing w:after="0" w:line="313" w:lineRule="auto"/>
        <w:rPr>
          <w:sz w:val="20"/>
          <w:szCs w:val="20"/>
          <w:color w:val="auto"/>
        </w:rPr>
      </w:pPr>
      <w:r>
        <w:rPr>
          <w:rFonts w:ascii="Arial" w:cs="Arial" w:eastAsia="Arial" w:hAnsi="Arial"/>
          <w:sz w:val="17"/>
          <w:szCs w:val="17"/>
          <w:b w:val="1"/>
          <w:bCs w:val="1"/>
          <w:color w:val="auto"/>
        </w:rPr>
        <w:t>2.3.1 Expenses</w:t>
      </w:r>
      <w:r>
        <w:rPr>
          <w:rFonts w:ascii="Arial" w:cs="Arial" w:eastAsia="Arial" w:hAnsi="Arial"/>
          <w:sz w:val="17"/>
          <w:szCs w:val="17"/>
          <w:color w:val="auto"/>
        </w:rPr>
        <w:t>. Employer will promptly reimburse Executive for expenses he reasonably incurs in connection with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his duties (including business travel and entertainment expenses), in accordance with Employer’s standard expense reimbursement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policy, as the same may be modified by Employer from time to time; provided, however, that Executive has provided Employer with documentation of such expenses in accordance with the Employer’s expense reimbursement policies and applicable tax requirements.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9"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2.3.2 Employer Plans</w:t>
      </w:r>
      <w:r>
        <w:rPr>
          <w:rFonts w:ascii="Arial" w:cs="Arial" w:eastAsia="Arial" w:hAnsi="Arial"/>
          <w:sz w:val="18"/>
          <w:szCs w:val="18"/>
          <w:color w:val="auto"/>
        </w:rPr>
        <w:t>. Executive will be eligible to participate on the same basis as similarly situated employees in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plans and programs, as they may be interpreted, adopted, revised or deleted from time to time in Employer’s sole discretion, subject to and on a basis consistent with the terms, conditions and overall administration of such plans and programs. All matters of eligibility for coverage or benefits under any benefit plan shall be determined in accordance with the provisions of such plan. Employer retains the unilateral right to amend, modify or terminate any of its employee benefit plans and programs at any time.</w:t>
      </w:r>
    </w:p>
    <w:p>
      <w:pPr>
        <w:spacing w:after="0" w:line="184" w:lineRule="exact"/>
        <w:rPr>
          <w:sz w:val="20"/>
          <w:szCs w:val="20"/>
          <w:color w:val="auto"/>
        </w:rPr>
      </w:pPr>
    </w:p>
    <w:p>
      <w:pPr>
        <w:ind w:right="480" w:firstLine="1297"/>
        <w:spacing w:after="0" w:line="313" w:lineRule="auto"/>
        <w:rPr>
          <w:sz w:val="20"/>
          <w:szCs w:val="20"/>
          <w:color w:val="auto"/>
        </w:rPr>
      </w:pPr>
      <w:r>
        <w:rPr>
          <w:rFonts w:ascii="Arial" w:cs="Arial" w:eastAsia="Arial" w:hAnsi="Arial"/>
          <w:sz w:val="17"/>
          <w:szCs w:val="17"/>
          <w:b w:val="1"/>
          <w:bCs w:val="1"/>
          <w:color w:val="auto"/>
        </w:rPr>
        <w:t>2.3.3 Vacation</w:t>
      </w:r>
      <w:r>
        <w:rPr>
          <w:rFonts w:ascii="Arial" w:cs="Arial" w:eastAsia="Arial" w:hAnsi="Arial"/>
          <w:sz w:val="17"/>
          <w:szCs w:val="17"/>
          <w:color w:val="auto"/>
        </w:rPr>
        <w:t>. Executive shall be eligible for paid vacation leave (not including regular holidays) consistent with the needs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Vacation must be scheduled at those times convenient to Employer’s business as reasonably determined by the CEO.</w:t>
      </w:r>
    </w:p>
    <w:p>
      <w:pPr>
        <w:spacing w:after="0" w:line="138"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2.3.4 Coverage</w:t>
      </w:r>
      <w:r>
        <w:rPr>
          <w:rFonts w:ascii="Arial" w:cs="Arial" w:eastAsia="Arial" w:hAnsi="Arial"/>
          <w:sz w:val="18"/>
          <w:szCs w:val="18"/>
          <w:color w:val="auto"/>
        </w:rPr>
        <w:t>. Nothing in this Employment Agreement shall prevent Executive from participating in any other compensation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 made available to him by Employer.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Withholding</w:t>
      </w:r>
      <w:r>
        <w:rPr>
          <w:rFonts w:ascii="Arial" w:cs="Arial" w:eastAsia="Arial" w:hAnsi="Arial"/>
          <w:sz w:val="16"/>
          <w:szCs w:val="16"/>
          <w:color w:val="auto"/>
        </w:rPr>
        <w:t>. All compensation shall be subject to withholding of taxes and deductions of other amounts as may be required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2.4 Employment Term</w:t>
      </w:r>
      <w:r>
        <w:rPr>
          <w:rFonts w:ascii="Arial" w:cs="Arial" w:eastAsia="Arial" w:hAnsi="Arial"/>
          <w:sz w:val="17"/>
          <w:szCs w:val="17"/>
          <w:color w:val="auto"/>
        </w:rPr>
        <w:t>. Unless earlier terminated pursuant to Section 3.1, Executive’s employment by Employer pursuant to this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continue until the second anniversary of the Agreement Effective Date (the “Initial Term”). Thereafter, this Employment Agreement shall be automatically renewed for successive one (1) year periods (the Initial Term, together with any subsequent employment period being referred to herein as the “Employment Term”); provided, however, that either party may elect to not renew this Employment Agreement by written notice to such effect delivered to the other party at least ninety (90) days prior to expiration of the Initial Term or the Employment Term.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EMPLOYMENT</w:t>
      </w:r>
    </w:p>
    <w:p>
      <w:pPr>
        <w:spacing w:after="0" w:line="20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Events of Termination</w:t>
      </w:r>
      <w:r>
        <w:rPr>
          <w:rFonts w:ascii="Arial" w:cs="Arial" w:eastAsia="Arial" w:hAnsi="Arial"/>
          <w:sz w:val="16"/>
          <w:szCs w:val="16"/>
          <w:color w:val="auto"/>
        </w:rPr>
        <w:t>. Executive’s employment with Employer will terminate upon the occurrence of any one or more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0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Death</w:t>
      </w:r>
      <w:r>
        <w:rPr>
          <w:rFonts w:ascii="Arial" w:cs="Arial" w:eastAsia="Arial" w:hAnsi="Arial"/>
          <w:sz w:val="16"/>
          <w:szCs w:val="16"/>
          <w:color w:val="auto"/>
        </w:rPr>
        <w:t>. In the event of Executive’s death, Executive’s employment will terminate on the date of death.</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b w:val="1"/>
          <w:bCs w:val="1"/>
          <w:color w:val="auto"/>
        </w:rPr>
        <w:t>3.1.2 Disability</w:t>
      </w:r>
      <w:r>
        <w:rPr>
          <w:rFonts w:ascii="Arial" w:cs="Arial" w:eastAsia="Arial" w:hAnsi="Arial"/>
          <w:sz w:val="17"/>
          <w:szCs w:val="17"/>
          <w:color w:val="auto"/>
        </w:rPr>
        <w:t>. In the event of Executive’s Disability (as hereinafter defined), Employer will have the option to terminate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by giving a notice of termination to Executive. The notice of termination shall specify the date of termination, which date shall not be earlier than thirty (30) calendar days after the notice of termination is given. For purposes of this Employment Agreement, “Disability” means the failure or inability of Executive to substantially perform, with or without reasonable accommodation, his duties hereunder for an aggregate of ninety (90) calendar days during any consecutive three hundred sixty-five (365) day period as a result of a physical or mental illness or injury, as determined in good faith by the Board upon the advice of an independent physician experienced in treating the condition(s) allegedly giving rise to the disability. This definition shall be interpreted and applied consistent with the Americans with Disabilities Act, the Family and Medical Leave Act, and other applicable law.</w:t>
      </w:r>
    </w:p>
    <w:p>
      <w:pPr>
        <w:spacing w:after="0" w:line="172" w:lineRule="exact"/>
        <w:rPr>
          <w:sz w:val="20"/>
          <w:szCs w:val="20"/>
          <w:color w:val="auto"/>
        </w:rPr>
      </w:pPr>
    </w:p>
    <w:p>
      <w:pPr>
        <w:ind w:right="60" w:firstLine="1297"/>
        <w:spacing w:after="0" w:line="292" w:lineRule="auto"/>
        <w:rPr>
          <w:sz w:val="20"/>
          <w:szCs w:val="20"/>
          <w:color w:val="auto"/>
        </w:rPr>
      </w:pPr>
      <w:r>
        <w:rPr>
          <w:rFonts w:ascii="Arial" w:cs="Arial" w:eastAsia="Arial" w:hAnsi="Arial"/>
          <w:sz w:val="16"/>
          <w:szCs w:val="16"/>
          <w:b w:val="1"/>
          <w:bCs w:val="1"/>
          <w:color w:val="auto"/>
        </w:rPr>
        <w:t>3.1.3 Termination by Employer for Cause</w:t>
      </w:r>
      <w:r>
        <w:rPr>
          <w:rFonts w:ascii="Arial" w:cs="Arial" w:eastAsia="Arial" w:hAnsi="Arial"/>
          <w:sz w:val="16"/>
          <w:szCs w:val="16"/>
          <w:color w:val="auto"/>
        </w:rPr>
        <w:t>. Employer may, at its option, terminate Executive’s employment for Cause by unilateral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action of the Board of Directors upon giving a notice of termination to Executive. “Cause” shall mean (i) Executive’s conviction of, or guilty plea to, a crime of moral turpitude (whether or not a felony) or a felony (other than traffic violations); (ii) any act(s) or omission(s) by Executive which constitutes gross negligence or a material breach of Executive’s duty of loyalty; (iii) any material breach by Executive of Employer’s personnel policies, including those prohibiting acts of discrimination, harassment or retaliation; (iv) any act constituting dishonesty, fraud, immoral or disreputable conduct; (v) refusal to follow or implement a clear and reasonable directive of Employer; (vi) breach of fiduciary duty; or (vii) a material violation or breach by Executive of this Employment Agreement (other than an event described in the foregoing clauses (i) through (vi)) or any other agreement between the parties.</w:t>
      </w:r>
    </w:p>
    <w:p>
      <w:pPr>
        <w:spacing w:after="0" w:line="162" w:lineRule="exact"/>
        <w:rPr>
          <w:sz w:val="20"/>
          <w:szCs w:val="20"/>
          <w:color w:val="auto"/>
        </w:rPr>
      </w:pPr>
    </w:p>
    <w:p>
      <w:pPr>
        <w:jc w:val="both"/>
        <w:ind w:right="160" w:firstLine="1297"/>
        <w:spacing w:after="0" w:line="314" w:lineRule="auto"/>
        <w:rPr>
          <w:sz w:val="20"/>
          <w:szCs w:val="20"/>
          <w:color w:val="auto"/>
        </w:rPr>
      </w:pPr>
      <w:r>
        <w:rPr>
          <w:rFonts w:ascii="Arial" w:cs="Arial" w:eastAsia="Arial" w:hAnsi="Arial"/>
          <w:sz w:val="16"/>
          <w:szCs w:val="16"/>
          <w:b w:val="1"/>
          <w:bCs w:val="1"/>
          <w:color w:val="auto"/>
        </w:rPr>
        <w:t>3.1.4 Without Cause By Employer</w:t>
      </w:r>
      <w:r>
        <w:rPr>
          <w:rFonts w:ascii="Arial" w:cs="Arial" w:eastAsia="Arial" w:hAnsi="Arial"/>
          <w:sz w:val="16"/>
          <w:szCs w:val="16"/>
          <w:color w:val="auto"/>
        </w:rPr>
        <w:t>. Employer may, at its option, terminate Executive’s employment for any reason whatsoever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for the other reasons set forth above in this Section 3.1 that would constitute “Cause” to terminate) by giving a notice of termination to Executive, and Executive’s employment shall terminate on the later of the date the notice of termination is given or the date set forth in such notice of termination.</w:t>
      </w:r>
    </w:p>
    <w:p>
      <w:pPr>
        <w:spacing w:after="0" w:line="142" w:lineRule="exact"/>
        <w:rPr>
          <w:sz w:val="20"/>
          <w:szCs w:val="20"/>
          <w:color w:val="auto"/>
        </w:rPr>
      </w:pPr>
    </w:p>
    <w:p>
      <w:pPr>
        <w:ind w:right="160" w:firstLine="1297"/>
        <w:spacing w:after="0" w:line="258" w:lineRule="auto"/>
        <w:rPr>
          <w:sz w:val="20"/>
          <w:szCs w:val="20"/>
          <w:color w:val="auto"/>
        </w:rPr>
      </w:pPr>
      <w:r>
        <w:rPr>
          <w:rFonts w:ascii="Arial" w:cs="Arial" w:eastAsia="Arial" w:hAnsi="Arial"/>
          <w:sz w:val="18"/>
          <w:szCs w:val="18"/>
          <w:b w:val="1"/>
          <w:bCs w:val="1"/>
          <w:color w:val="auto"/>
        </w:rPr>
        <w:t>3.1.5 By Executive</w:t>
      </w:r>
      <w:r>
        <w:rPr>
          <w:rFonts w:ascii="Arial" w:cs="Arial" w:eastAsia="Arial" w:hAnsi="Arial"/>
          <w:sz w:val="18"/>
          <w:szCs w:val="18"/>
          <w:color w:val="auto"/>
        </w:rPr>
        <w:t>. Executive may, at any time, terminate Executive’s employment for any reason whatsoever by giving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to Employer. Executive’s employment shall terminate on the earlier of (i) the date, following the date of the notice of termination, upon which a suitable replacement for Executive is found by the Employer or upon which Employer makes a determination, in its sole discretion, that Executive’s duties shall be undertaken by other employees of Employer, (ii) thirty (30) calendar days after the date of receipt by Employer of the notice of termination, or (iii) such earlier date as the Employer and Executive shall agree.</w:t>
      </w:r>
    </w:p>
    <w:p>
      <w:pPr>
        <w:spacing w:after="0" w:line="184" w:lineRule="exact"/>
        <w:rPr>
          <w:sz w:val="20"/>
          <w:szCs w:val="20"/>
          <w:color w:val="auto"/>
        </w:rPr>
      </w:pPr>
    </w:p>
    <w:p>
      <w:pPr>
        <w:ind w:right="60" w:firstLine="1297"/>
        <w:spacing w:after="0" w:line="347" w:lineRule="auto"/>
        <w:rPr>
          <w:sz w:val="20"/>
          <w:szCs w:val="20"/>
          <w:color w:val="auto"/>
        </w:rPr>
      </w:pPr>
      <w:r>
        <w:rPr>
          <w:rFonts w:ascii="Arial" w:cs="Arial" w:eastAsia="Arial" w:hAnsi="Arial"/>
          <w:sz w:val="16"/>
          <w:szCs w:val="16"/>
          <w:b w:val="1"/>
          <w:bCs w:val="1"/>
          <w:color w:val="auto"/>
        </w:rPr>
        <w:t>3.1.6 Termination Upon Non-Renewal</w:t>
      </w:r>
      <w:r>
        <w:rPr>
          <w:rFonts w:ascii="Arial" w:cs="Arial" w:eastAsia="Arial" w:hAnsi="Arial"/>
          <w:sz w:val="16"/>
          <w:szCs w:val="16"/>
          <w:color w:val="auto"/>
        </w:rPr>
        <w:t>. Either party may terminate this Employment Agreement and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by providing the other party notice in accordance with Section 2.4 above, in which case this Employment Agreement and Executive’s employment</w:t>
      </w:r>
    </w:p>
    <w:p>
      <w:pPr>
        <w:sectPr>
          <w:pgSz w:w="11900" w:h="16838" w:orient="portrait"/>
          <w:cols w:equalWidth="0" w:num="1">
            <w:col w:w="11400"/>
          </w:cols>
          <w:pgMar w:left="240" w:top="121" w:right="259" w:bottom="0" w:gutter="0" w:footer="0" w:header="0"/>
        </w:sectPr>
      </w:pPr>
    </w:p>
    <w:bookmarkStart w:id="61" w:name="page62"/>
    <w:bookmarkEnd w:id="61"/>
    <w:p>
      <w:pPr>
        <w:ind w:right="560"/>
        <w:spacing w:after="0" w:line="277" w:lineRule="auto"/>
        <w:rPr>
          <w:sz w:val="20"/>
          <w:szCs w:val="20"/>
          <w:color w:val="auto"/>
        </w:rPr>
      </w:pPr>
      <w:r>
        <w:rPr>
          <w:rFonts w:ascii="Arial" w:cs="Arial" w:eastAsia="Arial" w:hAnsi="Arial"/>
          <w:sz w:val="18"/>
          <w:szCs w:val="18"/>
          <w:color w:val="auto"/>
        </w:rPr>
        <w:t>hereunder shall terminate on the last date of the Initial Term or the Employment Term, as the case may be. For the avoidance of doubt, Executive shall continue to be employed by Employer, on the same terms and conditions as set forth in this Employment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Agreement during the ninety (90)-day notice period provided by either party to the other party in accordance with Section 2.4 above, unless, Employer, in its sole discretion determines that it does not want Executive to continue to work for Employer, in any capacity, during such notice period. In such event, Employer shall pay Executive all compensation in accordance with Section 3.2.3.</w:t>
      </w:r>
    </w:p>
    <w:p>
      <w:pPr>
        <w:spacing w:after="0" w:line="177" w:lineRule="exact"/>
        <w:rPr>
          <w:sz w:val="20"/>
          <w:szCs w:val="20"/>
          <w:color w:val="auto"/>
        </w:rPr>
      </w:pPr>
    </w:p>
    <w:p>
      <w:pPr>
        <w:ind w:right="60" w:firstLine="1297"/>
        <w:spacing w:after="0" w:line="313" w:lineRule="auto"/>
        <w:rPr>
          <w:sz w:val="20"/>
          <w:szCs w:val="20"/>
          <w:color w:val="auto"/>
        </w:rPr>
      </w:pPr>
      <w:r>
        <w:rPr>
          <w:rFonts w:ascii="Arial" w:cs="Arial" w:eastAsia="Arial" w:hAnsi="Arial"/>
          <w:sz w:val="17"/>
          <w:szCs w:val="17"/>
          <w:b w:val="1"/>
          <w:bCs w:val="1"/>
          <w:color w:val="auto"/>
        </w:rPr>
        <w:t>3.1.7 For Good Reason by Executive</w:t>
      </w:r>
      <w:r>
        <w:rPr>
          <w:rFonts w:ascii="Arial" w:cs="Arial" w:eastAsia="Arial" w:hAnsi="Arial"/>
          <w:sz w:val="17"/>
          <w:szCs w:val="17"/>
          <w:color w:val="auto"/>
        </w:rPr>
        <w:t>. Executive may, at his option, terminate Executive’s employment for “Good Reason” by giving a</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termination to Employer in the event that, in the absence of events that would support a termination of Executive for Cause:</w:t>
      </w:r>
    </w:p>
    <w:p>
      <w:pPr>
        <w:spacing w:after="0" w:line="142" w:lineRule="exact"/>
        <w:rPr>
          <w:sz w:val="20"/>
          <w:szCs w:val="20"/>
          <w:color w:val="auto"/>
        </w:rPr>
      </w:pPr>
    </w:p>
    <w:p>
      <w:pPr>
        <w:ind w:right="820" w:firstLine="2601"/>
        <w:spacing w:after="0" w:line="277" w:lineRule="auto"/>
        <w:tabs>
          <w:tab w:leader="none" w:pos="3249"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there is a material failure of Employer (or successor employer) to pay Executive’s salary or additional compensation or benefits hereunder in accordance with this Employment Agreement;</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Executive’s annual Base Salary is materially decreased without his prior written consent;</w:t>
      </w:r>
    </w:p>
    <w:p>
      <w:pPr>
        <w:spacing w:after="0" w:line="225" w:lineRule="exact"/>
        <w:rPr>
          <w:rFonts w:ascii="Arial" w:cs="Arial" w:eastAsia="Arial" w:hAnsi="Arial"/>
          <w:sz w:val="18"/>
          <w:szCs w:val="18"/>
          <w:b w:val="1"/>
          <w:bCs w:val="1"/>
          <w:color w:val="auto"/>
        </w:rPr>
      </w:pPr>
    </w:p>
    <w:p>
      <w:pPr>
        <w:ind w:right="800" w:firstLine="2601"/>
        <w:spacing w:after="0" w:line="277" w:lineRule="auto"/>
        <w:tabs>
          <w:tab w:leader="none" w:pos="3241"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Executive is assigned duties substantially inconsistent with his title and the responsibilities set forth in Executive’s job description, without Executive’s prior written consent;</w:t>
      </w:r>
    </w:p>
    <w:p>
      <w:pPr>
        <w:spacing w:after="0" w:line="170" w:lineRule="exact"/>
        <w:rPr>
          <w:rFonts w:ascii="Arial" w:cs="Arial" w:eastAsia="Arial" w:hAnsi="Arial"/>
          <w:sz w:val="18"/>
          <w:szCs w:val="18"/>
          <w:b w:val="1"/>
          <w:bCs w:val="1"/>
          <w:color w:val="auto"/>
        </w:rPr>
      </w:pPr>
    </w:p>
    <w:p>
      <w:pPr>
        <w:ind w:left="3260" w:hanging="659"/>
        <w:spacing w:after="0"/>
        <w:tabs>
          <w:tab w:leader="none" w:pos="326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Executive’s place of employment is changed to a location that is greater than fifty (50) miles from Executive’s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current place of employment which is contemplated to be 101 Lindenwood Drive, Suite 400, Malvern, Pennsylvania 19355; or</w:t>
      </w:r>
    </w:p>
    <w:p>
      <w:pPr>
        <w:spacing w:after="0" w:line="210" w:lineRule="exact"/>
        <w:rPr>
          <w:rFonts w:ascii="Arial" w:cs="Arial" w:eastAsia="Arial" w:hAnsi="Arial"/>
          <w:sz w:val="16"/>
          <w:szCs w:val="16"/>
          <w:b w:val="1"/>
          <w:bCs w:val="1"/>
          <w:color w:val="auto"/>
        </w:rPr>
      </w:pPr>
    </w:p>
    <w:p>
      <w:pPr>
        <w:ind w:left="3260" w:hanging="659"/>
        <w:spacing w:after="0"/>
        <w:tabs>
          <w:tab w:leader="none" w:pos="32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any other material violation or breach by Employer of this Employment Agreement.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none of the events described in clauses (i) through (v) above shall constitute Good Reason unless Executive shall have notified Employer in writing describing the event which constitute Good Reason within thirty (30) days after Executive first becomes aware of such event and then only if Employer and/or its subsidiaries shall have failed to reasonably cure such events, if curable, within thirty (30) days after Employer’s receipt of such written notice and Executive elects to terminate his employment as a result within thirty (30) days following the end of such thirty (30) day period (assuming, for the avoidance of doubt, that Employer does not elect to cure).</w:t>
      </w:r>
    </w:p>
    <w:p>
      <w:pPr>
        <w:spacing w:after="0" w:line="18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3.2 Certain Obligations of Employer Following Termination of Executive’s Employment</w:t>
      </w:r>
      <w:r>
        <w:rPr>
          <w:rFonts w:ascii="Arial" w:cs="Arial" w:eastAsia="Arial" w:hAnsi="Arial"/>
          <w:sz w:val="18"/>
          <w:szCs w:val="18"/>
          <w:color w:val="auto"/>
        </w:rPr>
        <w:t>. Following the termination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under the circumstances described below, Employer will pay to Executive, subject to standard federal and state payroll withholding requirements and in accordance with its regular payroll practices, the following compensation and provide the following benefits (provided that the continuing payments of Executive’s then-current salary, as described below, shall occur no less frequently than monthly):</w:t>
      </w:r>
    </w:p>
    <w:p>
      <w:pPr>
        <w:spacing w:after="0" w:line="180"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3.2.1 Death; Disability; Termination by Employer Without Cause or by Executive for Good Reason</w:t>
      </w:r>
      <w:r>
        <w:rPr>
          <w:rFonts w:ascii="Arial" w:cs="Arial" w:eastAsia="Arial" w:hAnsi="Arial"/>
          <w:sz w:val="18"/>
          <w:szCs w:val="18"/>
          <w:color w:val="auto"/>
        </w:rPr>
        <w:t>. In the event that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is terminated by Employer pursuant to Section 3.1.1 (“Death”), Section 3.1.2 (“Disability”), Section 3.1.4 (“Without Cause by Employer”) or by Executive pursuant to Section 3.1.7 (“Termination 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Executive for Good Reason”) hereof, and Executive, or his estate, as the case may be, executes and does not revoke a separation agreement containing a release upon such termination, in a form provided by the Employer, of any and all claims against Employer and all related parties with respect to all matters arising out of Executive’s employment by Employer, or the termination thereof (the “Release”) in accordance with Section 3.7, Executive, or his estate, as the case may be, shall be entitled to the following payments and benefits, which payments and benefits shall be paid in accordance with this Section 3.2.1 and Section 3.7:</w:t>
      </w:r>
    </w:p>
    <w:p>
      <w:pPr>
        <w:spacing w:after="0" w:line="188" w:lineRule="exact"/>
        <w:rPr>
          <w:sz w:val="20"/>
          <w:szCs w:val="20"/>
          <w:color w:val="auto"/>
        </w:rPr>
      </w:pPr>
    </w:p>
    <w:p>
      <w:pPr>
        <w:ind w:right="40" w:firstLine="2601"/>
        <w:spacing w:after="0" w:line="264" w:lineRule="auto"/>
        <w:tabs>
          <w:tab w:leader="none" w:pos="322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the Severance Period, as defined in Section 3.5 herein, payable subject to standard federal and state payroll withholding requirements in accordance with Employer’s regular payroll practices on Employer’s normal payroll schedule over the Severance Period, subject to Section 3.7;</w:t>
      </w:r>
    </w:p>
    <w:p>
      <w:pPr>
        <w:spacing w:after="0" w:line="181" w:lineRule="exact"/>
        <w:rPr>
          <w:rFonts w:ascii="Arial" w:cs="Arial" w:eastAsia="Arial" w:hAnsi="Arial"/>
          <w:sz w:val="18"/>
          <w:szCs w:val="18"/>
          <w:b w:val="1"/>
          <w:bCs w:val="1"/>
          <w:color w:val="auto"/>
        </w:rPr>
      </w:pPr>
    </w:p>
    <w:p>
      <w:pPr>
        <w:ind w:right="160" w:firstLine="2601"/>
        <w:spacing w:after="0" w:line="255" w:lineRule="auto"/>
        <w:tabs>
          <w:tab w:leader="none" w:pos="323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Employer shall pay to Executive a lump sum payment equal to the gross sum of any bonuses or portion thereof for any preceding year or for the year of termination which have been approved by Employer, but has not been received by Executive prior to the effective date of termination, less applicable deductions and withholdings paid in accordance with Section 2.2 but in no event later than two and one-half (2 1/2) months following the end of the fiscal year to which it relates. For the avoidance of doubt, (x) Executive does not have to be employed by Employer on the date such bonuses are approved by Employer to receive such bonuses; and (y) this provision shall not be construed as guaranteeing the payment of a bonus for such year(s);</w:t>
      </w:r>
    </w:p>
    <w:p>
      <w:pPr>
        <w:spacing w:after="0" w:line="193" w:lineRule="exact"/>
        <w:rPr>
          <w:rFonts w:ascii="Arial" w:cs="Arial" w:eastAsia="Arial" w:hAnsi="Arial"/>
          <w:sz w:val="18"/>
          <w:szCs w:val="18"/>
          <w:b w:val="1"/>
          <w:bCs w:val="1"/>
          <w:color w:val="auto"/>
        </w:rPr>
      </w:pPr>
    </w:p>
    <w:p>
      <w:pPr>
        <w:ind w:right="60" w:firstLine="2601"/>
        <w:spacing w:after="0" w:line="287" w:lineRule="auto"/>
        <w:tabs>
          <w:tab w:leader="none" w:pos="3207"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So long as Executive is eligible, and so long as Executive remains eligible, for and upon his timely election of coverage under the Consolidated Omnibus Budget Reconciliation Act of 1985, or, if applicable, state or local insurance laws (“COBRA”), Employer will continue to pay, directly to the healthcare provider when due, 100% of the medical, vision and dental coverage premiums (including employee contributions, if any) until the earlier of (i) the end of the Severance Period; or (ii) the date when Executive becomes eligible for substantially equivalent health insurance coverage in connection with new employment (the “COBRA Payment Period”); provided that Executive must immediately notify Employer in the event Executive becomes eligible for coverage under another employer’s group health plan during the COBRA Payment Period; and provided further that, if at any time Employer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for the remainder of the COBRA Payment Period, Employer will instead pay Executive on the first day of each month of the remainder of the COBRA Payment Period, a fully taxable cash payment equal to the COBRA premiums for that month, subject to applicable tax withholdings, for the remainder of the COBRA Payment Period; and</w:t>
      </w:r>
    </w:p>
    <w:p>
      <w:pPr>
        <w:sectPr>
          <w:pgSz w:w="11900" w:h="16838" w:orient="portrait"/>
          <w:cols w:equalWidth="0" w:num="1">
            <w:col w:w="11400"/>
          </w:cols>
          <w:pgMar w:left="240" w:top="125" w:right="259" w:bottom="0" w:gutter="0" w:footer="0" w:header="0"/>
        </w:sectPr>
      </w:pPr>
    </w:p>
    <w:bookmarkStart w:id="62" w:name="page63"/>
    <w:bookmarkEnd w:id="62"/>
    <w:p>
      <w:pPr>
        <w:spacing w:after="0" w:line="24" w:lineRule="exact"/>
        <w:rPr>
          <w:sz w:val="20"/>
          <w:szCs w:val="20"/>
          <w:color w:val="auto"/>
        </w:rPr>
      </w:pPr>
    </w:p>
    <w:p>
      <w:pPr>
        <w:jc w:val="both"/>
        <w:ind w:right="80" w:firstLine="2601"/>
        <w:spacing w:after="0" w:line="342" w:lineRule="auto"/>
        <w:tabs>
          <w:tab w:leader="none" w:pos="3235"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In the event such termination of employment occurs on or within three (3) months prior to or within twelve (12) months following the effective date of a Change of Control (as defined herein), Executive shall be entitled to the additional following payments and benefits: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9"/>
        <w:spacing w:after="0" w:line="312" w:lineRule="auto"/>
        <w:tabs>
          <w:tab w:leader="none" w:pos="3872"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Continuing payments of Executive’s then-current salary for an additional six (6) months following the end of the Severance Period, payable subject to standard federal and state payroll withholding requirements in accordance with Employer’s regular payroll practices on Employer’s normal payroll schedule over the six (6) month period immediately following the end of the Severance Period, subject to Section 3.7;</w:t>
      </w:r>
    </w:p>
    <w:p>
      <w:pPr>
        <w:spacing w:after="0" w:line="146" w:lineRule="exact"/>
        <w:rPr>
          <w:rFonts w:ascii="Arial" w:cs="Arial" w:eastAsia="Arial" w:hAnsi="Arial"/>
          <w:sz w:val="16"/>
          <w:szCs w:val="16"/>
          <w:b w:val="1"/>
          <w:bCs w:val="1"/>
          <w:color w:val="auto"/>
        </w:rPr>
      </w:pPr>
    </w:p>
    <w:p>
      <w:pPr>
        <w:ind w:right="120" w:firstLine="3249"/>
        <w:spacing w:after="0" w:line="312" w:lineRule="auto"/>
        <w:tabs>
          <w:tab w:leader="none" w:pos="3872"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Continued payment of Executive’s COBRA premiums directly to the healthcare provider for an additional six (6) months following the end of the Severance Period, or if earlier, until the date when Executive becomes eligible for substantially equivalent health insurance coverage in connection with new employment, subject to the terms, conditions and payment provisions set forth in Section 3.2.1(iii); and</w:t>
      </w:r>
    </w:p>
    <w:p>
      <w:pPr>
        <w:spacing w:after="0" w:line="146" w:lineRule="exact"/>
        <w:rPr>
          <w:rFonts w:ascii="Arial" w:cs="Arial" w:eastAsia="Arial" w:hAnsi="Arial"/>
          <w:sz w:val="16"/>
          <w:szCs w:val="16"/>
          <w:b w:val="1"/>
          <w:bCs w:val="1"/>
          <w:color w:val="auto"/>
        </w:rPr>
      </w:pPr>
    </w:p>
    <w:p>
      <w:pPr>
        <w:ind w:left="3880" w:hanging="631"/>
        <w:spacing w:after="0"/>
        <w:tabs>
          <w:tab w:leader="none" w:pos="388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employment occurs (A) on or within three (3) months prior to the</w:t>
      </w:r>
    </w:p>
    <w:p>
      <w:pPr>
        <w:spacing w:after="0" w:line="34" w:lineRule="exact"/>
        <w:rPr>
          <w:rFonts w:ascii="Arial" w:cs="Arial" w:eastAsia="Arial" w:hAnsi="Arial"/>
          <w:sz w:val="17"/>
          <w:szCs w:val="17"/>
          <w:b w:val="1"/>
          <w:bCs w:val="1"/>
          <w:color w:val="auto"/>
        </w:rPr>
      </w:pPr>
    </w:p>
    <w:p>
      <w:pPr>
        <w:ind w:right="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effective date of a Change of Control (as defined herein), all unvested stock options and other equity awards held by Executive and outstanding on the effective date of termination shall become fully vested on the effective date of the Change of Control, or (B) within twelve (12) months following the effective date of a Change of Control, provided that any surviving corporation or acquiring corporation assumes Executive’s stock options and/or other equity awards, as applicable, or substitutes similar stock options or equity awards for Executive’s stock options and/or equity awards, as applicable, in accordance with the terms of Employer’s applicable equity incentive plans, all such unvested stock options and other equity awards held by Executive and outstanding on the effective date of termination shall become fully vested on the date of such termination.</w:t>
      </w:r>
    </w:p>
    <w:p>
      <w:pPr>
        <w:spacing w:after="0" w:line="179" w:lineRule="exact"/>
        <w:rPr>
          <w:sz w:val="20"/>
          <w:szCs w:val="20"/>
          <w:color w:val="auto"/>
        </w:rPr>
      </w:pPr>
    </w:p>
    <w:p>
      <w:pPr>
        <w:ind w:firstLine="2593"/>
        <w:spacing w:after="0" w:line="268" w:lineRule="auto"/>
        <w:rPr>
          <w:sz w:val="20"/>
          <w:szCs w:val="20"/>
          <w:color w:val="auto"/>
        </w:rPr>
      </w:pPr>
      <w:r>
        <w:rPr>
          <w:rFonts w:ascii="Arial" w:cs="Arial" w:eastAsia="Arial" w:hAnsi="Arial"/>
          <w:sz w:val="17"/>
          <w:szCs w:val="17"/>
          <w:color w:val="auto"/>
        </w:rPr>
        <w:t>For purposes of this Agreement, “Change of Control” means, in each case as approved by the Board and the requisite stockholders of Employer, (i) any consolidation or merger of Employer with or into any other corporation or other entity or person, or any other corporate reorganization, in which the stockholders of Employer immediately prior to such consolidation, merger or reorganization, own, in the aggregate, less than 50% of the surviving entity’s voting power and/or outstanding capital stock immediately after such consolidation, merger or reorganization, or any transaction or series of related transactions (including any transaction which results from an option agreement or binding letter of intent with a third party) to which Employer or any of its stockholders is a party in which in excess of 50% of Employer’s voting power and/or outstanding capital stock is transferred, or pursuant to which any person or group of affiliated persons obtains in excess of 50% of Employer’s voting power and/or outstanding capital stock, excluding any consolidation or merger effected exclusively to change the domicile of Employer; or (ii) any sale, lease or other disposition (including through a Board and stockholder approved division or spin-off transaction) of all or substantially all of the assets of Employer and/or any of its subsidiaries or any sale, lease, exclusive license (or substantially exclusive license or agreement) or other disposition of all or substantially all of Employer’s intellectual property, as reasonably determined based upon the potential earning power of the assets or intellectual property; provided, however that none of the following shall constitute a Change of Control: (A) transfers of capital stock by an existing stockholder as a result of death or otherwise for estate planning purposes or to such stockholder’s affiliates or to any of Employer’s other existing stockholders, and (B) issuances of equity securities of Employer in connection with financings for working capital and other general corporate purposes.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1297"/>
        <w:spacing w:after="0" w:line="274" w:lineRule="auto"/>
        <w:rPr>
          <w:sz w:val="20"/>
          <w:szCs w:val="20"/>
          <w:color w:val="auto"/>
        </w:rPr>
      </w:pPr>
      <w:r>
        <w:rPr>
          <w:rFonts w:ascii="Arial" w:cs="Arial" w:eastAsia="Arial" w:hAnsi="Arial"/>
          <w:sz w:val="17"/>
          <w:szCs w:val="17"/>
          <w:b w:val="1"/>
          <w:bCs w:val="1"/>
          <w:color w:val="auto"/>
        </w:rPr>
        <w:t>3.2.2 Termination by Executive Other than For Good Reason: Termination Upon Non-Renewal by Executive; Termination by Employer for Cause</w:t>
      </w:r>
      <w:r>
        <w:rPr>
          <w:rFonts w:ascii="Arial" w:cs="Arial" w:eastAsia="Arial" w:hAnsi="Arial"/>
          <w:sz w:val="17"/>
          <w:szCs w:val="17"/>
          <w:color w:val="auto"/>
        </w:rPr>
        <w:t>. In the event Executive’s employment is terminated by Executive other than for Good Reason pursuant to Section 3.1.5 hereof (“By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or by Executive pursuant to Section 3.1.6 hereof (“Termination Upon Non-Renewal”) or by Employer pursuant to Section 3.1.3 hereof (“Termination by Employer for Cause”), Executive shall be entitled to no further compensation or other benefits under this Employment Agreement except as to that portion of any unpaid salary and other benefits accrued and earned by him hereunder up to and including the effective date of such termination and to offer COBRA coverage at Executive’s cost pursuant to applicable law.</w:t>
      </w:r>
    </w:p>
    <w:p>
      <w:pPr>
        <w:spacing w:after="0" w:line="174"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b w:val="1"/>
          <w:bCs w:val="1"/>
          <w:color w:val="auto"/>
        </w:rPr>
        <w:t>3.2.3 Termination Upon Non Renewal by Employer</w:t>
      </w:r>
      <w:r>
        <w:rPr>
          <w:rFonts w:ascii="Arial" w:cs="Arial" w:eastAsia="Arial" w:hAnsi="Arial"/>
          <w:sz w:val="17"/>
          <w:szCs w:val="17"/>
          <w:color w:val="auto"/>
        </w:rPr>
        <w:t>. In the event Executive’s employment is terminated by Employer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3.1.6 hereof, then during the ninety (90)-day notice period of Section 2.4, Employer shall continue to pay to Executive his then-current annual Base Salary and benefits subject to standard federal and state payroll withholding requirements and in accordance with Employer’s regular payroll practices and no later than the effective date of termination of employment, Employer shall pay to Executive any unpaid salary accrued and earned by him up to and including the effective date of termination. In addition, in the event Executive’s employment is terminated by Employer pursuant to Section 3.1.6 hereof, then provided Executive executes and does not revoke a Release in accordance with Section 3.7, Executive shall be entitled to the following, which payments and benefits shall be paid in accordance with this Section 3.2.3 and Section 3.7:</w:t>
      </w:r>
    </w:p>
    <w:p>
      <w:pPr>
        <w:spacing w:after="0" w:line="176" w:lineRule="exact"/>
        <w:rPr>
          <w:sz w:val="20"/>
          <w:szCs w:val="20"/>
          <w:color w:val="auto"/>
        </w:rPr>
      </w:pPr>
    </w:p>
    <w:p>
      <w:pPr>
        <w:ind w:right="160" w:firstLine="2601"/>
        <w:spacing w:after="0" w:line="264" w:lineRule="auto"/>
        <w:tabs>
          <w:tab w:leader="none" w:pos="3222"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continuing payments of Executive’s then-current salary for the Severance Period payable subject to standard federal and state payroll withholding requirements in accordance with Employer’s regular payroll practices on Employer’s normal payroll schedule over the Severance Period, subject to Section 3.7;</w:t>
      </w:r>
    </w:p>
    <w:p>
      <w:pPr>
        <w:spacing w:after="0" w:line="181" w:lineRule="exact"/>
        <w:rPr>
          <w:rFonts w:ascii="Arial" w:cs="Arial" w:eastAsia="Arial" w:hAnsi="Arial"/>
          <w:sz w:val="18"/>
          <w:szCs w:val="18"/>
          <w:b w:val="1"/>
          <w:bCs w:val="1"/>
          <w:color w:val="auto"/>
        </w:rPr>
      </w:pPr>
    </w:p>
    <w:p>
      <w:pPr>
        <w:ind w:right="140" w:firstLine="2601"/>
        <w:spacing w:after="0" w:line="255" w:lineRule="auto"/>
        <w:tabs>
          <w:tab w:leader="none" w:pos="3233"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Employer shall pay to Executive a lump sum payment equal to the gross sum of any bonuses or portion thereof for any preceding year or for the year of termination which bonus has been approved by Employer, but has not been received by Executive prior to the effective date of termination, less applicable deductions and withholdings paid in accordance with Section 2.2 but in no event later than two and one-half (2 1/2) months following the end of the fiscal year to which it relates. For the avoidance of doubt, (x) Executive does not have to be employed by Employer on the date such bonuses are approved by the Employer to receive such bonuses; and (y) this provision shall not be construed as guaranteeing the payment of a bonus for such year(s); and</w:t>
      </w:r>
    </w:p>
    <w:p>
      <w:pPr>
        <w:spacing w:after="0" w:line="193" w:lineRule="exact"/>
        <w:rPr>
          <w:rFonts w:ascii="Arial" w:cs="Arial" w:eastAsia="Arial" w:hAnsi="Arial"/>
          <w:sz w:val="18"/>
          <w:szCs w:val="18"/>
          <w:b w:val="1"/>
          <w:bCs w:val="1"/>
          <w:color w:val="auto"/>
        </w:rPr>
      </w:pPr>
    </w:p>
    <w:p>
      <w:pPr>
        <w:ind w:right="40" w:firstLine="2601"/>
        <w:spacing w:after="0" w:line="273" w:lineRule="auto"/>
        <w:tabs>
          <w:tab w:leader="none" w:pos="3207"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So long as Executive is eligible, and so long as Executive remains eligible, for and upon his timely election of COBRA coverage, Employer will continue to pay, directly to the healthcare provider when due, 100% of the medical, vision and dental coverage premiums (including employee contributions, if any) until the earlier of (i) the end of the five (5) month period following the effective date of termination; or (ii) the date when Executive becomes eligible for substantially equivalent health insurance coverage in connection with new employment (the “Nonrenewal COBRA Payment Period”); provided that Executive must immediately notify Employer in the event Executive becomes eligible for coverage under another employer’s group health plan during the Nonrenewal COBRA Payment Period; and</w:t>
      </w:r>
    </w:p>
    <w:p>
      <w:pPr>
        <w:sectPr>
          <w:pgSz w:w="11900" w:h="16862"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62" w:orient="portrait"/>
          <w:cols w:equalWidth="0" w:num="1">
            <w:col w:w="11400"/>
          </w:cols>
          <w:pgMar w:left="240" w:top="125" w:right="259" w:bottom="0" w:gutter="0" w:footer="0" w:header="0"/>
          <w:type w:val="continuous"/>
        </w:sectPr>
      </w:pPr>
    </w:p>
    <w:bookmarkStart w:id="63" w:name="page64"/>
    <w:bookmarkEnd w:id="6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further that, if at any time Employer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in lieu of providing the COBRA premiums for the remainder of the Nonrenewal COBRA Payment Period, Employer will instead pay Executive on the first day of each month of the remainder of the Nonrenewal COBRA Payment Period, a fully taxable cash payment equal to the COBRA premiums for that month, subject to applicable tax withholdings, for the remainder of the Nonrenewal COBRA Payment Period.</w:t>
      </w:r>
    </w:p>
    <w:p>
      <w:pPr>
        <w:spacing w:after="0" w:line="18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3.3 Nature of Payments</w:t>
      </w:r>
      <w:r>
        <w:rPr>
          <w:rFonts w:ascii="Arial" w:cs="Arial" w:eastAsia="Arial" w:hAnsi="Arial"/>
          <w:sz w:val="18"/>
          <w:szCs w:val="18"/>
          <w:color w:val="auto"/>
        </w:rPr>
        <w:t>. All amounts to be paid by Employer to Executive pursuant to Sections 3.2.1(i) — (iv) and 3.2.3(i) — (iii)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by the parties to be severance payments and are in lieu of, and not in addition to, any benefits to which Executive may otherwise be entitled under any Employer severance plan, policy or program.</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3.4 Duties Upon Termination</w:t>
      </w:r>
      <w:r>
        <w:rPr>
          <w:rFonts w:ascii="Arial" w:cs="Arial" w:eastAsia="Arial" w:hAnsi="Arial"/>
          <w:sz w:val="18"/>
          <w:szCs w:val="18"/>
          <w:color w:val="auto"/>
        </w:rPr>
        <w:t>. During the Severance Period, if there is a Severance Period applicable to Executive’s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from Employer, Executive shall fully cooperate with Employer in all matters relating to the winding up of Executive’s pending work including, but not limited to, any litigation in which Employer is involved, and the orderly transfer of any such pending work to such other employees as may be designated by Employer. Notwithstanding the foregoing, such cooperation requirement shall not unreasonably interfere with his then current employment or business activities. With Employer’s prior approval, Executive shall be reimbursed for all expenses reasonably incurred in connection with such cooperation. Following the end of the Severance Period, Executive will be released from any duties and obligations hereunder (except those duties and obligations set forth in Article 4 hereof). In the event of termination of Executive’s employment pursuant to Sections 3.1.1 through 3.1.7 hereof, the obligations of Employer to Executive will be as set forth in Section 3.2 hereof.</w:t>
      </w:r>
    </w:p>
    <w:p>
      <w:pPr>
        <w:spacing w:after="0" w:line="18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3.5 Severance Period</w:t>
      </w:r>
      <w:r>
        <w:rPr>
          <w:rFonts w:ascii="Arial" w:cs="Arial" w:eastAsia="Arial" w:hAnsi="Arial"/>
          <w:sz w:val="18"/>
          <w:szCs w:val="18"/>
          <w:color w:val="auto"/>
        </w:rPr>
        <w:t>. “Severance Period” shall mean a period of nine (9) months beginning on and immediately following the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termination of employment with Employer.</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3.6 Release</w:t>
      </w:r>
      <w:r>
        <w:rPr>
          <w:rFonts w:ascii="Arial" w:cs="Arial" w:eastAsia="Arial" w:hAnsi="Arial"/>
          <w:sz w:val="18"/>
          <w:szCs w:val="18"/>
          <w:color w:val="auto"/>
        </w:rPr>
        <w:t>. Notwithstanding any provision of this Employment Agreement to the contrary, in no event shall the timing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Release, directly or indirectly, result in Executive designating the calendar year of payment, and if a payment that is subject to the requirements of Section 409A of the Code and is subject to execution of the Release could be made in more than one taxable year based on when the Release is executed or becomes effective, payment shall be made in the later year.</w:t>
      </w:r>
    </w:p>
    <w:p>
      <w:pPr>
        <w:spacing w:after="0" w:line="180" w:lineRule="exact"/>
        <w:rPr>
          <w:sz w:val="20"/>
          <w:szCs w:val="20"/>
          <w:color w:val="auto"/>
        </w:rPr>
      </w:pPr>
    </w:p>
    <w:p>
      <w:pPr>
        <w:ind w:right="80" w:firstLine="648"/>
        <w:spacing w:after="0" w:line="229" w:lineRule="auto"/>
        <w:rPr>
          <w:sz w:val="20"/>
          <w:szCs w:val="20"/>
          <w:color w:val="auto"/>
        </w:rPr>
      </w:pPr>
      <w:r>
        <w:rPr>
          <w:rFonts w:ascii="Arial" w:cs="Arial" w:eastAsia="Arial" w:hAnsi="Arial"/>
          <w:sz w:val="18"/>
          <w:szCs w:val="18"/>
          <w:b w:val="1"/>
          <w:bCs w:val="1"/>
          <w:color w:val="auto"/>
        </w:rPr>
        <w:t>3.7 Commencement of Severance Payments</w:t>
      </w:r>
      <w:r>
        <w:rPr>
          <w:rFonts w:ascii="Arial" w:cs="Arial" w:eastAsia="Arial" w:hAnsi="Arial"/>
          <w:sz w:val="18"/>
          <w:szCs w:val="18"/>
          <w:color w:val="auto"/>
        </w:rPr>
        <w:t>. The severance payments and benefits set forth in Sections 3.2.1(i) — (iv) (Termination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for Death, Disability, Without Cause, by Executive for Good Reason) and Sections 3.2.3(i) — (iii) (Termination Upon Non-Renewal by Employer) above will not be paid or provided unless Executive executes and does not revoke the Release and the Release is enforceable and effective as provided in the Release on or before the date that is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effective date of termination (such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the “Severance Pay Commencement Date”). No cash severance payments will be paid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Sections 3.2.1 or 3.2.3 prior to the Severance Pay Commencement Date. On the Severance Pay Commencement Date Employer will pay in a lump sum the aggregate amount of the cash severance payments that Employer would have paid Executive through such date had the payments commenced on the effective date of termination through the Severance Pay Commencement Date, with the balance paid thereafter on the applicable schedules described above. Notwithstanding any other provision of this Agreement to the contrary, it is intended that the payment of severance upon termination for Good Reason by Executive in accordance with Section 3.1.7 satisfy the safe harbor set forth in Treasury Regulation Section 1.409A-1(n)(2)(ii)), and any severance payment made pursuant to this Agreement shall satisfy the exemptions from the application of Section 409A of the Code provided under Treasury Regulation Sections 1.409A-1(b)(4), and 1.409A-1(b)(9).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NON-COMPETITION AND NON-SOLICITATION;</w:t>
      </w:r>
    </w:p>
    <w:p>
      <w:pPr>
        <w:spacing w:after="0" w:line="207" w:lineRule="exact"/>
        <w:rPr>
          <w:sz w:val="20"/>
          <w:szCs w:val="20"/>
          <w:color w:val="auto"/>
        </w:rPr>
      </w:pPr>
    </w:p>
    <w:p>
      <w:pPr>
        <w:jc w:val="both"/>
        <w:ind w:right="180" w:firstLine="648"/>
        <w:spacing w:after="0" w:line="261" w:lineRule="auto"/>
        <w:rPr>
          <w:sz w:val="20"/>
          <w:szCs w:val="20"/>
          <w:color w:val="auto"/>
        </w:rPr>
      </w:pPr>
      <w:r>
        <w:rPr>
          <w:rFonts w:ascii="Arial" w:cs="Arial" w:eastAsia="Arial" w:hAnsi="Arial"/>
          <w:sz w:val="18"/>
          <w:szCs w:val="18"/>
          <w:b w:val="1"/>
          <w:bCs w:val="1"/>
          <w:color w:val="auto"/>
        </w:rPr>
        <w:t xml:space="preserve">4.1 Confidentiality and Invention Rights. </w:t>
      </w:r>
      <w:r>
        <w:rPr>
          <w:rFonts w:ascii="Arial" w:cs="Arial" w:eastAsia="Arial" w:hAnsi="Arial"/>
          <w:sz w:val="18"/>
          <w:szCs w:val="18"/>
          <w:color w:val="auto"/>
        </w:rPr>
        <w:t>The parties hereto have entered into a Confidentiality and Invention Rights, Non-Competition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Non-Solicitation Agreement, which may be amended by the parties from time to time without regard to this Agreement. The Confidentiality and Invention Rights, Non-Competition and Non-Solicitation Agreement contains provisions that are intended by the parties to survive and do survive termination of this Agreement.</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4.2 Remedies</w:t>
      </w:r>
      <w:r>
        <w:rPr>
          <w:rFonts w:ascii="Arial" w:cs="Arial" w:eastAsia="Arial" w:hAnsi="Arial"/>
          <w:sz w:val="18"/>
          <w:szCs w:val="18"/>
          <w:color w:val="auto"/>
        </w:rPr>
        <w:t>. Executive acknowledges and agrees that (a) Employer will be irreparably injured in the event of a breach by Executive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his obligations under this Article 4; (b) monetary damages will not be an adequate remedy for any such breach; and (c) in the event of any such breach, the Employer will be entitled to injunctive relief, in addition to any other remedy which it may have, and Executive shall not oppose such injunctive relief based upon the extent of the harm or the adequacy of monetary damages.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ind w:right="260" w:firstLine="648"/>
        <w:spacing w:after="0" w:line="303" w:lineRule="auto"/>
        <w:rPr>
          <w:sz w:val="20"/>
          <w:szCs w:val="20"/>
          <w:color w:val="auto"/>
        </w:rPr>
      </w:pPr>
      <w:r>
        <w:rPr>
          <w:rFonts w:ascii="Arial" w:cs="Arial" w:eastAsia="Arial" w:hAnsi="Arial"/>
          <w:sz w:val="16"/>
          <w:szCs w:val="16"/>
          <w:b w:val="1"/>
          <w:bCs w:val="1"/>
          <w:color w:val="auto"/>
        </w:rPr>
        <w:t>5.1 Severability</w:t>
      </w:r>
      <w:r>
        <w:rPr>
          <w:rFonts w:ascii="Arial" w:cs="Arial" w:eastAsia="Arial" w:hAnsi="Arial"/>
          <w:sz w:val="16"/>
          <w:szCs w:val="16"/>
          <w:color w:val="auto"/>
        </w:rPr>
        <w:t>. If in any jurisdiction any term or provision hereof is determined to be invalid or unenforceable, (a) the remaining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hereof shall be unimpaired, (b) any such invalidity or unenforceability in any jurisdiction shall not invalidate or render unenforceable such provision in any other jurisdiction, and (c) the invalid or unenforceable term or provision shall, for purposes of such jurisdiction, be deemed replaced by a term or provision that is valid and enforceable and that comes closest to expressing the intention of the invalid or unenforceable term or provision.</w:t>
      </w:r>
    </w:p>
    <w:p>
      <w:pPr>
        <w:spacing w:after="0" w:line="151" w:lineRule="exact"/>
        <w:rPr>
          <w:sz w:val="20"/>
          <w:szCs w:val="20"/>
          <w:color w:val="auto"/>
        </w:rPr>
      </w:pPr>
    </w:p>
    <w:p>
      <w:pPr>
        <w:jc w:val="both"/>
        <w:ind w:right="60" w:firstLine="648"/>
        <w:spacing w:after="0" w:line="261" w:lineRule="auto"/>
        <w:rPr>
          <w:sz w:val="20"/>
          <w:szCs w:val="20"/>
          <w:color w:val="auto"/>
        </w:rPr>
      </w:pPr>
      <w:r>
        <w:rPr>
          <w:rFonts w:ascii="Arial" w:cs="Arial" w:eastAsia="Arial" w:hAnsi="Arial"/>
          <w:sz w:val="18"/>
          <w:szCs w:val="18"/>
          <w:b w:val="1"/>
          <w:bCs w:val="1"/>
          <w:color w:val="auto"/>
        </w:rPr>
        <w:t>5.2 Execution in Counterparts</w:t>
      </w:r>
      <w:r>
        <w:rPr>
          <w:rFonts w:ascii="Arial" w:cs="Arial" w:eastAsia="Arial" w:hAnsi="Arial"/>
          <w:sz w:val="18"/>
          <w:szCs w:val="18"/>
          <w:color w:val="auto"/>
        </w:rPr>
        <w:t>. This Employment Agreement may be executed in one or more counterparts, and by the different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 separate counterparts, each of which shall be deemed to be an original but all of which taken together shall constitute one and the same agreement (and all signatures need not appear on any one counterpart), and this Employment Agreement shall become effective when one or more counterparts has been signed by each of the parties hereto and delivered to each of the other parties 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64" w:name="page65"/>
    <w:bookmarkEnd w:id="64"/>
    <w:p>
      <w:pPr>
        <w:jc w:val="both"/>
        <w:ind w:right="460" w:firstLine="648"/>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5.3 Notices</w:t>
      </w:r>
      <w:r>
        <w:rPr>
          <w:rFonts w:ascii="Arial" w:cs="Arial" w:eastAsia="Arial" w:hAnsi="Arial"/>
          <w:sz w:val="18"/>
          <w:szCs w:val="18"/>
          <w:color w:val="auto"/>
        </w:rPr>
        <w:t>. All notices, requests, demands and other communications hereunder shall be in writing and shall be deemed duly given when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hand, or when delivered if mailed by registered or certified mail, postage prepaid, return receipt requested, or private courier service or via facsimile (with written confirmation of receipt) or email (with written confirmation of receipt)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Employer,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Aclaris Therapeutics,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Lindenwood Drive, Suite 400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Malvern, Pennsylvania 19355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Kamil Ali-Jackson,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kalijackson@aclaristx.com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484-324-7933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Powala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714 Woodcrest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Radnor, Pennsylvania 19087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cpowala@aclaristx.com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address(es) as a party hereto shall have designated by like notice to the other parties hereto.</w:t>
      </w:r>
    </w:p>
    <w:p>
      <w:pPr>
        <w:spacing w:after="0" w:line="221"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5.4 Amendment</w:t>
      </w:r>
      <w:r>
        <w:rPr>
          <w:rFonts w:ascii="Arial" w:cs="Arial" w:eastAsia="Arial" w:hAnsi="Arial"/>
          <w:sz w:val="18"/>
          <w:szCs w:val="18"/>
          <w:color w:val="auto"/>
        </w:rPr>
        <w:t>. No provision of this Employment Agreement may be modified, amended, waived or discharged in any manner except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instrument executed by Employer and Executive.</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5.5 Entire Agreement</w:t>
      </w:r>
      <w:r>
        <w:rPr>
          <w:rFonts w:ascii="Arial" w:cs="Arial" w:eastAsia="Arial" w:hAnsi="Arial"/>
          <w:sz w:val="16"/>
          <w:szCs w:val="16"/>
          <w:color w:val="auto"/>
        </w:rPr>
        <w:t>. This Employment Agreement constitutes the entire agreement of the parties hereto with respect to the subject matter</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supersedes all prior agreements and understandings of the parties hereto, oral or written, with respect to the subject matter hereof, including but not limited any prior offer letter or written embodiment of the employment relationship between Executive and Employer and the letter from Employer to Executive entitled “Change of Control Bonus” dated August 30, 2012. No representation, promise or inducement has been made by either party that is not embodied in this Employment Agreement, and neither party shall be bound by or liable for any alleged representation, promise or inducement not so set forth.</w:t>
      </w:r>
    </w:p>
    <w:p>
      <w:pPr>
        <w:spacing w:after="0" w:line="154"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b w:val="1"/>
          <w:bCs w:val="1"/>
          <w:color w:val="auto"/>
        </w:rPr>
        <w:t>5.6 Applicable Law</w:t>
      </w:r>
      <w:r>
        <w:rPr>
          <w:rFonts w:ascii="Arial" w:cs="Arial" w:eastAsia="Arial" w:hAnsi="Arial"/>
          <w:sz w:val="17"/>
          <w:szCs w:val="17"/>
          <w:color w:val="auto"/>
        </w:rPr>
        <w:t>. This Employment Agreement shall be governed by and construed in accordance with the laws of the Commonwealth of</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applicable to contracts made and to be wholly performed therein without regard to its conflicts or choice of law provisions.</w:t>
      </w:r>
    </w:p>
    <w:p>
      <w:pPr>
        <w:spacing w:after="0" w:line="13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5.7 Headings</w:t>
      </w:r>
      <w:r>
        <w:rPr>
          <w:rFonts w:ascii="Arial" w:cs="Arial" w:eastAsia="Arial" w:hAnsi="Arial"/>
          <w:sz w:val="18"/>
          <w:szCs w:val="18"/>
          <w:color w:val="auto"/>
        </w:rPr>
        <w:t>. The headings contained herein are for the sole purpose of convenience of reference, and shall not in any way limit or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any of the terms or provisions of this Employment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5.8 Binding Effect; Successors and Assigns</w:t>
      </w:r>
      <w:r>
        <w:rPr>
          <w:rFonts w:ascii="Arial" w:cs="Arial" w:eastAsia="Arial" w:hAnsi="Arial"/>
          <w:sz w:val="18"/>
          <w:szCs w:val="18"/>
          <w:color w:val="auto"/>
        </w:rPr>
        <w:t>. Executive may not delegate his duties or assign his rights hereunder. This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inure to the benefit of, and be binding upon, the parties hereto and their respective heirs, legal representatives, and successors. Employer may assign this Employment Agreement to any entity purchasing all or substantially all of the assets of Employer.</w:t>
      </w:r>
    </w:p>
    <w:p>
      <w:pPr>
        <w:spacing w:after="0" w:line="176"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b w:val="1"/>
          <w:bCs w:val="1"/>
          <w:color w:val="auto"/>
        </w:rPr>
        <w:t>5.9 Waiver, etc</w:t>
      </w:r>
      <w:r>
        <w:rPr>
          <w:rFonts w:ascii="Arial" w:cs="Arial" w:eastAsia="Arial" w:hAnsi="Arial"/>
          <w:sz w:val="16"/>
          <w:szCs w:val="16"/>
          <w:color w:val="auto"/>
        </w:rPr>
        <w:t>. The failure of either of the parties hereto to at any time enforce any of the provisions of this Employment Agreement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or construed to be a waiver of any such provision, nor to in any way affect the validity of this Employment Agreement or any provision hereof or the right of either of the parties hereto to thereafter enforce each and every provision of this Employment Agreement. No waiver of any breach of any of the provisions of this Employment Agreement shall be effective unless set forth in a written instrument executed by the party against whom or which enforcement of such waiver is sought, and no waiver of any such breach shall be construed or deemed to be a waiver of any other or subsequent breach.</w:t>
      </w:r>
    </w:p>
    <w:p>
      <w:pPr>
        <w:spacing w:after="0" w:line="15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5.10 Continuing Effect</w:t>
      </w:r>
      <w:r>
        <w:rPr>
          <w:rFonts w:ascii="Arial" w:cs="Arial" w:eastAsia="Arial" w:hAnsi="Arial"/>
          <w:sz w:val="18"/>
          <w:szCs w:val="18"/>
          <w:color w:val="auto"/>
        </w:rPr>
        <w:t>. Provisions of this Agreement which by their terms must survive the termination of this Agreement in order to effectuate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5.11 Representations and Warranties of Executive</w:t>
      </w:r>
      <w:r>
        <w:rPr>
          <w:rFonts w:ascii="Arial" w:cs="Arial" w:eastAsia="Arial" w:hAnsi="Arial"/>
          <w:sz w:val="18"/>
          <w:szCs w:val="18"/>
          <w:color w:val="auto"/>
        </w:rPr>
        <w:t>. Executive hereby represents and warrants to Employer that to the knowledge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not bound by any non-competition or other agreement which would prevent his performance hereunder.</w:t>
      </w:r>
    </w:p>
    <w:p>
      <w:pPr>
        <w:spacing w:after="0" w:line="16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b w:val="1"/>
          <w:bCs w:val="1"/>
          <w:color w:val="auto"/>
        </w:rPr>
        <w:t>5.12 Section 409A of the Code</w:t>
      </w:r>
      <w:r>
        <w:rPr>
          <w:rFonts w:ascii="Arial" w:cs="Arial" w:eastAsia="Arial" w:hAnsi="Arial"/>
          <w:sz w:val="17"/>
          <w:szCs w:val="17"/>
          <w:color w:val="auto"/>
        </w:rPr>
        <w:t>. This Employment Agreement is intended to comply with Section 409A of the Code and its corresponding</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or an exemption, and payments may only be made under this Employment Agreement upon an event and in a manner permitted by Section 409A of the Code, to the extent applicable. Payment under this Employment Agreement is intended to be exempt from Code Section 409A under the “short-teen deferral” exception set forth in Treasury Regulation Section 1.409A-1(b)(4), to the maximum extent applicable, and then under the “separation pay” exception set forth in Treasury Regulation Section 1.409A-1(b)(9), to the maximum extent applicable. All payments to be made upon a termination of employment under this Agreement may only be made upon a “separation from service” within the meaning of Treasury Regulation Section 1.409A-1(h) (or any successor provision) (a “Separation from Service”). For purposes of Code Section 409A, the right to a series of installment payments under this Agreement shall be treated as a right to a series of separate payments. In no event may the Executive, directly or indirectly, designate the calendar year of a payment. If the termination of employment giving rise to the payments described in Section 3.2.1 is not a Separation from Service, then the amounts otherwise payable pursuant to Section 3.2.1 will instead be deferred without interest and paid when Executive experiences a Separation from Service. Notwithstanding anything in this Employment Agreement to the contrary or otherwise, with respect to any expense, reimbursement or in-kind benefit provided pursuant to this Employment Agreement that constitutes a “deferral of compensation” within the meaning of Section 409A of the Code and its implementing regulations and guidance, (a) the expenses eligible for reimbursement or in-kind benefits provided to Executive must be incurred during the Employment Term (or applicable survival period), (b) the amount of expenses eligible</w:t>
      </w:r>
    </w:p>
    <w:p>
      <w:pPr>
        <w:sectPr>
          <w:pgSz w:w="11900" w:h="16838" w:orient="portrait"/>
          <w:cols w:equalWidth="0" w:num="1">
            <w:col w:w="11400"/>
          </w:cols>
          <w:pgMar w:left="240" w:top="715" w:right="259" w:bottom="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 reimbursement or in-kind benefits provided to Executive during any calendar year will not affect the amount of expenses eligible for reimbursement or in-kind benefits provided to Executive in any other calendar year, (c) the reimbursements for expenses for which Executive is entitled to be reimbursed shall be made on or before the last day of the calendar year following the calendar year in which the applicable expense is incurred and (d) the right to payment or reimbursement or in-kind benefits hereunder may not be liquidated or exchanged for any other benefit. Notwithstanding any provision to the contrary in this Agreement, if Executive is deemed by Employer at the time of his Separation from Service to be a “specified employee” for purposes of Section 409A(a)(2) (B)(i) of the Code, and if any of the payments due upon Separation From Service set forth herein and/or under any other agreement with Employer are deemed to be “deferred compensation,” then to the extent delayed commencement of any portion of such payments is required to avoid a prohibited distribution under Section 409A(a)(2)(B)(i) of the Code and the related adverse taxation under Section 409A of the Code, such payments will not be provided to Executive prior to the earliest of (i) the expiration of the six (6)-month period measured from the date of Executive’s Separation From Service with Employer, (ii) the date of Executive’s death or (iii) such earlier date as permitted under Section 409A of the Code without the imposition of adverse taxation. Upon the first business day following the expiration of such applicable Code Section 409A(a)(2)(B)(i) period, all payments deferred pursuant to this paragraph will be paid in a lump sum to Executive, and any remaining payments due will be paid as otherwise provided in this Agreement or in the applicable agreement. No interest will be due on any amounts so deferred.</w:t>
      </w:r>
    </w:p>
    <w:p>
      <w:pPr>
        <w:spacing w:after="0" w:line="18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b w:val="1"/>
          <w:bCs w:val="1"/>
          <w:color w:val="auto"/>
        </w:rPr>
        <w:t>5.13 Dispute Resolution</w:t>
      </w:r>
      <w:r>
        <w:rPr>
          <w:rFonts w:ascii="Arial" w:cs="Arial" w:eastAsia="Arial" w:hAnsi="Arial"/>
          <w:sz w:val="17"/>
          <w:szCs w:val="17"/>
          <w:color w:val="auto"/>
        </w:rPr>
        <w:t>. The parties recognize that litigation in federal or state courts or before federal or state administrative agencies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disputes arising out of the Executive’s employment with the Employer or out of this Agreement, or the Executive’s termination of employment or termination of this Agreement, may not be in the best interests of either the Executive or Employer,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dispute resolution provision shall not apply to any separate agreements between the parties that do not themselves specify arbitration as an exclusive remedy. The location for the arbitration shall be the Philadelphia, Pennsylvania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Employer. The parties acknowledge and agree that their obligations to arbitrate under this Section survive the termination of this Agreement and continue after the termination of the employment relationship between Executive and Employer. The parties each further agree that the arbitration provisions of this Agreement shall provide each</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party with its </w:t>
      </w:r>
      <w:r>
        <w:rPr>
          <w:rFonts w:ascii="Arial" w:cs="Arial" w:eastAsia="Arial" w:hAnsi="Arial"/>
          <w:sz w:val="18"/>
          <w:szCs w:val="18"/>
          <w:b w:val="1"/>
          <w:bCs w:val="1"/>
          <w:color w:val="auto"/>
        </w:rPr>
        <w:t>exclusive remedy</w:t>
      </w:r>
      <w:r>
        <w:rPr>
          <w:rFonts w:ascii="Arial" w:cs="Arial" w:eastAsia="Arial" w:hAnsi="Arial"/>
          <w:sz w:val="18"/>
          <w:szCs w:val="18"/>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8"/>
          <w:szCs w:val="18"/>
          <w:b w:val="1"/>
          <w:bCs w:val="1"/>
          <w:color w:val="auto"/>
        </w:rPr>
        <w:t>the parties hereby waive their respective rights to, and</w:t>
      </w:r>
      <w:r>
        <w:rPr>
          <w:rFonts w:ascii="Arial" w:cs="Arial" w:eastAsia="Arial" w:hAnsi="Arial"/>
          <w:sz w:val="18"/>
          <w:szCs w:val="18"/>
          <w:color w:val="auto"/>
        </w:rPr>
        <w:t xml:space="preserve"> </w:t>
      </w:r>
      <w:r>
        <w:rPr>
          <w:rFonts w:ascii="Arial" w:cs="Arial" w:eastAsia="Arial" w:hAnsi="Arial"/>
          <w:sz w:val="18"/>
          <w:szCs w:val="18"/>
          <w:b w:val="1"/>
          <w:bCs w:val="1"/>
          <w:color w:val="auto"/>
        </w:rPr>
        <w:t>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Employment Agreement has been executed and delivered by the parties hereto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ACLARIS THERAPEUTICS, INC.</w:t>
            </w:r>
          </w:p>
        </w:tc>
        <w:tc>
          <w:tcPr>
            <w:tcW w:w="10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By:   /s/ Neal Walker</w:t>
            </w:r>
          </w:p>
        </w:tc>
        <w:tc>
          <w:tcPr>
            <w:tcW w:w="6520" w:type="dxa"/>
            <w:vAlign w:val="bottom"/>
            <w:gridSpan w:val="2"/>
          </w:tcPr>
          <w:p>
            <w:pPr>
              <w:ind w:left="1000"/>
              <w:spacing w:after="0"/>
              <w:rPr>
                <w:sz w:val="20"/>
                <w:szCs w:val="20"/>
                <w:color w:val="auto"/>
              </w:rPr>
            </w:pPr>
            <w:r>
              <w:rPr>
                <w:rFonts w:ascii="Arial" w:cs="Arial" w:eastAsia="Arial" w:hAnsi="Arial"/>
                <w:sz w:val="18"/>
                <w:szCs w:val="18"/>
                <w:color w:val="auto"/>
              </w:rPr>
              <w:t>9-17-15</w:t>
            </w:r>
          </w:p>
        </w:tc>
        <w:tc>
          <w:tcPr>
            <w:tcW w:w="40" w:type="dxa"/>
            <w:vAlign w:val="bottom"/>
          </w:tcPr>
          <w:p>
            <w:pPr>
              <w:spacing w:after="0"/>
              <w:rPr>
                <w:sz w:val="24"/>
                <w:szCs w:val="24"/>
                <w:color w:val="auto"/>
              </w:rPr>
            </w:pPr>
          </w:p>
        </w:tc>
      </w:tr>
      <w:tr>
        <w:trPr>
          <w:trHeight w:val="195"/>
        </w:trPr>
        <w:tc>
          <w:tcPr>
            <w:tcW w:w="500" w:type="dxa"/>
            <w:vAlign w:val="bottom"/>
            <w:gridSpan w:val="2"/>
          </w:tcPr>
          <w:p>
            <w:pPr>
              <w:spacing w:after="0" w:line="195" w:lineRule="exact"/>
              <w:rPr>
                <w:sz w:val="20"/>
                <w:szCs w:val="20"/>
                <w:color w:val="auto"/>
              </w:rPr>
            </w:pPr>
            <w:r>
              <w:rPr>
                <w:rFonts w:ascii="Arial" w:cs="Arial" w:eastAsia="Arial" w:hAnsi="Arial"/>
                <w:sz w:val="18"/>
                <w:szCs w:val="18"/>
                <w:color w:val="auto"/>
                <w:w w:val="90"/>
              </w:rPr>
              <w:t>Name:</w:t>
            </w:r>
          </w:p>
        </w:tc>
        <w:tc>
          <w:tcPr>
            <w:tcW w:w="44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Neal Walker</w:t>
            </w:r>
          </w:p>
        </w:tc>
        <w:tc>
          <w:tcPr>
            <w:tcW w:w="100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c>
          <w:tcPr>
            <w:tcW w:w="40" w:type="dxa"/>
            <w:vAlign w:val="bottom"/>
          </w:tcPr>
          <w:p>
            <w:pPr>
              <w:spacing w:after="0"/>
              <w:rPr>
                <w:sz w:val="16"/>
                <w:szCs w:val="16"/>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Title: President and CEO</w:t>
            </w:r>
          </w:p>
        </w:tc>
        <w:tc>
          <w:tcPr>
            <w:tcW w:w="10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 Christopher Powala</w:t>
            </w:r>
          </w:p>
        </w:tc>
        <w:tc>
          <w:tcPr>
            <w:tcW w:w="6520" w:type="dxa"/>
            <w:vAlign w:val="bottom"/>
            <w:gridSpan w:val="2"/>
          </w:tcPr>
          <w:p>
            <w:pPr>
              <w:ind w:left="1000"/>
              <w:spacing w:after="0"/>
              <w:rPr>
                <w:sz w:val="20"/>
                <w:szCs w:val="20"/>
                <w:color w:val="auto"/>
              </w:rPr>
            </w:pPr>
            <w:r>
              <w:rPr>
                <w:rFonts w:ascii="Arial" w:cs="Arial" w:eastAsia="Arial" w:hAnsi="Arial"/>
                <w:sz w:val="18"/>
                <w:szCs w:val="18"/>
                <w:color w:val="auto"/>
              </w:rPr>
              <w:t>9-17-15</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Christopher Powala</w:t>
            </w:r>
          </w:p>
        </w:tc>
        <w:tc>
          <w:tcPr>
            <w:tcW w:w="100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Neal Walker, certify that:</w:t>
      </w:r>
    </w:p>
    <w:p>
      <w:pPr>
        <w:spacing w:after="0" w:line="225" w:lineRule="exact"/>
        <w:rPr>
          <w:sz w:val="20"/>
          <w:szCs w:val="20"/>
          <w:color w:val="auto"/>
        </w:rPr>
      </w:pPr>
    </w:p>
    <w:p>
      <w:pPr>
        <w:ind w:left="460" w:hanging="453"/>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2015 of Aclaris Therapeutics, Inc. (the “registrant”);</w:t>
      </w:r>
    </w:p>
    <w:p>
      <w:pPr>
        <w:spacing w:after="0" w:line="236" w:lineRule="exact"/>
        <w:rPr>
          <w:rFonts w:ascii="Arial" w:cs="Arial" w:eastAsia="Arial" w:hAnsi="Arial"/>
          <w:sz w:val="17"/>
          <w:szCs w:val="17"/>
          <w:color w:val="auto"/>
        </w:rPr>
      </w:pPr>
    </w:p>
    <w:p>
      <w:pPr>
        <w:ind w:left="440" w:hanging="433"/>
        <w:spacing w:after="0" w:line="342" w:lineRule="auto"/>
        <w:tabs>
          <w:tab w:leader="none" w:pos="444"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right="460" w:hanging="433"/>
        <w:spacing w:after="0" w:line="308" w:lineRule="auto"/>
        <w:tabs>
          <w:tab w:leader="none" w:pos="444"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00" w:hanging="433"/>
        <w:spacing w:after="0" w:line="277" w:lineRule="auto"/>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80" w:right="320" w:hanging="432"/>
        <w:spacing w:after="0" w:line="264" w:lineRule="auto"/>
        <w:tabs>
          <w:tab w:leader="none" w:pos="88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800" w:hanging="432"/>
        <w:spacing w:after="0" w:line="342" w:lineRule="auto"/>
        <w:tabs>
          <w:tab w:leader="none" w:pos="892"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20" w:hanging="432"/>
        <w:spacing w:after="0" w:line="264" w:lineRule="auto"/>
        <w:tabs>
          <w:tab w:leader="none" w:pos="8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3"/>
        <w:spacing w:after="0" w:line="308" w:lineRule="auto"/>
        <w:tabs>
          <w:tab w:leader="none" w:pos="44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220" w:hanging="432"/>
        <w:spacing w:after="0" w:line="277" w:lineRule="auto"/>
        <w:tabs>
          <w:tab w:leader="none" w:pos="88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160" w:hanging="432"/>
        <w:spacing w:after="0" w:line="277" w:lineRule="auto"/>
        <w:tabs>
          <w:tab w:leader="none" w:pos="8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Walker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Ruffo, certify that:</w:t>
      </w:r>
    </w:p>
    <w:p>
      <w:pPr>
        <w:spacing w:after="0" w:line="225" w:lineRule="exact"/>
        <w:rPr>
          <w:sz w:val="20"/>
          <w:szCs w:val="20"/>
          <w:color w:val="auto"/>
        </w:rPr>
      </w:pPr>
    </w:p>
    <w:p>
      <w:pPr>
        <w:ind w:left="460" w:hanging="453"/>
        <w:spacing w:after="0"/>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2015 of Aclaris Therapeutics, Inc. (the “registrant”);</w:t>
      </w:r>
    </w:p>
    <w:p>
      <w:pPr>
        <w:spacing w:after="0" w:line="236" w:lineRule="exact"/>
        <w:rPr>
          <w:rFonts w:ascii="Arial" w:cs="Arial" w:eastAsia="Arial" w:hAnsi="Arial"/>
          <w:sz w:val="17"/>
          <w:szCs w:val="17"/>
          <w:color w:val="auto"/>
        </w:rPr>
      </w:pPr>
    </w:p>
    <w:p>
      <w:pPr>
        <w:ind w:left="440" w:hanging="433"/>
        <w:spacing w:after="0" w:line="342" w:lineRule="auto"/>
        <w:tabs>
          <w:tab w:leader="none" w:pos="4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right="460" w:hanging="433"/>
        <w:spacing w:after="0" w:line="308" w:lineRule="auto"/>
        <w:tabs>
          <w:tab w:leader="none" w:pos="4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500" w:hanging="433"/>
        <w:spacing w:after="0" w:line="277" w:lineRule="auto"/>
        <w:tabs>
          <w:tab w:leader="none" w:pos="4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80" w:right="320" w:hanging="432"/>
        <w:spacing w:after="0" w:line="264" w:lineRule="auto"/>
        <w:tabs>
          <w:tab w:leader="none" w:pos="882"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800" w:hanging="432"/>
        <w:spacing w:after="0" w:line="342" w:lineRule="auto"/>
        <w:tabs>
          <w:tab w:leader="none" w:pos="892"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20" w:hanging="432"/>
        <w:spacing w:after="0" w:line="264" w:lineRule="auto"/>
        <w:tabs>
          <w:tab w:leader="none" w:pos="89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3"/>
        <w:spacing w:after="0" w:line="308" w:lineRule="auto"/>
        <w:tabs>
          <w:tab w:leader="none" w:pos="44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220" w:hanging="432"/>
        <w:spacing w:after="0" w:line="277" w:lineRule="auto"/>
        <w:tabs>
          <w:tab w:leader="none" w:pos="88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160" w:hanging="432"/>
        <w:spacing w:after="0" w:line="277"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Ruffo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Neal Walker, President and Chief Executive Officer of Aclaris Therapeutics, Inc. (the “Company”), and Frank Ruffo, Chief Financial Officer of the Company, each hereby certifies that, to the best of his knowledge:</w:t>
      </w:r>
    </w:p>
    <w:p>
      <w:pPr>
        <w:spacing w:after="0" w:line="166" w:lineRule="exact"/>
        <w:rPr>
          <w:sz w:val="20"/>
          <w:szCs w:val="20"/>
          <w:color w:val="auto"/>
        </w:rPr>
      </w:pPr>
    </w:p>
    <w:p>
      <w:pPr>
        <w:ind w:left="440" w:right="240" w:hanging="433"/>
        <w:spacing w:after="0" w:line="277" w:lineRule="auto"/>
        <w:tabs>
          <w:tab w:leader="none" w:pos="44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2015,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440" w:right="660" w:hanging="433"/>
        <w:spacing w:after="0" w:line="277" w:lineRule="auto"/>
        <w:tabs>
          <w:tab w:leader="none" w:pos="444"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18</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3"/>
          </w:tcPr>
          <w:p>
            <w:pPr>
              <w:spacing w:after="0"/>
              <w:rPr>
                <w:sz w:val="20"/>
                <w:szCs w:val="20"/>
                <w:color w:val="auto"/>
              </w:rPr>
            </w:pPr>
            <w:r>
              <w:rPr>
                <w:rFonts w:ascii="Arial" w:cs="Arial" w:eastAsia="Arial" w:hAnsi="Arial"/>
                <w:sz w:val="18"/>
                <w:szCs w:val="18"/>
                <w:color w:val="auto"/>
              </w:rPr>
              <w:t>/s/ Neal Walker</w:t>
            </w:r>
          </w:p>
        </w:tc>
        <w:tc>
          <w:tcPr>
            <w:tcW w:w="5080" w:type="dxa"/>
            <w:vAlign w:val="bottom"/>
          </w:tcPr>
          <w:p>
            <w:pPr>
              <w:spacing w:after="0"/>
              <w:rPr>
                <w:sz w:val="20"/>
                <w:szCs w:val="20"/>
                <w:color w:val="auto"/>
              </w:rPr>
            </w:pPr>
            <w:r>
              <w:rPr>
                <w:rFonts w:ascii="Arial" w:cs="Arial" w:eastAsia="Arial" w:hAnsi="Arial"/>
                <w:sz w:val="18"/>
                <w:szCs w:val="18"/>
                <w:color w:val="auto"/>
              </w:rPr>
              <w:t>/s/ Frank Ruffo</w:t>
            </w:r>
          </w:p>
        </w:tc>
      </w:tr>
      <w:tr>
        <w:trPr>
          <w:trHeight w:val="195"/>
        </w:trPr>
        <w:tc>
          <w:tcPr>
            <w:tcW w:w="2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Walker</w:t>
            </w:r>
          </w:p>
        </w:tc>
        <w:tc>
          <w:tcPr>
            <w:tcW w:w="124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Ruffo</w:t>
            </w: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3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50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2" w:lineRule="exact"/>
        <w:rPr>
          <w:sz w:val="20"/>
          <w:szCs w:val="20"/>
          <w:color w:val="auto"/>
        </w:rPr>
      </w:pPr>
    </w:p>
    <w:p>
      <w:pPr>
        <w:ind w:left="220" w:right="180" w:hanging="213"/>
        <w:spacing w:after="0" w:line="286" w:lineRule="auto"/>
        <w:tabs>
          <w:tab w:leader="none" w:pos="2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Aclaris Therapeutics, Inc.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2"/>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2"/>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2"/>
    </w:lvl>
  </w:abstractNum>
  <w:abstractNum w:abstractNumId="37">
    <w:nsid w:val="520EEDD1"/>
    <w:multiLevelType w:val="hybridMultilevel"/>
    <w:lvl w:ilvl="0">
      <w:lvlJc w:val="left"/>
      <w:lvlText w:val="%1."/>
      <w:numFmt w:val="decimal"/>
      <w:start w:val="102"/>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lowerRoman"/>
      <w:start w:val="4"/>
    </w:lvl>
    <w:lvl w:ilvl="1">
      <w:lvlJc w:val="left"/>
      <w:lvlText w:val="(%2)"/>
      <w:numFmt w:val="decimal"/>
      <w:start w:val="1"/>
    </w:lvl>
  </w:abstractNum>
  <w:abstractNum w:abstractNumId="50">
    <w:nsid w:val="741226BB"/>
    <w:multiLevelType w:val="hybridMultilevel"/>
    <w:lvl w:ilvl="0">
      <w:lvlJc w:val="left"/>
      <w:lvlText w:val="(%1)"/>
      <w:numFmt w:val="lowerRoman"/>
      <w:start w:val="1"/>
    </w:lvl>
  </w:abstractNum>
  <w:abstractNum w:abstractNumId="51">
    <w:nsid w:val="D34B6A8"/>
    <w:multiLevelType w:val="hybridMultilevel"/>
    <w:lvl w:ilvl="0">
      <w:lvlJc w:val="left"/>
      <w:lvlText w:val="(%1)"/>
      <w:numFmt w:val="lowerRoman"/>
      <w:start w:val="3"/>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Roman"/>
      <w:start w:val="3"/>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1)"/>
      <w:numFmt w:val="lowerRoman"/>
      <w:start w:val="1"/>
    </w:lvl>
  </w:abstractNum>
  <w:abstractNum w:abstractNumId="56">
    <w:nsid w:val="77AE35EB"/>
    <w:multiLevelType w:val="hybridMultilevel"/>
    <w:lvl w:ilvl="0">
      <w:lvlJc w:val="left"/>
      <w:lvlText w:val="(%1)"/>
      <w:numFmt w:val="lowerRoman"/>
      <w:start w:val="4"/>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1)"/>
      <w:numFmt w:val="lowerRoman"/>
      <w:start w:val="3"/>
    </w:lvl>
  </w:abstractNum>
  <w:abstractNum w:abstractNumId="60">
    <w:nsid w:val="2F305DEF"/>
    <w:multiLevelType w:val="hybridMultilevel"/>
    <w:lvl w:ilvl="0">
      <w:lvlJc w:val="left"/>
      <w:lvlText w:val="(%1)"/>
      <w:numFmt w:val="lowerRoman"/>
      <w:start w:val="1"/>
    </w:lvl>
  </w:abstractNum>
  <w:abstractNum w:abstractNumId="61">
    <w:nsid w:val="25A70BF7"/>
    <w:multiLevelType w:val="hybridMultilevel"/>
    <w:lvl w:ilvl="0">
      <w:lvlJc w:val="left"/>
      <w:lvlText w:val="(%1)"/>
      <w:numFmt w:val="lowerRoman"/>
      <w:start w:val="1"/>
    </w:lvl>
  </w:abstractNum>
  <w:abstractNum w:abstractNumId="62">
    <w:nsid w:val="1DBABF00"/>
    <w:multiLevelType w:val="hybridMultilevel"/>
    <w:lvl w:ilvl="0">
      <w:lvlJc w:val="left"/>
      <w:lvlText w:val="(%1)"/>
      <w:numFmt w:val="lowerRoman"/>
      <w:start w:val="4"/>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lowerRoman"/>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2019-12-29T15:52:11Z</dcterms:created>
  <dcterms:modified xsi:type="dcterms:W3CDTF">2019-12-29T15:52:11Z</dcterms:modified>
</cp:coreProperties>
</file>