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82026_040610.xml.htm"/>
      <w:bookmarkStart w:id="1" w:name="ksform406082026_0406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Molineaux Christopher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ACLARIS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LEE ROAD, SUITE 103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Aclaris Therapeutics, Inc.</w:t>
              </w:r>
            </w:hyperlink>
            <w:r>
              <w:rPr/>
              <w:t xml:space="preserve"> [ </w:t>
            </w:r>
            <w:r>
              <w:rPr>
                <w:rFonts w:ascii="Times;serif" w:hAnsi="Times;serif"/>
                <w:color w:val="0000FF"/>
                <w:sz w:val="24"/>
                <w:shd w:fill="FFFFFF" w:val="clear"/>
              </w:rPr>
              <w:t>ACRS</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69,536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42,350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42,350</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10,987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10,987</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stock option will vest in twelve equal monthly installments commencing on July 4, 2026, subject to the Reporting Person's Continuous Service (as defined in the Issuer's 2025 Equity Incentive Plan, or the Plan)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was made pursuant to the issuer's tenth amended and restated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these restricted stock units will vest in one installment on June 4, 2027, subject to the Reporting Person's Continuous Service (as defined in the Plan)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these restricted stock units vested on June 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Rothman,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4773" TargetMode="External"/><Relationship Id="rId5" Type="http://schemas.openxmlformats.org/officeDocument/2006/relationships/hyperlink" Target="http://www.sec.gov/cgi-bin/browse-edgar?action=getcompany&amp;CIK=00015577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3946</Characters>
  <CharactersWithSpaces>4591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