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052026_040505.xml.htm"/>
      <w:bookmarkStart w:id="1" w:name="ksform405052026_0405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Hall Jesse Wayne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ACLARIS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701 LEE ROAD, SUITE 103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WAYNE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Aclaris Therapeutics, Inc.</w:t>
              </w:r>
            </w:hyperlink>
            <w:r>
              <w:rPr/>
              <w:t xml:space="preserve"> [ </w:t>
            </w:r>
            <w:r>
              <w:rPr>
                <w:rFonts w:ascii="Times;serif" w:hAnsi="Times;serif"/>
                <w:color w:val="0000FF"/>
                <w:sz w:val="24"/>
                <w:shd w:fill="FFFFFF" w:val="clear"/>
              </w:rPr>
              <w:t>ACRS</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Medical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36,375</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36,375</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9,330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4.41</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27,045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36,375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109,125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 reported represents the withholding of shares by the issuer to satisfy the Reporting Person's tax withholding obligations in connection with the vesting and settlement of restricted stock units described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underlying these restricted stock units vest in four equal installments on the first, second, third and fourth anniversaries of May 1, 2025, subject to the Continuous Service (as defined in the Issuer's 2024 Inducement Plan) of the Reporting Person as of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Rothman,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5269" TargetMode="External"/><Relationship Id="rId5" Type="http://schemas.openxmlformats.org/officeDocument/2006/relationships/hyperlink" Target="http://www.sec.gov/cgi-bin/browse-edgar?action=getcompany&amp;CIK=00015577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3729</Characters>
  <CharactersWithSpaces>4342</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