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ACLARIS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09/14/2026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Frazier Life Sciences Public Fund, L.P. </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7,879,943.00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7,879,943.00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7,879,943.00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 percentage listed in row 11 is calculated based on 147,198,893 shares of Common Stock outstanding on July 31, 2026, as set forth in the Issuer's Quarterly Report on Form 10-Q filed with the SEC on August 6,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FHMLSP, L.P. </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7,879,943.00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7,879,943.00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7,879,943.00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listed in row 11 is calculated based on 147,198,893 shares of Common Stock outstanding on July 31, 2026, as set forth in the Issuer's Quarterly Report on Form 10-Q filed with the SEC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FHMLSP, L.L.C. </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7,879,943.00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7,879,943.00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7,879,943.00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listed in row 11 is calculated based on 147,198,893 shares of Common Stock outstanding on July 31, 2026, as set forth in the Issuer's Quarterly Report on Form 10-Q filed with the SEC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Frazier Life Sciences XI, L.P. </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86,910.00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86,910.00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86,910.00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listed in row 11 is calculated based on 147,198,893 shares of Common Stock outstanding on July 31, 2026, as set forth in the Issuer's Quarterly Report on Form 10-Q filed with the SEC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FHMLS XI,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86,910.00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86,910.00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86,910.00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listed in row 11 is calculated based on 147,198,893 shares of Common Stock outstanding on July 31, 2026, as set forth in the Issuer's Quarterly Report on Form 10-Q filed with the SEC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FHMLS XI,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86,910.00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86,910.00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86,910.00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 percentage listed in row 11 is calculated based on 147,198,893 shares of Common Stock outstanding on July 31, 2026, as set forth in the Issuer's Quarterly Report on Form 10-Q filed with the SEC on August 6,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Frazier Life Sciences XII,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762,663.00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762,663.00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762,663.00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 percentage listed in row 11 is calculated based on 147,198,893 shares of Common Stock outstanding on July 31, 2026, as set forth in the Issuer's Quarterly Report on Form 10-Q filed with the SEC on August 6,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FHMLS XII,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762,663.00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762,663.00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762,663.00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listed in row 11 is calculated based on 147,198,893 shares of Common Stock outstanding on July 31, 2026, as set forth in the Issuer's Quarterly Report on Form 10-Q filed with the SEC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FHMLS XII,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762,663.00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762,663.00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762,663.00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listed in row 11 is calculated based on 147,198,893 shares of Common Stock outstanding on July 31, 2026, as set forth in the Issuer's Quarterly Report on Form 10-Q filed with the SEC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item1to9"/>
      <w:bookmarkStart w:id="43" w:name="item1to9"/>
      <w:bookmarkEnd w:id="43"/>
    </w:p>
    <w:tbl>
      <w:tblPr>
        <w:tblW w:w="10205" w:type="dxa"/>
        <w:jc w:val="left"/>
        <w:tblInd w:w="0" w:type="dxa"/>
        <w:tblLayout w:type="fixed"/>
        <w:tblCellMar>
          <w:top w:w="28" w:type="dxa"/>
          <w:left w:w="28" w:type="dxa"/>
          <w:bottom w:w="28" w:type="dxa"/>
          <w:right w:w="28" w:type="dxa"/>
        </w:tblCellMar>
      </w:tblPr>
      <w:tblGrid>
        <w:gridCol w:w="1127"/>
        <w:gridCol w:w="8923"/>
        <w:gridCol w:w="155"/>
      </w:tblGrid>
      <w:tr>
        <w:trPr/>
        <w:tc>
          <w:tcPr>
            <w:tcW w:w="1127" w:type="dxa"/>
            <w:tcBorders/>
            <w:vAlign w:val="center"/>
          </w:tcPr>
          <w:p>
            <w:pPr>
              <w:pStyle w:val="TableContents"/>
              <w:bidi w:val="0"/>
              <w:spacing w:before="0" w:after="283"/>
              <w:jc w:val="left"/>
              <w:rPr/>
            </w:pPr>
            <w:r>
              <w:rPr/>
              <w:t>Item 1.</w:t>
            </w:r>
          </w:p>
        </w:tc>
        <w:tc>
          <w:tcPr>
            <w:tcW w:w="892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(a)</w:t>
            </w:r>
          </w:p>
        </w:tc>
        <w:tc>
          <w:tcPr>
            <w:tcW w:w="8923" w:type="dxa"/>
            <w:tcBorders/>
            <w:vAlign w:val="center"/>
          </w:tcPr>
          <w:p>
            <w:pPr>
              <w:pStyle w:val="TableContents"/>
              <w:bidi w:val="0"/>
              <w:jc w:val="left"/>
              <w:rPr/>
            </w:pPr>
            <w:r>
              <w:rPr/>
              <w:t xml:space="preserve">Name of issuer: </w:t>
            </w:r>
          </w:p>
          <w:p>
            <w:pPr>
              <w:pStyle w:val="TableContents"/>
              <w:bidi w:val="0"/>
              <w:spacing w:before="0" w:after="0"/>
              <w:jc w:val="left"/>
              <w:rPr/>
            </w:pPr>
            <w:r>
              <w:rPr/>
              <w:t>ACLARIS THERAPEUTICS, INC.</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(b)</w:t>
            </w:r>
          </w:p>
        </w:tc>
        <w:tc>
          <w:tcPr>
            <w:tcW w:w="892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701 LEE ROAD, SUITE 103, WAYNE, PA, 19087.</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2.</w:t>
            </w:r>
          </w:p>
        </w:tc>
        <w:tc>
          <w:tcPr>
            <w:tcW w:w="892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(a)</w:t>
            </w:r>
          </w:p>
        </w:tc>
        <w:tc>
          <w:tcPr>
            <w:tcW w:w="8923"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entities and persons filing this statement (collectively, the "Reporting Persons") are: Frazier Life Sciences Public Fund, L.P. ("FLSPF") FHMLSP, L.P. FHMLSP, L.L.C. Frazier Life Sciences XI, L.P. ("FLS XI") FHMLS XI, L.P. FHMLS XI, L.L.C. Frazier Life Sciences XII, L.P. ("FLS XII") FHMLS XII, L.P. FHMLS XII, L.L.C.</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(b)</w:t>
            </w:r>
          </w:p>
        </w:tc>
        <w:tc>
          <w:tcPr>
            <w:tcW w:w="892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The address of the principal place of business for each of the Reporting Persons is: c/o Frazier Life Sciences Management, L.P. 1001 Page Mill Rd, Building 4, Suite 200B Palo Alto, CA 94304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(c)</w:t>
            </w:r>
          </w:p>
        </w:tc>
        <w:tc>
          <w:tcPr>
            <w:tcW w:w="8923" w:type="dxa"/>
            <w:tcBorders/>
            <w:vAlign w:val="center"/>
          </w:tcPr>
          <w:p>
            <w:pPr>
              <w:pStyle w:val="TableContents"/>
              <w:bidi w:val="0"/>
              <w:jc w:val="left"/>
              <w:rPr/>
            </w:pPr>
            <w:r>
              <w:rPr/>
              <w:t xml:space="preserve">Citizenship: </w:t>
            </w:r>
          </w:p>
          <w:p>
            <w:pPr>
              <w:pStyle w:val="TableContents"/>
              <w:bidi w:val="0"/>
              <w:spacing w:before="0" w:after="0"/>
              <w:jc w:val="left"/>
              <w:rPr/>
            </w:pPr>
            <w:r>
              <w:rPr/>
              <w:t>The information contained in row 4 of each Reporting Person's cover page to this Schedule 13G is incorporated by reference.</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(d)</w:t>
            </w:r>
          </w:p>
        </w:tc>
        <w:tc>
          <w:tcPr>
            <w:tcW w:w="892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$0.00001 par value</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(e)</w:t>
            </w:r>
          </w:p>
        </w:tc>
        <w:tc>
          <w:tcPr>
            <w:tcW w:w="892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3.</w:t>
            </w:r>
          </w:p>
        </w:tc>
        <w:tc>
          <w:tcPr>
            <w:tcW w:w="892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(a)</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(b)</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(c)</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(d)</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(e)</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(f)</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(g)</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(h)</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(j)</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(k)</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9078" w:type="dxa"/>
            <w:gridSpan w:val="2"/>
            <w:tcBorders/>
            <w:vAlign w:val="center"/>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4.</w:t>
            </w:r>
          </w:p>
        </w:tc>
        <w:tc>
          <w:tcPr>
            <w:tcW w:w="892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(a)</w:t>
            </w:r>
          </w:p>
        </w:tc>
        <w:tc>
          <w:tcPr>
            <w:tcW w:w="892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contained in row 9 of each Reporting Person's cover page to this Schedule 13G (including the footnotes thereto) is incorporated by reference. FLSPF directly holds 7,879,943 shares of Common Stock. FHMLSP, L.P. is the general partner of FLSPF and the general partner of FHMLSP, L.P. is FHMLSP, L.L.C., which is managed by an investment committee of four that acts by majority vote. Accordingly, no members of such committee are attributed beneficial ownership of the securities directly held by FLSPF. FLS XI directly holds 86,910 shares of Common Stock. FHMLS XI, L.P. is the general partner of FLS XI and the general partner of FHMLS XI, L.P. is FHMLS XI, L.L.C., which is managed by an investment committee of three that acts by majority vote. Accordingly, no members of such committee are attributed beneficial ownership of the securities directly held by FLS XI. FLS XII directly holds 762,663 shares of Common Stock. FHMLS XII, L.P. is the general partner of FLS XII and the general partner of FHMLS XII, L.P. is FHMLS XII, L.L.C., which is managed by an investment committee of three that acts by majority vote. Accordingly, no members of such committee are attributed beneficial ownership of the securities directly held by FLS XII. Except as specifically stated herein, the filing of this Schedule 13G shall not be construed as an admission that any Reporting Person is, for the purposes of Section 13(d) and/or Section 13(g) of the Act or otherwise, the beneficial owner of any securities covered by this Schedule 13G or a member of a "group" with any other person.</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(b)</w:t>
            </w:r>
          </w:p>
        </w:tc>
        <w:tc>
          <w:tcPr>
            <w:tcW w:w="892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contained in row 11 of each Reporting Person's cover page to this Schedule 13G (including the footnotes thereto) is incorporated by reference.  %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(c)</w:t>
            </w:r>
          </w:p>
        </w:tc>
        <w:tc>
          <w:tcPr>
            <w:tcW w:w="892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contained in row 5 of each Reporting Person's cover page to this Schedule 13G (including the footnotes thereto)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contained in row 6 of each Reporting Person's cover page to this Schedule 13G (including the footnotes thereto)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contained in row 7 of each Reporting Person's cover page to this Schedule 13G (including the footnotes thereto)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The information contained in row 8 of each Reporting Person's cover page to this Schedule 13G (including the footnotes thereto) is incorporated by reference.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5.</w:t>
            </w:r>
          </w:p>
        </w:tc>
        <w:tc>
          <w:tcPr>
            <w:tcW w:w="892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6.</w:t>
            </w:r>
          </w:p>
        </w:tc>
        <w:tc>
          <w:tcPr>
            <w:tcW w:w="892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7.</w:t>
            </w:r>
          </w:p>
        </w:tc>
        <w:tc>
          <w:tcPr>
            <w:tcW w:w="892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8.</w:t>
            </w:r>
          </w:p>
        </w:tc>
        <w:tc>
          <w:tcPr>
            <w:tcW w:w="892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9.</w:t>
            </w:r>
          </w:p>
        </w:tc>
        <w:tc>
          <w:tcPr>
            <w:tcW w:w="892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4" w:name="certifications"/>
      <w:bookmarkStart w:id="45" w:name="certifications"/>
      <w:bookmarkEnd w:id="4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6" w:name="signatureInfo"/>
      <w:bookmarkStart w:id="47" w:name="signatureInfo"/>
      <w:bookmarkEnd w:id="4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266" w:type="dxa"/>
        <w:jc w:val="left"/>
        <w:tblInd w:w="0" w:type="dxa"/>
        <w:tblLayout w:type="fixed"/>
        <w:tblCellMar>
          <w:top w:w="28" w:type="dxa"/>
          <w:left w:w="28" w:type="dxa"/>
          <w:bottom w:w="28" w:type="dxa"/>
          <w:right w:w="28" w:type="dxa"/>
        </w:tblCellMar>
      </w:tblPr>
      <w:tblGrid>
        <w:gridCol w:w="4133"/>
        <w:gridCol w:w="4133"/>
      </w:tblGrid>
      <w:tr>
        <w:trPr/>
        <w:tc>
          <w:tcPr>
            <w:tcW w:w="4133" w:type="dxa"/>
            <w:tcBorders/>
            <w:vAlign w:val="center"/>
          </w:tcPr>
          <w:p>
            <w:pPr>
              <w:pStyle w:val="TableContents"/>
              <w:bidi w:val="0"/>
              <w:spacing w:before="0" w:after="0"/>
              <w:jc w:val="left"/>
              <w:rPr/>
            </w:pPr>
            <w:r>
              <w:rPr/>
              <w:t> </w:t>
            </w:r>
          </w:p>
          <w:tbl>
            <w:tblPr>
              <w:tblW w:w="3961" w:type="dxa"/>
              <w:jc w:val="left"/>
              <w:tblInd w:w="0" w:type="dxa"/>
              <w:tblLayout w:type="fixed"/>
              <w:tblCellMar>
                <w:top w:w="28" w:type="dxa"/>
                <w:left w:w="28" w:type="dxa"/>
                <w:bottom w:w="28" w:type="dxa"/>
                <w:right w:w="28" w:type="dxa"/>
              </w:tblCellMar>
            </w:tblPr>
            <w:tblGrid>
              <w:gridCol w:w="3961"/>
            </w:tblGrid>
            <w:tr>
              <w:trPr/>
              <w:tc>
                <w:tcPr>
                  <w:tcW w:w="3961" w:type="dxa"/>
                  <w:tcBorders/>
                  <w:vAlign w:val="center"/>
                </w:tcPr>
                <w:p>
                  <w:pPr>
                    <w:pStyle w:val="TableContents"/>
                    <w:bidi w:val="0"/>
                    <w:spacing w:before="0" w:after="0"/>
                    <w:jc w:val="left"/>
                    <w:rPr/>
                  </w:pPr>
                  <w:r>
                    <w:rPr/>
                    <w:t xml:space="preserve">Frazier Life Sciences Public Fund, L.P. </w:t>
                  </w:r>
                </w:p>
              </w:tc>
            </w:tr>
          </w:tbl>
          <w:p>
            <w:pPr>
              <w:pStyle w:val="TableContents"/>
              <w:bidi w:val="0"/>
              <w:spacing w:before="0" w:after="283"/>
              <w:jc w:val="left"/>
              <w:rPr/>
            </w:pPr>
            <w:r>
              <w:rPr/>
            </w:r>
          </w:p>
        </w:tc>
        <w:tc>
          <w:tcPr>
            <w:tcW w:w="41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3"/>
        <w:gridCol w:w="4322"/>
      </w:tblGrid>
      <w:tr>
        <w:trPr/>
        <w:tc>
          <w:tcPr>
            <w:tcW w:w="58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Jennifer Martin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Jennifer Martin, CFO of FHMLSP, L.L.C., GP of FHMLSP, L.P., GP of Frazier Life Sciences Public Fund, L.P.</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09/21/2026</w:t>
                  </w:r>
                </w:p>
              </w:tc>
            </w:tr>
          </w:tbl>
          <w:p>
            <w:pPr>
              <w:pStyle w:val="TableContents"/>
              <w:bidi w:val="0"/>
              <w:spacing w:before="0" w:after="283"/>
              <w:jc w:val="left"/>
              <w:rPr/>
            </w:pPr>
            <w:r>
              <w:rPr/>
            </w:r>
          </w:p>
        </w:tc>
        <w:tc>
          <w:tcPr>
            <w:tcW w:w="4322" w:type="dxa"/>
            <w:tcBorders/>
            <w:vAlign w:val="center"/>
          </w:tcPr>
          <w:p>
            <w:pPr>
              <w:pStyle w:val="TableContents"/>
              <w:bidi w:val="0"/>
              <w:spacing w:before="0" w:after="283"/>
              <w:jc w:val="left"/>
              <w:rPr>
                <w:sz w:val="4"/>
                <w:szCs w:val="4"/>
              </w:rPr>
            </w:pPr>
            <w:r>
              <w:rPr>
                <w:sz w:val="4"/>
                <w:szCs w:val="4"/>
              </w:rPr>
            </w:r>
          </w:p>
        </w:tc>
      </w:tr>
    </w:tbl>
    <w:tbl>
      <w:tblPr>
        <w:tblW w:w="3612" w:type="dxa"/>
        <w:jc w:val="left"/>
        <w:tblInd w:w="0" w:type="dxa"/>
        <w:tblLayout w:type="fixed"/>
        <w:tblCellMar>
          <w:top w:w="28" w:type="dxa"/>
          <w:left w:w="28" w:type="dxa"/>
          <w:bottom w:w="28" w:type="dxa"/>
          <w:right w:w="28" w:type="dxa"/>
        </w:tblCellMar>
      </w:tblPr>
      <w:tblGrid>
        <w:gridCol w:w="1806"/>
        <w:gridCol w:w="1806"/>
      </w:tblGrid>
      <w:tr>
        <w:trPr/>
        <w:tc>
          <w:tcPr>
            <w:tcW w:w="1806" w:type="dxa"/>
            <w:tcBorders/>
            <w:vAlign w:val="center"/>
          </w:tcPr>
          <w:p>
            <w:pPr>
              <w:pStyle w:val="TableContents"/>
              <w:bidi w:val="0"/>
              <w:spacing w:before="0" w:after="0"/>
              <w:jc w:val="left"/>
              <w:rPr/>
            </w:pPr>
            <w:r>
              <w:rPr/>
              <w:t> </w:t>
            </w:r>
          </w:p>
          <w:tbl>
            <w:tblPr>
              <w:tblW w:w="1696" w:type="dxa"/>
              <w:jc w:val="left"/>
              <w:tblInd w:w="0" w:type="dxa"/>
              <w:tblLayout w:type="fixed"/>
              <w:tblCellMar>
                <w:top w:w="28" w:type="dxa"/>
                <w:left w:w="28" w:type="dxa"/>
                <w:bottom w:w="28" w:type="dxa"/>
                <w:right w:w="28" w:type="dxa"/>
              </w:tblCellMar>
            </w:tblPr>
            <w:tblGrid>
              <w:gridCol w:w="1696"/>
            </w:tblGrid>
            <w:tr>
              <w:trPr/>
              <w:tc>
                <w:tcPr>
                  <w:tcW w:w="1696" w:type="dxa"/>
                  <w:tcBorders/>
                  <w:vAlign w:val="center"/>
                </w:tcPr>
                <w:p>
                  <w:pPr>
                    <w:pStyle w:val="TableContents"/>
                    <w:bidi w:val="0"/>
                    <w:spacing w:before="0" w:after="0"/>
                    <w:jc w:val="left"/>
                    <w:rPr/>
                  </w:pPr>
                  <w:r>
                    <w:rPr/>
                    <w:t xml:space="preserve">FHMLSP, L.P. </w:t>
                  </w:r>
                </w:p>
              </w:tc>
            </w:tr>
          </w:tbl>
          <w:p>
            <w:pPr>
              <w:pStyle w:val="TableContents"/>
              <w:bidi w:val="0"/>
              <w:spacing w:before="0" w:after="283"/>
              <w:jc w:val="left"/>
              <w:rPr/>
            </w:pPr>
            <w:r>
              <w:rPr/>
            </w:r>
          </w:p>
        </w:tc>
        <w:tc>
          <w:tcPr>
            <w:tcW w:w="18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5"/>
        <w:gridCol w:w="4320"/>
      </w:tblGrid>
      <w:tr>
        <w:trPr/>
        <w:tc>
          <w:tcPr>
            <w:tcW w:w="588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Jennifer Martin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By Jennifer Martin, CFO of FHMLSP, L.L.C., GP of FHMLSP, L.P.</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09/21/2026</w:t>
                  </w:r>
                </w:p>
              </w:tc>
            </w:tr>
          </w:tbl>
          <w:p>
            <w:pPr>
              <w:pStyle w:val="TableContents"/>
              <w:bidi w:val="0"/>
              <w:spacing w:before="0" w:after="283"/>
              <w:jc w:val="left"/>
              <w:rPr/>
            </w:pPr>
            <w:r>
              <w:rPr/>
            </w:r>
          </w:p>
        </w:tc>
        <w:tc>
          <w:tcPr>
            <w:tcW w:w="4320" w:type="dxa"/>
            <w:tcBorders/>
            <w:vAlign w:val="center"/>
          </w:tcPr>
          <w:p>
            <w:pPr>
              <w:pStyle w:val="TableContents"/>
              <w:bidi w:val="0"/>
              <w:spacing w:before="0" w:after="283"/>
              <w:jc w:val="left"/>
              <w:rPr>
                <w:sz w:val="4"/>
                <w:szCs w:val="4"/>
              </w:rPr>
            </w:pPr>
            <w:r>
              <w:rPr>
                <w:sz w:val="4"/>
                <w:szCs w:val="4"/>
              </w:rPr>
            </w:r>
          </w:p>
        </w:tc>
      </w:tr>
    </w:tbl>
    <w:tbl>
      <w:tblPr>
        <w:tblW w:w="4132" w:type="dxa"/>
        <w:jc w:val="left"/>
        <w:tblInd w:w="0" w:type="dxa"/>
        <w:tblLayout w:type="fixed"/>
        <w:tblCellMar>
          <w:top w:w="28" w:type="dxa"/>
          <w:left w:w="28" w:type="dxa"/>
          <w:bottom w:w="28" w:type="dxa"/>
          <w:right w:w="28" w:type="dxa"/>
        </w:tblCellMar>
      </w:tblPr>
      <w:tblGrid>
        <w:gridCol w:w="2066"/>
        <w:gridCol w:w="2066"/>
      </w:tblGrid>
      <w:tr>
        <w:trPr/>
        <w:tc>
          <w:tcPr>
            <w:tcW w:w="2066" w:type="dxa"/>
            <w:tcBorders/>
            <w:vAlign w:val="center"/>
          </w:tcPr>
          <w:p>
            <w:pPr>
              <w:pStyle w:val="TableContents"/>
              <w:bidi w:val="0"/>
              <w:spacing w:before="0" w:after="0"/>
              <w:jc w:val="left"/>
              <w:rPr/>
            </w:pPr>
            <w:r>
              <w:rPr/>
              <w:t> </w:t>
            </w:r>
          </w:p>
          <w:tbl>
            <w:tblPr>
              <w:tblW w:w="1936" w:type="dxa"/>
              <w:jc w:val="left"/>
              <w:tblInd w:w="0" w:type="dxa"/>
              <w:tblLayout w:type="fixed"/>
              <w:tblCellMar>
                <w:top w:w="28" w:type="dxa"/>
                <w:left w:w="28" w:type="dxa"/>
                <w:bottom w:w="28" w:type="dxa"/>
                <w:right w:w="28" w:type="dxa"/>
              </w:tblCellMar>
            </w:tblPr>
            <w:tblGrid>
              <w:gridCol w:w="1936"/>
            </w:tblGrid>
            <w:tr>
              <w:trPr/>
              <w:tc>
                <w:tcPr>
                  <w:tcW w:w="1936" w:type="dxa"/>
                  <w:tcBorders/>
                  <w:vAlign w:val="center"/>
                </w:tcPr>
                <w:p>
                  <w:pPr>
                    <w:pStyle w:val="TableContents"/>
                    <w:bidi w:val="0"/>
                    <w:spacing w:before="0" w:after="0"/>
                    <w:jc w:val="left"/>
                    <w:rPr/>
                  </w:pPr>
                  <w:r>
                    <w:rPr/>
                    <w:t xml:space="preserve">FHMLSP, L.L.C. </w:t>
                  </w:r>
                </w:p>
              </w:tc>
            </w:tr>
          </w:tbl>
          <w:p>
            <w:pPr>
              <w:pStyle w:val="TableContents"/>
              <w:bidi w:val="0"/>
              <w:spacing w:before="0" w:after="283"/>
              <w:jc w:val="left"/>
              <w:rPr/>
            </w:pPr>
            <w:r>
              <w:rPr/>
            </w:r>
          </w:p>
        </w:tc>
        <w:tc>
          <w:tcPr>
            <w:tcW w:w="20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4"/>
        <w:gridCol w:w="4321"/>
      </w:tblGrid>
      <w:tr>
        <w:trPr/>
        <w:tc>
          <w:tcPr>
            <w:tcW w:w="588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Jennifer Martin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By Jennifer Martin, CFO of FHMLSP, L.L.C.</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09/21/2026</w:t>
                  </w:r>
                </w:p>
              </w:tc>
            </w:tr>
          </w:tbl>
          <w:p>
            <w:pPr>
              <w:pStyle w:val="TableContents"/>
              <w:bidi w:val="0"/>
              <w:spacing w:before="0" w:after="283"/>
              <w:jc w:val="left"/>
              <w:rPr/>
            </w:pPr>
            <w:r>
              <w:rPr/>
            </w:r>
          </w:p>
        </w:tc>
        <w:tc>
          <w:tcPr>
            <w:tcW w:w="4321" w:type="dxa"/>
            <w:tcBorders/>
            <w:vAlign w:val="center"/>
          </w:tcPr>
          <w:p>
            <w:pPr>
              <w:pStyle w:val="TableContents"/>
              <w:bidi w:val="0"/>
              <w:spacing w:before="0" w:after="283"/>
              <w:jc w:val="left"/>
              <w:rPr>
                <w:sz w:val="4"/>
                <w:szCs w:val="4"/>
              </w:rPr>
            </w:pPr>
            <w:r>
              <w:rPr>
                <w:sz w:val="4"/>
                <w:szCs w:val="4"/>
              </w:rPr>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 xml:space="preserve">Frazier Life Sciences XI, L.P. </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4"/>
        <w:gridCol w:w="4391"/>
      </w:tblGrid>
      <w:tr>
        <w:trPr/>
        <w:tc>
          <w:tcPr>
            <w:tcW w:w="58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Jennifer Martin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Jennifer Martin, CFO of FHMLS XI, L.L.C., GP of FHMLS XI, L.P., GP of Frazier Life Sciences XI, L.P.</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09/21/2026</w:t>
                  </w:r>
                </w:p>
              </w:tc>
            </w:tr>
          </w:tbl>
          <w:p>
            <w:pPr>
              <w:pStyle w:val="TableContents"/>
              <w:bidi w:val="0"/>
              <w:spacing w:before="0" w:after="283"/>
              <w:jc w:val="left"/>
              <w:rPr/>
            </w:pPr>
            <w:r>
              <w:rPr/>
            </w:r>
          </w:p>
        </w:tc>
        <w:tc>
          <w:tcPr>
            <w:tcW w:w="4391" w:type="dxa"/>
            <w:tcBorders/>
            <w:vAlign w:val="center"/>
          </w:tcPr>
          <w:p>
            <w:pPr>
              <w:pStyle w:val="TableContents"/>
              <w:bidi w:val="0"/>
              <w:spacing w:before="0" w:after="283"/>
              <w:jc w:val="left"/>
              <w:rPr>
                <w:sz w:val="4"/>
                <w:szCs w:val="4"/>
              </w:rPr>
            </w:pPr>
            <w:r>
              <w:rPr>
                <w:sz w:val="4"/>
                <w:szCs w:val="4"/>
              </w:rPr>
            </w:r>
          </w:p>
        </w:tc>
      </w:tr>
    </w:tbl>
    <w:tbl>
      <w:tblPr>
        <w:tblW w:w="3834" w:type="dxa"/>
        <w:jc w:val="left"/>
        <w:tblInd w:w="0" w:type="dxa"/>
        <w:tblLayout w:type="fixed"/>
        <w:tblCellMar>
          <w:top w:w="28" w:type="dxa"/>
          <w:left w:w="28" w:type="dxa"/>
          <w:bottom w:w="28" w:type="dxa"/>
          <w:right w:w="28" w:type="dxa"/>
        </w:tblCellMar>
      </w:tblPr>
      <w:tblGrid>
        <w:gridCol w:w="1917"/>
        <w:gridCol w:w="1917"/>
      </w:tblGrid>
      <w:tr>
        <w:trPr/>
        <w:tc>
          <w:tcPr>
            <w:tcW w:w="1917" w:type="dxa"/>
            <w:tcBorders/>
            <w:vAlign w:val="center"/>
          </w:tcPr>
          <w:p>
            <w:pPr>
              <w:pStyle w:val="TableContents"/>
              <w:bidi w:val="0"/>
              <w:spacing w:before="0" w:after="0"/>
              <w:jc w:val="left"/>
              <w:rPr/>
            </w:pPr>
            <w:r>
              <w:rPr/>
              <w:t> </w:t>
            </w:r>
          </w:p>
          <w:tbl>
            <w:tblPr>
              <w:tblW w:w="1816" w:type="dxa"/>
              <w:jc w:val="left"/>
              <w:tblInd w:w="0" w:type="dxa"/>
              <w:tblLayout w:type="fixed"/>
              <w:tblCellMar>
                <w:top w:w="28" w:type="dxa"/>
                <w:left w:w="28" w:type="dxa"/>
                <w:bottom w:w="28" w:type="dxa"/>
                <w:right w:w="28" w:type="dxa"/>
              </w:tblCellMar>
            </w:tblPr>
            <w:tblGrid>
              <w:gridCol w:w="1816"/>
            </w:tblGrid>
            <w:tr>
              <w:trPr/>
              <w:tc>
                <w:tcPr>
                  <w:tcW w:w="1816" w:type="dxa"/>
                  <w:tcBorders/>
                  <w:vAlign w:val="center"/>
                </w:tcPr>
                <w:p>
                  <w:pPr>
                    <w:pStyle w:val="TableContents"/>
                    <w:bidi w:val="0"/>
                    <w:spacing w:before="0" w:after="0"/>
                    <w:jc w:val="left"/>
                    <w:rPr/>
                  </w:pPr>
                  <w:r>
                    <w:rPr/>
                    <w:t>FHMLS XI, L.P.</w:t>
                  </w:r>
                </w:p>
              </w:tc>
            </w:tr>
          </w:tbl>
          <w:p>
            <w:pPr>
              <w:pStyle w:val="TableContents"/>
              <w:bidi w:val="0"/>
              <w:spacing w:before="0" w:after="283"/>
              <w:jc w:val="left"/>
              <w:rPr/>
            </w:pPr>
            <w:r>
              <w:rPr/>
            </w:r>
          </w:p>
        </w:tc>
        <w:tc>
          <w:tcPr>
            <w:tcW w:w="19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0"/>
        <w:gridCol w:w="4395"/>
      </w:tblGrid>
      <w:tr>
        <w:trPr/>
        <w:tc>
          <w:tcPr>
            <w:tcW w:w="58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Jennifer Martin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By Jennifer Martin, CFO of FHMLS XI, L.L.C., GP of FHMLS XI, L.P.</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09/21/2026</w:t>
                  </w:r>
                </w:p>
              </w:tc>
            </w:tr>
          </w:tbl>
          <w:p>
            <w:pPr>
              <w:pStyle w:val="TableContents"/>
              <w:bidi w:val="0"/>
              <w:spacing w:before="0" w:after="283"/>
              <w:jc w:val="left"/>
              <w:rPr/>
            </w:pPr>
            <w:r>
              <w:rPr/>
            </w:r>
          </w:p>
        </w:tc>
        <w:tc>
          <w:tcPr>
            <w:tcW w:w="4395" w:type="dxa"/>
            <w:tcBorders/>
            <w:vAlign w:val="center"/>
          </w:tcPr>
          <w:p>
            <w:pPr>
              <w:pStyle w:val="TableContents"/>
              <w:bidi w:val="0"/>
              <w:spacing w:before="0" w:after="283"/>
              <w:jc w:val="left"/>
              <w:rPr>
                <w:sz w:val="4"/>
                <w:szCs w:val="4"/>
              </w:rPr>
            </w:pPr>
            <w:r>
              <w:rPr>
                <w:sz w:val="4"/>
                <w:szCs w:val="4"/>
              </w:rPr>
            </w:r>
          </w:p>
        </w:tc>
      </w:tr>
    </w:tbl>
    <w:tbl>
      <w:tblPr>
        <w:tblW w:w="4360" w:type="dxa"/>
        <w:jc w:val="left"/>
        <w:tblInd w:w="0" w:type="dxa"/>
        <w:tblLayout w:type="fixed"/>
        <w:tblCellMar>
          <w:top w:w="28" w:type="dxa"/>
          <w:left w:w="28" w:type="dxa"/>
          <w:bottom w:w="28" w:type="dxa"/>
          <w:right w:w="28" w:type="dxa"/>
        </w:tblCellMar>
      </w:tblPr>
      <w:tblGrid>
        <w:gridCol w:w="2180"/>
        <w:gridCol w:w="2180"/>
      </w:tblGrid>
      <w:tr>
        <w:trPr/>
        <w:tc>
          <w:tcPr>
            <w:tcW w:w="2180" w:type="dxa"/>
            <w:tcBorders/>
            <w:vAlign w:val="center"/>
          </w:tcPr>
          <w:p>
            <w:pPr>
              <w:pStyle w:val="TableContents"/>
              <w:bidi w:val="0"/>
              <w:spacing w:before="0" w:after="0"/>
              <w:jc w:val="left"/>
              <w:rPr/>
            </w:pPr>
            <w:r>
              <w:rPr/>
              <w:t> </w:t>
            </w:r>
          </w:p>
          <w:tbl>
            <w:tblPr>
              <w:tblW w:w="2056" w:type="dxa"/>
              <w:jc w:val="left"/>
              <w:tblInd w:w="0" w:type="dxa"/>
              <w:tblLayout w:type="fixed"/>
              <w:tblCellMar>
                <w:top w:w="28" w:type="dxa"/>
                <w:left w:w="28" w:type="dxa"/>
                <w:bottom w:w="28" w:type="dxa"/>
                <w:right w:w="28" w:type="dxa"/>
              </w:tblCellMar>
            </w:tblPr>
            <w:tblGrid>
              <w:gridCol w:w="2056"/>
            </w:tblGrid>
            <w:tr>
              <w:trPr/>
              <w:tc>
                <w:tcPr>
                  <w:tcW w:w="2056" w:type="dxa"/>
                  <w:tcBorders/>
                  <w:vAlign w:val="center"/>
                </w:tcPr>
                <w:p>
                  <w:pPr>
                    <w:pStyle w:val="TableContents"/>
                    <w:bidi w:val="0"/>
                    <w:spacing w:before="0" w:after="0"/>
                    <w:jc w:val="left"/>
                    <w:rPr/>
                  </w:pPr>
                  <w:r>
                    <w:rPr/>
                    <w:t>FHMLS XI, L.L.C.</w:t>
                  </w:r>
                </w:p>
              </w:tc>
            </w:tr>
          </w:tbl>
          <w:p>
            <w:pPr>
              <w:pStyle w:val="TableContents"/>
              <w:bidi w:val="0"/>
              <w:spacing w:before="0" w:after="283"/>
              <w:jc w:val="left"/>
              <w:rPr/>
            </w:pPr>
            <w:r>
              <w:rPr/>
            </w:r>
          </w:p>
        </w:tc>
        <w:tc>
          <w:tcPr>
            <w:tcW w:w="21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8"/>
        <w:gridCol w:w="4397"/>
      </w:tblGrid>
      <w:tr>
        <w:trPr/>
        <w:tc>
          <w:tcPr>
            <w:tcW w:w="58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Jennifer Martin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Jennifer Martin, CFO of FHMLS XI, L.L.C.</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09/21/2026</w:t>
                  </w:r>
                </w:p>
              </w:tc>
            </w:tr>
          </w:tbl>
          <w:p>
            <w:pPr>
              <w:pStyle w:val="TableContents"/>
              <w:bidi w:val="0"/>
              <w:spacing w:before="0" w:after="283"/>
              <w:jc w:val="left"/>
              <w:rPr/>
            </w:pPr>
            <w:r>
              <w:rPr/>
            </w:r>
          </w:p>
        </w:tc>
        <w:tc>
          <w:tcPr>
            <w:tcW w:w="4397"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Frazier Life Sciences XII, L.P.</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2"/>
        <w:gridCol w:w="4393"/>
      </w:tblGrid>
      <w:tr>
        <w:trPr/>
        <w:tc>
          <w:tcPr>
            <w:tcW w:w="58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Jennifer Martin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Jennifer Martin, CFO of FHMLS XII, L.L.C., GP of FHMLS XII, L.P., GP of Frazier Life Sciences XII, L.P.</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09/21/2026</w:t>
                  </w:r>
                </w:p>
              </w:tc>
            </w:tr>
          </w:tbl>
          <w:p>
            <w:pPr>
              <w:pStyle w:val="TableContents"/>
              <w:bidi w:val="0"/>
              <w:spacing w:before="0" w:after="283"/>
              <w:jc w:val="left"/>
              <w:rPr/>
            </w:pPr>
            <w:r>
              <w:rPr/>
            </w:r>
          </w:p>
        </w:tc>
        <w:tc>
          <w:tcPr>
            <w:tcW w:w="4393" w:type="dxa"/>
            <w:tcBorders/>
            <w:vAlign w:val="center"/>
          </w:tcPr>
          <w:p>
            <w:pPr>
              <w:pStyle w:val="TableContents"/>
              <w:bidi w:val="0"/>
              <w:spacing w:before="0" w:after="283"/>
              <w:jc w:val="left"/>
              <w:rPr>
                <w:sz w:val="4"/>
                <w:szCs w:val="4"/>
              </w:rPr>
            </w:pPr>
            <w:r>
              <w:rPr>
                <w:sz w:val="4"/>
                <w:szCs w:val="4"/>
              </w:rPr>
            </w:r>
          </w:p>
        </w:tc>
      </w:tr>
    </w:tbl>
    <w:tbl>
      <w:tblPr>
        <w:tblW w:w="4048" w:type="dxa"/>
        <w:jc w:val="left"/>
        <w:tblInd w:w="0" w:type="dxa"/>
        <w:tblLayout w:type="fixed"/>
        <w:tblCellMar>
          <w:top w:w="28" w:type="dxa"/>
          <w:left w:w="28" w:type="dxa"/>
          <w:bottom w:w="28" w:type="dxa"/>
          <w:right w:w="28" w:type="dxa"/>
        </w:tblCellMar>
      </w:tblPr>
      <w:tblGrid>
        <w:gridCol w:w="2024"/>
        <w:gridCol w:w="2024"/>
      </w:tblGrid>
      <w:tr>
        <w:trPr/>
        <w:tc>
          <w:tcPr>
            <w:tcW w:w="2024" w:type="dxa"/>
            <w:tcBorders/>
            <w:vAlign w:val="center"/>
          </w:tcPr>
          <w:p>
            <w:pPr>
              <w:pStyle w:val="TableContents"/>
              <w:bidi w:val="0"/>
              <w:spacing w:before="0" w:after="0"/>
              <w:jc w:val="left"/>
              <w:rPr/>
            </w:pPr>
            <w:r>
              <w:rPr/>
              <w:t> </w:t>
            </w:r>
          </w:p>
          <w:tbl>
            <w:tblPr>
              <w:tblW w:w="1891" w:type="dxa"/>
              <w:jc w:val="left"/>
              <w:tblInd w:w="0" w:type="dxa"/>
              <w:tblLayout w:type="fixed"/>
              <w:tblCellMar>
                <w:top w:w="28" w:type="dxa"/>
                <w:left w:w="28" w:type="dxa"/>
                <w:bottom w:w="28" w:type="dxa"/>
                <w:right w:w="28" w:type="dxa"/>
              </w:tblCellMar>
            </w:tblPr>
            <w:tblGrid>
              <w:gridCol w:w="1891"/>
            </w:tblGrid>
            <w:tr>
              <w:trPr/>
              <w:tc>
                <w:tcPr>
                  <w:tcW w:w="1891" w:type="dxa"/>
                  <w:tcBorders/>
                  <w:vAlign w:val="center"/>
                </w:tcPr>
                <w:p>
                  <w:pPr>
                    <w:pStyle w:val="TableContents"/>
                    <w:bidi w:val="0"/>
                    <w:spacing w:before="0" w:after="0"/>
                    <w:jc w:val="left"/>
                    <w:rPr/>
                  </w:pPr>
                  <w:r>
                    <w:rPr/>
                    <w:t>FHMLS XII, L.P.</w:t>
                  </w:r>
                </w:p>
              </w:tc>
            </w:tr>
          </w:tbl>
          <w:p>
            <w:pPr>
              <w:pStyle w:val="TableContents"/>
              <w:bidi w:val="0"/>
              <w:spacing w:before="0" w:after="283"/>
              <w:jc w:val="left"/>
              <w:rPr/>
            </w:pPr>
            <w:r>
              <w:rPr/>
            </w:r>
          </w:p>
        </w:tc>
        <w:tc>
          <w:tcPr>
            <w:tcW w:w="20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9"/>
        <w:gridCol w:w="4396"/>
      </w:tblGrid>
      <w:tr>
        <w:trPr/>
        <w:tc>
          <w:tcPr>
            <w:tcW w:w="58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Jennifer Martin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By Jennifer Martin, CFO of FHMLS XII, L.L.C., GP of FHMLS XII, L.P.</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09/21/2026</w:t>
                  </w:r>
                </w:p>
              </w:tc>
            </w:tr>
          </w:tbl>
          <w:p>
            <w:pPr>
              <w:pStyle w:val="TableContents"/>
              <w:bidi w:val="0"/>
              <w:spacing w:before="0" w:after="283"/>
              <w:jc w:val="left"/>
              <w:rPr/>
            </w:pPr>
            <w:r>
              <w:rPr/>
            </w:r>
          </w:p>
        </w:tc>
        <w:tc>
          <w:tcPr>
            <w:tcW w:w="4396" w:type="dxa"/>
            <w:tcBorders/>
            <w:vAlign w:val="center"/>
          </w:tcPr>
          <w:p>
            <w:pPr>
              <w:pStyle w:val="TableContents"/>
              <w:bidi w:val="0"/>
              <w:spacing w:before="0" w:after="283"/>
              <w:jc w:val="left"/>
              <w:rPr>
                <w:sz w:val="4"/>
                <w:szCs w:val="4"/>
              </w:rPr>
            </w:pPr>
            <w:r>
              <w:rPr>
                <w:sz w:val="4"/>
                <w:szCs w:val="4"/>
              </w:rPr>
            </w:r>
          </w:p>
        </w:tc>
      </w:tr>
    </w:tbl>
    <w:tbl>
      <w:tblPr>
        <w:tblW w:w="4500" w:type="dxa"/>
        <w:jc w:val="left"/>
        <w:tblInd w:w="0" w:type="dxa"/>
        <w:tblLayout w:type="fixed"/>
        <w:tblCellMar>
          <w:top w:w="28" w:type="dxa"/>
          <w:left w:w="28" w:type="dxa"/>
          <w:bottom w:w="28" w:type="dxa"/>
          <w:right w:w="28" w:type="dxa"/>
        </w:tblCellMar>
      </w:tblPr>
      <w:tblGrid>
        <w:gridCol w:w="2250"/>
        <w:gridCol w:w="2250"/>
      </w:tblGrid>
      <w:tr>
        <w:trPr/>
        <w:tc>
          <w:tcPr>
            <w:tcW w:w="2250" w:type="dxa"/>
            <w:tcBorders/>
            <w:vAlign w:val="center"/>
          </w:tcPr>
          <w:p>
            <w:pPr>
              <w:pStyle w:val="TableContents"/>
              <w:bidi w:val="0"/>
              <w:spacing w:before="0" w:after="0"/>
              <w:jc w:val="left"/>
              <w:rPr/>
            </w:pPr>
            <w:r>
              <w:rPr/>
              <w:t> </w:t>
            </w:r>
          </w:p>
          <w:tbl>
            <w:tblPr>
              <w:tblW w:w="2131" w:type="dxa"/>
              <w:jc w:val="left"/>
              <w:tblInd w:w="0" w:type="dxa"/>
              <w:tblLayout w:type="fixed"/>
              <w:tblCellMar>
                <w:top w:w="28" w:type="dxa"/>
                <w:left w:w="28" w:type="dxa"/>
                <w:bottom w:w="28" w:type="dxa"/>
                <w:right w:w="28" w:type="dxa"/>
              </w:tblCellMar>
            </w:tblPr>
            <w:tblGrid>
              <w:gridCol w:w="2131"/>
            </w:tblGrid>
            <w:tr>
              <w:trPr/>
              <w:tc>
                <w:tcPr>
                  <w:tcW w:w="2131" w:type="dxa"/>
                  <w:tcBorders/>
                  <w:vAlign w:val="center"/>
                </w:tcPr>
                <w:p>
                  <w:pPr>
                    <w:pStyle w:val="TableContents"/>
                    <w:bidi w:val="0"/>
                    <w:spacing w:before="0" w:after="0"/>
                    <w:jc w:val="left"/>
                    <w:rPr/>
                  </w:pPr>
                  <w:r>
                    <w:rPr/>
                    <w:t>FHMLS XII, L.L.C.</w:t>
                  </w:r>
                </w:p>
              </w:tc>
            </w:tr>
          </w:tbl>
          <w:p>
            <w:pPr>
              <w:pStyle w:val="TableContents"/>
              <w:bidi w:val="0"/>
              <w:spacing w:before="0" w:after="283"/>
              <w:jc w:val="left"/>
              <w:rPr/>
            </w:pPr>
            <w:r>
              <w:rPr/>
            </w:r>
          </w:p>
        </w:tc>
        <w:tc>
          <w:tcPr>
            <w:tcW w:w="2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2"/>
        <w:gridCol w:w="4393"/>
      </w:tblGrid>
      <w:tr>
        <w:trPr/>
        <w:tc>
          <w:tcPr>
            <w:tcW w:w="58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Jennifer Martin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By Jennifer Martin, CFO of FHMLS XII, L.L.C.</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09/21/2026</w:t>
                  </w:r>
                </w:p>
              </w:tc>
            </w:tr>
          </w:tbl>
          <w:p>
            <w:pPr>
              <w:pStyle w:val="TableContents"/>
              <w:bidi w:val="0"/>
              <w:spacing w:before="0" w:after="283"/>
              <w:jc w:val="left"/>
              <w:rPr/>
            </w:pPr>
            <w:r>
              <w:rPr/>
            </w:r>
          </w:p>
        </w:tc>
        <w:tc>
          <w:tcPr>
            <w:tcW w:w="4393" w:type="dxa"/>
            <w:tcBorders/>
            <w:vAlign w:val="center"/>
          </w:tcPr>
          <w:p>
            <w:pPr>
              <w:pStyle w:val="TableContents"/>
              <w:bidi w:val="0"/>
              <w:spacing w:before="0" w:after="283"/>
              <w:jc w:val="left"/>
              <w:rPr>
                <w:sz w:val="4"/>
                <w:szCs w:val="4"/>
              </w:rPr>
            </w:pPr>
            <w:r>
              <w:rPr>
                <w:sz w:val="4"/>
                <w:szCs w:val="4"/>
              </w:rPr>
            </w:r>
          </w:p>
        </w:tc>
      </w:tr>
    </w:tbl>
    <w:tbl>
      <w:tblPr>
        <w:tblW w:w="3571" w:type="dxa"/>
        <w:jc w:val="left"/>
        <w:tblInd w:w="0" w:type="dxa"/>
        <w:tblLayout w:type="fixed"/>
        <w:tblCellMar>
          <w:top w:w="28" w:type="dxa"/>
          <w:left w:w="28" w:type="dxa"/>
          <w:bottom w:w="28" w:type="dxa"/>
          <w:right w:w="28" w:type="dxa"/>
        </w:tblCellMar>
      </w:tblPr>
      <w:tblGrid>
        <w:gridCol w:w="3571"/>
      </w:tblGrid>
      <w:tr>
        <w:trPr/>
        <w:tc>
          <w:tcPr>
            <w:tcW w:w="3571" w:type="dxa"/>
            <w:tcBorders/>
            <w:vAlign w:val="center"/>
          </w:tcPr>
          <w:p>
            <w:pPr>
              <w:pStyle w:val="TableContents"/>
              <w:bidi w:val="0"/>
              <w:spacing w:before="0" w:after="283"/>
              <w:jc w:val="center"/>
              <w:rPr>
                <w:b/>
              </w:rPr>
            </w:pPr>
            <w:r>
              <w:rPr>
                <w:b/>
              </w:rPr>
              <w:t xml:space="preserve">Exhibit Information </w:t>
            </w:r>
          </w:p>
        </w:tc>
      </w:tr>
      <w:tr>
        <w:trPr/>
        <w:tc>
          <w:tcPr>
            <w:tcW w:w="3571" w:type="dxa"/>
            <w:tcBorders/>
            <w:vAlign w:val="center"/>
          </w:tcPr>
          <w:p>
            <w:pPr>
              <w:pStyle w:val="TableContents"/>
              <w:bidi w:val="0"/>
              <w:spacing w:before="0" w:after="283"/>
              <w:jc w:val="left"/>
              <w:rPr/>
            </w:pPr>
            <w:r>
              <w:rPr/>
              <w:t>Exhibit 99.1 Joint Filing Agreement</w:t>
            </w:r>
          </w:p>
        </w:tc>
      </w:tr>
    </w:tbl>
    <w:p>
      <w:pPr>
        <w:pStyle w:val="TextBody"/>
        <w:bidi w:val="0"/>
        <w:spacing w:before="0" w:after="0"/>
        <w:ind w:left="0" w:right="0" w:hanging="0"/>
        <w:jc w:val="center"/>
        <w:rPr/>
      </w:pPr>
      <w:r>
        <w:rPr/>
      </w:r>
      <w:bookmarkStart w:id="48" w:name="ex-99-09212026_080942.htm"/>
      <w:bookmarkStart w:id="49" w:name="ksex9909212026_080942"/>
      <w:bookmarkStart w:id="50" w:name="ex-99-09212026_080942.htm"/>
      <w:bookmarkStart w:id="51" w:name="ksex9909212026_080942"/>
      <w:bookmarkEnd w:id="50"/>
      <w:bookmarkEnd w:id="51"/>
      <w:r>
        <w:br w:type="page"/>
      </w:r>
    </w:p>
    <w:p>
      <w:pPr>
        <w:pStyle w:val="TextBody"/>
        <w:bidi w:val="0"/>
        <w:spacing w:before="0" w:after="0"/>
        <w:ind w:left="0" w:right="0" w:hanging="0"/>
        <w:jc w:val="right"/>
        <w:rPr>
          <w:b/>
        </w:rPr>
      </w:pPr>
      <w:r>
        <w:rPr>
          <w:b/>
        </w:rPr>
        <w:t>EXHIBIT 99.1</w:t>
      </w:r>
    </w:p>
    <w:p>
      <w:pPr>
        <w:pStyle w:val="TextBody"/>
        <w:bidi w:val="0"/>
        <w:spacing w:before="0" w:after="0"/>
        <w:ind w:left="0" w:right="0" w:hanging="0"/>
        <w:jc w:val="right"/>
        <w:rPr/>
      </w:pPr>
      <w:r>
        <w:rPr/>
      </w:r>
    </w:p>
    <w:p>
      <w:pPr>
        <w:pStyle w:val="TextBody"/>
        <w:bidi w:val="0"/>
        <w:spacing w:before="0" w:after="0"/>
        <w:ind w:left="0" w:right="0" w:hanging="0"/>
        <w:jc w:val="center"/>
        <w:rPr>
          <w:b/>
        </w:rPr>
      </w:pPr>
      <w:r>
        <w:rPr>
          <w:b/>
        </w:rPr>
        <w:t>JOINT FILING AGREEMENT</w:t>
      </w:r>
    </w:p>
    <w:p>
      <w:pPr>
        <w:pStyle w:val="TextBody"/>
        <w:bidi w:val="0"/>
        <w:spacing w:before="0" w:after="0"/>
        <w:ind w:left="0" w:right="0" w:hanging="0"/>
        <w:jc w:val="both"/>
        <w:rPr/>
      </w:pPr>
      <w:r>
        <w:rPr/>
      </w:r>
    </w:p>
    <w:p>
      <w:pPr>
        <w:pStyle w:val="TextBody"/>
        <w:bidi w:val="0"/>
        <w:spacing w:before="0" w:after="0"/>
        <w:ind w:left="0" w:right="0" w:firstLine="720"/>
        <w:jc w:val="both"/>
        <w:rPr/>
      </w:pPr>
      <w:r>
        <w:rPr/>
        <w:t>Pursuant to Rule 13d-1(k)(1) under the Securities Exchange Act of 1934, the undersigned hereby agree that only one statement containing the information required by Schedule 13G need be filed with respect to the ownership by each of the undersigned of Common Stock of Aclaris Therapeutics, Inc.</w:t>
      </w:r>
    </w:p>
    <w:p>
      <w:pPr>
        <w:pStyle w:val="TextBody"/>
        <w:bidi w:val="0"/>
        <w:spacing w:before="0" w:after="0"/>
        <w:ind w:left="0" w:right="0" w:firstLine="720"/>
        <w:jc w:val="both"/>
        <w:rPr/>
      </w:pPr>
      <w:r>
        <w:rPr/>
        <w:t> </w:t>
      </w:r>
    </w:p>
    <w:p>
      <w:pPr>
        <w:pStyle w:val="TextBody"/>
        <w:bidi w:val="0"/>
        <w:spacing w:before="0" w:after="0"/>
        <w:ind w:left="0" w:right="0" w:hanging="30"/>
        <w:jc w:val="both"/>
        <w:rPr>
          <w:b/>
        </w:rPr>
      </w:pPr>
      <w:r>
        <w:rPr>
          <w:b/>
        </w:rPr>
        <w:t>FRAZIER LIFE SCIENCES PUBLIC FUND, L.P.</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3200400" cy="175260"/>
                <wp:effectExtent l="0" t="0" r="0" b="0"/>
                <wp:wrapSquare wrapText="right"/>
                <wp:docPr id="42" name="Frame1"/>
                <a:graphic xmlns:a="http://schemas.openxmlformats.org/drawingml/2006/main">
                  <a:graphicData uri="http://schemas.microsoft.com/office/word/2010/wordprocessingShape">
                    <wps:wsp>
                      <wps:cNvSpPr txBox="1"/>
                      <wps:spPr>
                        <a:xfrm>
                          <a:off x="0" y="0"/>
                          <a:ext cx="3200400" cy="175260"/>
                        </a:xfrm>
                        <a:prstGeom prst="rect"/>
                        <a:solidFill>
                          <a:srgbClr val="FFFFFF"/>
                        </a:solidFill>
                      </wps:spPr>
                      <wps:txbx>
                        <w:txbxContent>
                          <w:p>
                            <w:pPr>
                              <w:pStyle w:val="TextBody"/>
                              <w:bidi w:val="0"/>
                              <w:spacing w:before="0" w:after="283"/>
                              <w:jc w:val="left"/>
                              <w:rPr/>
                            </w:pPr>
                            <w:r>
                              <w:rPr/>
                              <w:t>Date:  September 21, 2026</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September 21, 2026</w:t>
                      </w:r>
                    </w:p>
                  </w:txbxContent>
                </v:textbox>
                <w10:wrap type="square" side="right"/>
              </v:rect>
            </w:pict>
          </mc:Fallback>
        </mc:AlternateContent>
      </w:r>
    </w:p>
    <w:p>
      <w:pPr>
        <w:pStyle w:val="TextBody"/>
        <w:bidi w:val="0"/>
        <w:spacing w:before="0" w:after="0"/>
        <w:ind w:left="0" w:right="0" w:firstLine="5040"/>
        <w:jc w:val="both"/>
        <w:rPr/>
      </w:pPr>
      <w:r>
        <w:rPr/>
        <w:t>By: FHMLSP, L.P., its General Partner</w:t>
      </w:r>
    </w:p>
    <w:p>
      <w:pPr>
        <w:pStyle w:val="TextBody"/>
        <w:bidi w:val="0"/>
        <w:spacing w:before="0" w:after="0"/>
        <w:ind w:left="0" w:right="0" w:firstLine="5040"/>
        <w:jc w:val="both"/>
        <w:rPr/>
      </w:pPr>
      <w:r>
        <w:rPr/>
        <w:t>By: FHMLSP, L.L.C., its General Partner</w:t>
      </w:r>
    </w:p>
    <w:p>
      <w:pPr>
        <w:pStyle w:val="TextBody"/>
        <w:bidi w:val="0"/>
        <w:spacing w:before="0" w:after="0"/>
        <w:ind w:left="0" w:right="0" w:hanging="0"/>
        <w:jc w:val="both"/>
        <w:rPr/>
      </w:pPr>
      <w:r>
        <w:rPr/>
      </w:r>
    </w:p>
    <w:p>
      <w:pPr>
        <w:pStyle w:val="TextBody"/>
        <w:pBdr/>
        <w:bidi w:val="0"/>
        <w:spacing w:before="0" w:after="0"/>
        <w:ind w:left="0" w:right="0" w:hanging="0"/>
        <w:jc w:val="both"/>
        <w:rPr/>
      </w:pPr>
      <w:r>
        <w:rPr/>
        <w:t>By:</w:t>
      </w:r>
      <w:r>
        <w:rPr>
          <w:u w:val="single"/>
        </w:rPr>
        <w:t xml:space="preserve"> /s/ Jennifer Martin</w:t>
      </w:r>
    </w:p>
    <w:p>
      <w:pPr>
        <w:pStyle w:val="TextBody"/>
        <w:pBdr/>
        <w:bidi w:val="0"/>
        <w:spacing w:before="0" w:after="0"/>
        <w:ind w:left="0" w:right="0" w:firstLine="360"/>
        <w:jc w:val="both"/>
        <w:rPr/>
      </w:pPr>
      <w:r>
        <w:rPr/>
        <w:t>Jennifer Martin, Chief Financial Officer</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b/>
        </w:rPr>
      </w:pPr>
      <w:r>
        <w:rPr>
          <w:b/>
        </w:rPr>
        <w:t>FHMLSP, L.P.</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3200400" cy="175260"/>
                <wp:effectExtent l="0" t="0" r="0" b="0"/>
                <wp:wrapSquare wrapText="right"/>
                <wp:docPr id="43" name="Frame2"/>
                <a:graphic xmlns:a="http://schemas.openxmlformats.org/drawingml/2006/main">
                  <a:graphicData uri="http://schemas.microsoft.com/office/word/2010/wordprocessingShape">
                    <wps:wsp>
                      <wps:cNvSpPr txBox="1"/>
                      <wps:spPr>
                        <a:xfrm>
                          <a:off x="0" y="0"/>
                          <a:ext cx="3200400" cy="175260"/>
                        </a:xfrm>
                        <a:prstGeom prst="rect"/>
                        <a:solidFill>
                          <a:srgbClr val="FFFFFF"/>
                        </a:solidFill>
                      </wps:spPr>
                      <wps:txbx>
                        <w:txbxContent>
                          <w:p>
                            <w:pPr>
                              <w:pStyle w:val="TextBody"/>
                              <w:bidi w:val="0"/>
                              <w:spacing w:before="0" w:after="283"/>
                              <w:jc w:val="left"/>
                              <w:rPr/>
                            </w:pPr>
                            <w:r>
                              <w:rPr/>
                              <w:t>Date:  September 21, 2026</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September 21, 2026</w:t>
                      </w:r>
                    </w:p>
                  </w:txbxContent>
                </v:textbox>
                <w10:wrap type="square" side="right"/>
              </v:rect>
            </w:pict>
          </mc:Fallback>
        </mc:AlternateContent>
      </w:r>
    </w:p>
    <w:p>
      <w:pPr>
        <w:pStyle w:val="TextBody"/>
        <w:bidi w:val="0"/>
        <w:spacing w:before="0" w:after="0"/>
        <w:ind w:left="0" w:right="0" w:firstLine="5040"/>
        <w:jc w:val="both"/>
        <w:rPr/>
      </w:pPr>
      <w:r>
        <w:rPr/>
        <w:t>By: FHMLSP, L.L.C., its General Partner</w:t>
      </w:r>
    </w:p>
    <w:p>
      <w:pPr>
        <w:pStyle w:val="TextBody"/>
        <w:bidi w:val="0"/>
        <w:spacing w:before="0" w:after="0"/>
        <w:ind w:left="0" w:right="0" w:hanging="0"/>
        <w:jc w:val="both"/>
        <w:rPr/>
      </w:pPr>
      <w:r>
        <w:rPr/>
      </w:r>
    </w:p>
    <w:p>
      <w:pPr>
        <w:pStyle w:val="TextBody"/>
        <w:pBdr/>
        <w:bidi w:val="0"/>
        <w:spacing w:before="0" w:after="0"/>
        <w:ind w:left="0" w:right="0" w:hanging="0"/>
        <w:jc w:val="both"/>
        <w:rPr/>
      </w:pPr>
      <w:r>
        <w:rPr/>
        <w:t>By:</w:t>
      </w:r>
      <w:r>
        <w:rPr>
          <w:u w:val="single"/>
        </w:rPr>
        <w:t xml:space="preserve"> /s/ Jennifer Martin</w:t>
      </w:r>
    </w:p>
    <w:p>
      <w:pPr>
        <w:pStyle w:val="TextBody"/>
        <w:pBdr/>
        <w:bidi w:val="0"/>
        <w:spacing w:before="0" w:after="0"/>
        <w:ind w:left="0" w:right="0" w:firstLine="360"/>
        <w:jc w:val="both"/>
        <w:rPr/>
      </w:pPr>
      <w:r>
        <w:rPr/>
        <w:t>Jennifer Martin, Chief Financial Officer</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b/>
        </w:rPr>
      </w:pPr>
      <w:r>
        <w:rPr>
          <w:b/>
        </w:rPr>
        <w:t>FHMLSP, L.L.C.</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3200400" cy="175260"/>
                <wp:effectExtent l="0" t="0" r="0" b="0"/>
                <wp:wrapSquare wrapText="right"/>
                <wp:docPr id="44" name="Frame3"/>
                <a:graphic xmlns:a="http://schemas.openxmlformats.org/drawingml/2006/main">
                  <a:graphicData uri="http://schemas.microsoft.com/office/word/2010/wordprocessingShape">
                    <wps:wsp>
                      <wps:cNvSpPr txBox="1"/>
                      <wps:spPr>
                        <a:xfrm>
                          <a:off x="0" y="0"/>
                          <a:ext cx="3200400" cy="175260"/>
                        </a:xfrm>
                        <a:prstGeom prst="rect"/>
                        <a:solidFill>
                          <a:srgbClr val="FFFFFF"/>
                        </a:solidFill>
                      </wps:spPr>
                      <wps:txbx>
                        <w:txbxContent>
                          <w:p>
                            <w:pPr>
                              <w:pStyle w:val="TextBody"/>
                              <w:bidi w:val="0"/>
                              <w:spacing w:before="0" w:after="283"/>
                              <w:jc w:val="left"/>
                              <w:rPr/>
                            </w:pPr>
                            <w:r>
                              <w:rPr/>
                              <w:t>Date:  September 21, 2026</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September 21, 2026</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0"/>
        <w:jc w:val="both"/>
        <w:rPr/>
      </w:pPr>
      <w:r>
        <w:rPr/>
        <w:t>By:</w:t>
      </w:r>
      <w:r>
        <w:rPr>
          <w:u w:val="single"/>
        </w:rPr>
        <w:t xml:space="preserve"> /s/ Jennifer Martin</w:t>
      </w:r>
    </w:p>
    <w:p>
      <w:pPr>
        <w:pStyle w:val="TextBody"/>
        <w:pBdr/>
        <w:bidi w:val="0"/>
        <w:spacing w:before="0" w:after="0"/>
        <w:ind w:left="0" w:right="0" w:firstLine="360"/>
        <w:jc w:val="both"/>
        <w:rPr/>
      </w:pPr>
      <w:r>
        <w:rPr/>
        <w:t>Jennifer Martin, Chief Financial Officer</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b/>
        </w:rPr>
      </w:pPr>
      <w:r>
        <w:rPr>
          <w:b/>
        </w:rPr>
        <w:t>FRAZIER LIFE SCIENCES XI, L.P.</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3200400" cy="175260"/>
                <wp:effectExtent l="0" t="0" r="0" b="0"/>
                <wp:wrapSquare wrapText="right"/>
                <wp:docPr id="45" name="Frame4"/>
                <a:graphic xmlns:a="http://schemas.openxmlformats.org/drawingml/2006/main">
                  <a:graphicData uri="http://schemas.microsoft.com/office/word/2010/wordprocessingShape">
                    <wps:wsp>
                      <wps:cNvSpPr txBox="1"/>
                      <wps:spPr>
                        <a:xfrm>
                          <a:off x="0" y="0"/>
                          <a:ext cx="3200400" cy="175260"/>
                        </a:xfrm>
                        <a:prstGeom prst="rect"/>
                        <a:solidFill>
                          <a:srgbClr val="FFFFFF"/>
                        </a:solidFill>
                      </wps:spPr>
                      <wps:txbx>
                        <w:txbxContent>
                          <w:p>
                            <w:pPr>
                              <w:pStyle w:val="TextBody"/>
                              <w:bidi w:val="0"/>
                              <w:spacing w:before="0" w:after="283"/>
                              <w:jc w:val="left"/>
                              <w:rPr/>
                            </w:pPr>
                            <w:r>
                              <w:rPr/>
                              <w:t>Date:  September 21, 2026</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September 21, 2026</w:t>
                      </w:r>
                    </w:p>
                  </w:txbxContent>
                </v:textbox>
                <w10:wrap type="square" side="right"/>
              </v:rect>
            </w:pict>
          </mc:Fallback>
        </mc:AlternateContent>
      </w:r>
    </w:p>
    <w:p>
      <w:pPr>
        <w:pStyle w:val="TextBody"/>
        <w:bidi w:val="0"/>
        <w:spacing w:before="0" w:after="0"/>
        <w:ind w:left="0" w:right="0" w:firstLine="5040"/>
        <w:jc w:val="both"/>
        <w:rPr/>
      </w:pPr>
      <w:r>
        <w:rPr/>
        <w:t>By: FHMLS XI, L.P., its General Partner</w:t>
      </w:r>
    </w:p>
    <w:p>
      <w:pPr>
        <w:pStyle w:val="TextBody"/>
        <w:bidi w:val="0"/>
        <w:spacing w:before="0" w:after="0"/>
        <w:ind w:left="0" w:right="0" w:firstLine="5040"/>
        <w:jc w:val="both"/>
        <w:rPr/>
      </w:pPr>
      <w:r>
        <w:rPr/>
        <w:t>By: FHMLS XI, L.L.C., its General Partner</w:t>
      </w:r>
    </w:p>
    <w:p>
      <w:pPr>
        <w:pStyle w:val="TextBody"/>
        <w:bidi w:val="0"/>
        <w:spacing w:before="0" w:after="0"/>
        <w:ind w:left="0" w:right="0" w:hanging="0"/>
        <w:jc w:val="both"/>
        <w:rPr/>
      </w:pPr>
      <w:r>
        <w:rPr/>
      </w:r>
    </w:p>
    <w:p>
      <w:pPr>
        <w:pStyle w:val="TextBody"/>
        <w:pBdr/>
        <w:bidi w:val="0"/>
        <w:spacing w:before="0" w:after="0"/>
        <w:ind w:left="0" w:right="0" w:hanging="0"/>
        <w:jc w:val="both"/>
        <w:rPr/>
      </w:pPr>
      <w:r>
        <w:rPr/>
        <w:t>By:</w:t>
      </w:r>
      <w:r>
        <w:rPr>
          <w:u w:val="single"/>
        </w:rPr>
        <w:t xml:space="preserve"> /s/ Jennifer Martin</w:t>
      </w:r>
    </w:p>
    <w:p>
      <w:pPr>
        <w:pStyle w:val="TextBody"/>
        <w:pBdr/>
        <w:bidi w:val="0"/>
        <w:spacing w:before="0" w:after="0"/>
        <w:ind w:left="0" w:right="0" w:firstLine="360"/>
        <w:jc w:val="both"/>
        <w:rPr/>
      </w:pPr>
      <w:r>
        <w:rPr/>
        <w:t>Jennifer Martin, Chief Financial Officer</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b/>
        </w:rPr>
      </w:pPr>
      <w:r>
        <w:rPr>
          <w:b/>
        </w:rPr>
        <w:t>FHMLS XI, L.P.</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3200400" cy="175260"/>
                <wp:effectExtent l="0" t="0" r="0" b="0"/>
                <wp:wrapSquare wrapText="right"/>
                <wp:docPr id="46" name="Frame5"/>
                <a:graphic xmlns:a="http://schemas.openxmlformats.org/drawingml/2006/main">
                  <a:graphicData uri="http://schemas.microsoft.com/office/word/2010/wordprocessingShape">
                    <wps:wsp>
                      <wps:cNvSpPr txBox="1"/>
                      <wps:spPr>
                        <a:xfrm>
                          <a:off x="0" y="0"/>
                          <a:ext cx="3200400" cy="175260"/>
                        </a:xfrm>
                        <a:prstGeom prst="rect"/>
                        <a:solidFill>
                          <a:srgbClr val="FFFFFF"/>
                        </a:solidFill>
                      </wps:spPr>
                      <wps:txbx>
                        <w:txbxContent>
                          <w:p>
                            <w:pPr>
                              <w:pStyle w:val="TextBody"/>
                              <w:bidi w:val="0"/>
                              <w:spacing w:before="0" w:after="283"/>
                              <w:jc w:val="left"/>
                              <w:rPr/>
                            </w:pPr>
                            <w:r>
                              <w:rPr/>
                              <w:t>Date:  September 21, 2026</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September 21, 2026</w:t>
                      </w:r>
                    </w:p>
                  </w:txbxContent>
                </v:textbox>
                <w10:wrap type="square" side="right"/>
              </v:rect>
            </w:pict>
          </mc:Fallback>
        </mc:AlternateContent>
      </w:r>
    </w:p>
    <w:p>
      <w:pPr>
        <w:pStyle w:val="TextBody"/>
        <w:bidi w:val="0"/>
        <w:spacing w:before="0" w:after="0"/>
        <w:ind w:left="0" w:right="0" w:firstLine="5040"/>
        <w:jc w:val="both"/>
        <w:rPr/>
      </w:pPr>
      <w:r>
        <w:rPr/>
        <w:t>By: FHMLS XI, L.L.C., its General Partner</w:t>
      </w:r>
    </w:p>
    <w:p>
      <w:pPr>
        <w:pStyle w:val="TextBody"/>
        <w:bidi w:val="0"/>
        <w:spacing w:before="0" w:after="0"/>
        <w:ind w:left="0" w:right="0" w:hanging="0"/>
        <w:jc w:val="both"/>
        <w:rPr/>
      </w:pPr>
      <w:r>
        <w:rPr/>
      </w:r>
    </w:p>
    <w:p>
      <w:pPr>
        <w:pStyle w:val="TextBody"/>
        <w:pBdr/>
        <w:bidi w:val="0"/>
        <w:spacing w:before="0" w:after="0"/>
        <w:ind w:left="0" w:right="0" w:hanging="0"/>
        <w:jc w:val="both"/>
        <w:rPr/>
      </w:pPr>
      <w:r>
        <w:rPr/>
        <w:t>By:</w:t>
      </w:r>
      <w:r>
        <w:rPr>
          <w:u w:val="single"/>
        </w:rPr>
        <w:t xml:space="preserve"> /s/ Jennifer Martin</w:t>
      </w:r>
    </w:p>
    <w:p>
      <w:pPr>
        <w:pStyle w:val="TextBody"/>
        <w:bidi w:val="0"/>
        <w:spacing w:before="0" w:after="0"/>
        <w:ind w:left="0" w:right="0" w:firstLine="5400"/>
        <w:jc w:val="both"/>
        <w:rPr/>
      </w:pPr>
      <w:r>
        <w:rPr/>
        <w:t>Jennifer Martin, Chief Financial Officer</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b/>
        </w:rPr>
      </w:pPr>
      <w:r>
        <w:rPr>
          <w:b/>
        </w:rPr>
        <w:t>FHMLS XI, L.L.C.</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3200400" cy="175260"/>
                <wp:effectExtent l="0" t="0" r="0" b="0"/>
                <wp:wrapSquare wrapText="right"/>
                <wp:docPr id="47" name="Frame6"/>
                <a:graphic xmlns:a="http://schemas.openxmlformats.org/drawingml/2006/main">
                  <a:graphicData uri="http://schemas.microsoft.com/office/word/2010/wordprocessingShape">
                    <wps:wsp>
                      <wps:cNvSpPr txBox="1"/>
                      <wps:spPr>
                        <a:xfrm>
                          <a:off x="0" y="0"/>
                          <a:ext cx="3200400" cy="175260"/>
                        </a:xfrm>
                        <a:prstGeom prst="rect"/>
                        <a:solidFill>
                          <a:srgbClr val="FFFFFF"/>
                        </a:solidFill>
                      </wps:spPr>
                      <wps:txbx>
                        <w:txbxContent>
                          <w:p>
                            <w:pPr>
                              <w:pStyle w:val="TextBody"/>
                              <w:bidi w:val="0"/>
                              <w:spacing w:before="0" w:after="283"/>
                              <w:jc w:val="left"/>
                              <w:rPr/>
                            </w:pPr>
                            <w:r>
                              <w:rPr/>
                              <w:t>Date:  September 21, 2026</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September 21, 2026</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0"/>
        <w:jc w:val="both"/>
        <w:rPr/>
      </w:pPr>
      <w:r>
        <w:rPr/>
        <w:t>By:</w:t>
      </w:r>
      <w:r>
        <w:rPr>
          <w:u w:val="single"/>
        </w:rPr>
        <w:t xml:space="preserve"> /s/ Jennifer Martin</w:t>
      </w:r>
    </w:p>
    <w:p>
      <w:pPr>
        <w:pStyle w:val="TextBody"/>
        <w:bidi w:val="0"/>
        <w:spacing w:before="0" w:after="0"/>
        <w:ind w:left="0" w:right="0" w:firstLine="5400"/>
        <w:jc w:val="both"/>
        <w:rPr/>
      </w:pPr>
      <w:r>
        <w:rPr/>
        <w:t>Jennifer Martin, Chief Financial Officer</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HorizontalLine"/>
        <w:pBdr>
          <w:bottom w:val="single" w:sz="6" w:space="0" w:color="808080"/>
        </w:pBdr>
        <w:bidi w:val="0"/>
        <w:jc w:val="left"/>
        <w:rPr/>
      </w:pPr>
      <w:r>
        <w:rPr/>
      </w:r>
      <w:r>
        <w:br w:type="page"/>
      </w:r>
    </w:p>
    <w:p>
      <w:pPr>
        <w:pStyle w:val="TextBody"/>
        <w:bidi w:val="0"/>
        <w:spacing w:before="0" w:after="0"/>
        <w:ind w:left="0" w:right="0" w:hanging="30"/>
        <w:jc w:val="both"/>
        <w:rPr>
          <w:b/>
        </w:rPr>
      </w:pPr>
      <w:r>
        <w:rPr>
          <w:b/>
        </w:rPr>
        <w:t>FRAZIER LIFE SCIENCES XII, L.P.</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3200400" cy="175260"/>
                <wp:effectExtent l="0" t="0" r="0" b="0"/>
                <wp:wrapSquare wrapText="right"/>
                <wp:docPr id="48" name="Frame7"/>
                <a:graphic xmlns:a="http://schemas.openxmlformats.org/drawingml/2006/main">
                  <a:graphicData uri="http://schemas.microsoft.com/office/word/2010/wordprocessingShape">
                    <wps:wsp>
                      <wps:cNvSpPr txBox="1"/>
                      <wps:spPr>
                        <a:xfrm>
                          <a:off x="0" y="0"/>
                          <a:ext cx="3200400" cy="175260"/>
                        </a:xfrm>
                        <a:prstGeom prst="rect"/>
                        <a:solidFill>
                          <a:srgbClr val="FFFFFF"/>
                        </a:solidFill>
                      </wps:spPr>
                      <wps:txbx>
                        <w:txbxContent>
                          <w:p>
                            <w:pPr>
                              <w:pStyle w:val="TextBody"/>
                              <w:bidi w:val="0"/>
                              <w:spacing w:before="0" w:after="283"/>
                              <w:jc w:val="left"/>
                              <w:rPr/>
                            </w:pPr>
                            <w:r>
                              <w:rPr/>
                              <w:t>Date:  September 21, 2026</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September 21, 2026</w:t>
                      </w:r>
                    </w:p>
                  </w:txbxContent>
                </v:textbox>
                <w10:wrap type="square" side="right"/>
              </v:rect>
            </w:pict>
          </mc:Fallback>
        </mc:AlternateContent>
      </w:r>
    </w:p>
    <w:p>
      <w:pPr>
        <w:pStyle w:val="TextBody"/>
        <w:bidi w:val="0"/>
        <w:spacing w:before="0" w:after="0"/>
        <w:ind w:left="0" w:right="0" w:firstLine="5040"/>
        <w:jc w:val="both"/>
        <w:rPr/>
      </w:pPr>
      <w:r>
        <w:rPr/>
        <w:t>By: FHMLS XII, L.P., its General Partner</w:t>
      </w:r>
    </w:p>
    <w:p>
      <w:pPr>
        <w:pStyle w:val="TextBody"/>
        <w:bidi w:val="0"/>
        <w:spacing w:before="0" w:after="0"/>
        <w:ind w:left="0" w:right="0" w:firstLine="5040"/>
        <w:jc w:val="both"/>
        <w:rPr/>
      </w:pPr>
      <w:r>
        <w:rPr/>
        <w:t>By: FHMLS XII, L.L.C., its General Partner</w:t>
      </w:r>
    </w:p>
    <w:p>
      <w:pPr>
        <w:pStyle w:val="TextBody"/>
        <w:bidi w:val="0"/>
        <w:spacing w:before="0" w:after="0"/>
        <w:ind w:left="0" w:right="0" w:hanging="0"/>
        <w:jc w:val="both"/>
        <w:rPr/>
      </w:pPr>
      <w:r>
        <w:rPr/>
      </w:r>
    </w:p>
    <w:p>
      <w:pPr>
        <w:pStyle w:val="TextBody"/>
        <w:pBdr/>
        <w:bidi w:val="0"/>
        <w:spacing w:before="0" w:after="0"/>
        <w:ind w:left="0" w:right="0" w:hanging="0"/>
        <w:jc w:val="both"/>
        <w:rPr/>
      </w:pPr>
      <w:r>
        <w:rPr/>
        <w:t>By:</w:t>
      </w:r>
      <w:r>
        <w:rPr>
          <w:u w:val="single"/>
        </w:rPr>
        <w:t xml:space="preserve"> /s/ Jennifer Martin</w:t>
      </w:r>
    </w:p>
    <w:p>
      <w:pPr>
        <w:pStyle w:val="TextBody"/>
        <w:bidi w:val="0"/>
        <w:spacing w:before="0" w:after="0"/>
        <w:ind w:left="0" w:right="0" w:firstLine="5400"/>
        <w:jc w:val="both"/>
        <w:rPr/>
      </w:pPr>
      <w:r>
        <w:rPr/>
        <w:t>Jennifer Martin, Chief Financial Officer</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b/>
        </w:rPr>
      </w:pPr>
      <w:r>
        <w:rPr>
          <w:b/>
        </w:rPr>
        <w:t>FHMLS XII, L.P.</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3200400" cy="175260"/>
                <wp:effectExtent l="0" t="0" r="0" b="0"/>
                <wp:wrapSquare wrapText="right"/>
                <wp:docPr id="49" name="Frame8"/>
                <a:graphic xmlns:a="http://schemas.openxmlformats.org/drawingml/2006/main">
                  <a:graphicData uri="http://schemas.microsoft.com/office/word/2010/wordprocessingShape">
                    <wps:wsp>
                      <wps:cNvSpPr txBox="1"/>
                      <wps:spPr>
                        <a:xfrm>
                          <a:off x="0" y="0"/>
                          <a:ext cx="3200400" cy="175260"/>
                        </a:xfrm>
                        <a:prstGeom prst="rect"/>
                        <a:solidFill>
                          <a:srgbClr val="FFFFFF"/>
                        </a:solidFill>
                      </wps:spPr>
                      <wps:txbx>
                        <w:txbxContent>
                          <w:p>
                            <w:pPr>
                              <w:pStyle w:val="TextBody"/>
                              <w:bidi w:val="0"/>
                              <w:spacing w:before="0" w:after="283"/>
                              <w:jc w:val="left"/>
                              <w:rPr/>
                            </w:pPr>
                            <w:r>
                              <w:rPr/>
                              <w:t>Date:  September 21, 2026</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September 21, 2026</w:t>
                      </w:r>
                    </w:p>
                  </w:txbxContent>
                </v:textbox>
                <w10:wrap type="square" side="right"/>
              </v:rect>
            </w:pict>
          </mc:Fallback>
        </mc:AlternateContent>
      </w:r>
    </w:p>
    <w:p>
      <w:pPr>
        <w:pStyle w:val="TextBody"/>
        <w:bidi w:val="0"/>
        <w:spacing w:before="0" w:after="0"/>
        <w:ind w:left="0" w:right="0" w:firstLine="5040"/>
        <w:jc w:val="both"/>
        <w:rPr/>
      </w:pPr>
      <w:r>
        <w:rPr/>
        <w:t>By: FHMLS XII, L.L.C., its General Partner</w:t>
      </w:r>
    </w:p>
    <w:p>
      <w:pPr>
        <w:pStyle w:val="TextBody"/>
        <w:bidi w:val="0"/>
        <w:spacing w:before="0" w:after="0"/>
        <w:ind w:left="0" w:right="0" w:hanging="0"/>
        <w:jc w:val="both"/>
        <w:rPr/>
      </w:pPr>
      <w:r>
        <w:rPr/>
      </w:r>
    </w:p>
    <w:p>
      <w:pPr>
        <w:pStyle w:val="TextBody"/>
        <w:pBdr/>
        <w:bidi w:val="0"/>
        <w:spacing w:before="0" w:after="0"/>
        <w:ind w:left="0" w:right="0" w:hanging="0"/>
        <w:jc w:val="both"/>
        <w:rPr/>
      </w:pPr>
      <w:r>
        <w:rPr/>
        <w:t>By:</w:t>
      </w:r>
      <w:r>
        <w:rPr>
          <w:u w:val="single"/>
        </w:rPr>
        <w:t xml:space="preserve"> /s/ Jennifer Martin</w:t>
      </w:r>
    </w:p>
    <w:p>
      <w:pPr>
        <w:pStyle w:val="TextBody"/>
        <w:bidi w:val="0"/>
        <w:spacing w:before="0" w:after="0"/>
        <w:ind w:left="0" w:right="0" w:firstLine="5400"/>
        <w:jc w:val="both"/>
        <w:rPr/>
      </w:pPr>
      <w:r>
        <w:rPr/>
        <w:t>Jennifer Martin, Chief Financial Officer</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b/>
        </w:rPr>
      </w:pPr>
      <w:r>
        <w:rPr>
          <w:b/>
        </w:rPr>
        <w:t>FHMLS XII, L.L.C.</w: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3200400" cy="175260"/>
                <wp:effectExtent l="0" t="0" r="0" b="0"/>
                <wp:wrapSquare wrapText="right"/>
                <wp:docPr id="50" name="Frame9"/>
                <a:graphic xmlns:a="http://schemas.openxmlformats.org/drawingml/2006/main">
                  <a:graphicData uri="http://schemas.microsoft.com/office/word/2010/wordprocessingShape">
                    <wps:wsp>
                      <wps:cNvSpPr txBox="1"/>
                      <wps:spPr>
                        <a:xfrm>
                          <a:off x="0" y="0"/>
                          <a:ext cx="3200400" cy="175260"/>
                        </a:xfrm>
                        <a:prstGeom prst="rect"/>
                        <a:solidFill>
                          <a:srgbClr val="FFFFFF"/>
                        </a:solidFill>
                      </wps:spPr>
                      <wps:txbx>
                        <w:txbxContent>
                          <w:p>
                            <w:pPr>
                              <w:pStyle w:val="TextBody"/>
                              <w:bidi w:val="0"/>
                              <w:spacing w:before="0" w:after="283"/>
                              <w:jc w:val="left"/>
                              <w:rPr/>
                            </w:pPr>
                            <w:r>
                              <w:rPr/>
                              <w:t>Date:  September 21, 2026</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September 21, 2026</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0"/>
        <w:jc w:val="both"/>
        <w:rPr/>
      </w:pPr>
      <w:r>
        <w:rPr/>
        <w:t>By:</w:t>
      </w:r>
      <w:r>
        <w:rPr>
          <w:u w:val="single"/>
        </w:rPr>
        <w:t xml:space="preserve"> /s/ Jennifer Martin</w:t>
      </w:r>
    </w:p>
    <w:p>
      <w:pPr>
        <w:pStyle w:val="TextBody"/>
        <w:bidi w:val="0"/>
        <w:spacing w:before="0" w:after="0"/>
        <w:ind w:left="0" w:right="0" w:firstLine="5400"/>
        <w:jc w:val="both"/>
        <w:rPr/>
      </w:pPr>
      <w:r>
        <w:rPr/>
        <w:t>Jennifer Martin, Chief Financial Officer</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0"/>
        <w:jc w:val="both"/>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2961</Words>
  <Characters>15126</Characters>
  <CharactersWithSpaces>17892</CharactersWithSpaces>
  <Paragraphs>588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